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8BCD054">
      <w:pPr>
        <w:rPr>
          <w:rFonts w:cs="仿宋_GB2312"/>
          <w:color w:val="auto"/>
          <w:sz w:val="36"/>
          <w:szCs w:val="36"/>
        </w:rPr>
      </w:pPr>
    </w:p>
    <w:p w14:paraId="67AA3C46">
      <w:pPr>
        <w:rPr>
          <w:rFonts w:cs="仿宋_GB2312"/>
          <w:color w:val="auto"/>
          <w:sz w:val="36"/>
          <w:szCs w:val="36"/>
        </w:rPr>
      </w:pPr>
    </w:p>
    <w:p w14:paraId="696E1C88">
      <w:pPr>
        <w:rPr>
          <w:rFonts w:cs="仿宋_GB2312"/>
          <w:color w:val="auto"/>
          <w:sz w:val="36"/>
          <w:szCs w:val="36"/>
        </w:rPr>
      </w:pPr>
    </w:p>
    <w:p w14:paraId="1E8CBD8A">
      <w:pPr>
        <w:rPr>
          <w:rFonts w:cs="仿宋_GB2312"/>
          <w:color w:val="auto"/>
          <w:sz w:val="36"/>
          <w:szCs w:val="36"/>
        </w:rPr>
      </w:pPr>
    </w:p>
    <w:p w14:paraId="4A7D8F0F">
      <w:pPr>
        <w:rPr>
          <w:rFonts w:cs="仿宋_GB2312"/>
          <w:color w:val="auto"/>
          <w:sz w:val="36"/>
          <w:szCs w:val="36"/>
        </w:rPr>
      </w:pPr>
    </w:p>
    <w:p w14:paraId="6F2B4A5A">
      <w:pPr>
        <w:adjustRightInd w:val="0"/>
        <w:snapToGrid w:val="0"/>
        <w:jc w:val="center"/>
        <w:outlineLvl w:val="0"/>
        <w:rPr>
          <w:bCs/>
          <w:color w:val="auto"/>
          <w:sz w:val="72"/>
          <w:szCs w:val="72"/>
        </w:rPr>
      </w:pPr>
      <w:bookmarkStart w:id="0" w:name="_Toc73523365"/>
      <w:r>
        <w:rPr>
          <w:rFonts w:hint="eastAsia"/>
          <w:bCs/>
          <w:color w:val="auto"/>
          <w:sz w:val="72"/>
          <w:szCs w:val="72"/>
        </w:rPr>
        <w:t>建设项目环境影响报告表</w:t>
      </w:r>
      <w:bookmarkEnd w:id="0"/>
    </w:p>
    <w:p w14:paraId="14873FE5">
      <w:pPr>
        <w:adjustRightInd w:val="0"/>
        <w:snapToGrid w:val="0"/>
        <w:spacing w:before="192" w:beforeLines="80"/>
        <w:jc w:val="center"/>
        <w:rPr>
          <w:bCs/>
          <w:color w:val="auto"/>
          <w:sz w:val="48"/>
          <w:szCs w:val="48"/>
        </w:rPr>
      </w:pPr>
      <w:r>
        <w:rPr>
          <w:rFonts w:hint="eastAsia"/>
          <w:bCs/>
          <w:color w:val="auto"/>
          <w:sz w:val="48"/>
          <w:szCs w:val="48"/>
        </w:rPr>
        <w:t>（污染影响类）</w:t>
      </w:r>
    </w:p>
    <w:p w14:paraId="0C29EDE1">
      <w:pPr>
        <w:adjustRightInd w:val="0"/>
        <w:snapToGrid w:val="0"/>
        <w:jc w:val="center"/>
        <w:rPr>
          <w:rFonts w:cs="华文仿宋"/>
          <w:color w:val="auto"/>
          <w:kern w:val="44"/>
          <w:sz w:val="44"/>
          <w:szCs w:val="44"/>
        </w:rPr>
      </w:pPr>
    </w:p>
    <w:p w14:paraId="07101521">
      <w:pPr>
        <w:jc w:val="center"/>
        <w:rPr>
          <w:color w:val="auto"/>
          <w:sz w:val="52"/>
          <w:szCs w:val="52"/>
        </w:rPr>
      </w:pPr>
      <w:bookmarkStart w:id="48" w:name="_GoBack"/>
      <w:bookmarkEnd w:id="48"/>
    </w:p>
    <w:p w14:paraId="0C9EBE0D">
      <w:pPr>
        <w:ind w:firstLine="1040"/>
        <w:rPr>
          <w:color w:val="auto"/>
          <w:sz w:val="44"/>
          <w:szCs w:val="44"/>
        </w:rPr>
      </w:pPr>
    </w:p>
    <w:p w14:paraId="51367B6D">
      <w:pPr>
        <w:ind w:firstLine="1040"/>
        <w:rPr>
          <w:color w:val="auto"/>
          <w:sz w:val="44"/>
          <w:szCs w:val="44"/>
        </w:rPr>
      </w:pPr>
    </w:p>
    <w:p w14:paraId="521DEA02">
      <w:pPr>
        <w:ind w:firstLine="1040"/>
        <w:rPr>
          <w:color w:val="auto"/>
          <w:sz w:val="44"/>
          <w:szCs w:val="44"/>
        </w:rPr>
      </w:pPr>
    </w:p>
    <w:p w14:paraId="4EE02873">
      <w:pPr>
        <w:ind w:firstLine="1040"/>
        <w:rPr>
          <w:color w:val="auto"/>
          <w:sz w:val="44"/>
          <w:szCs w:val="44"/>
        </w:rPr>
      </w:pPr>
    </w:p>
    <w:p w14:paraId="2F169D69">
      <w:pPr>
        <w:ind w:firstLine="1040"/>
        <w:rPr>
          <w:color w:val="auto"/>
          <w:sz w:val="44"/>
          <w:szCs w:val="44"/>
        </w:rPr>
      </w:pPr>
    </w:p>
    <w:p w14:paraId="45D15177">
      <w:pPr>
        <w:ind w:firstLine="1040"/>
        <w:rPr>
          <w:color w:val="auto"/>
          <w:sz w:val="44"/>
          <w:szCs w:val="44"/>
        </w:rPr>
      </w:pPr>
    </w:p>
    <w:p w14:paraId="193A0A90">
      <w:pPr>
        <w:adjustRightInd w:val="0"/>
        <w:snapToGrid w:val="0"/>
        <w:spacing w:line="288" w:lineRule="auto"/>
        <w:ind w:firstLine="960" w:firstLineChars="300"/>
        <w:rPr>
          <w:rFonts w:hint="eastAsia"/>
          <w:color w:val="auto"/>
          <w:sz w:val="32"/>
          <w:szCs w:val="32"/>
          <w:u w:val="single"/>
        </w:rPr>
      </w:pPr>
      <w:r>
        <w:rPr>
          <w:rFonts w:hint="eastAsia"/>
          <w:color w:val="auto"/>
          <w:sz w:val="32"/>
          <w:szCs w:val="32"/>
        </w:rPr>
        <w:t>项目名称：</w:t>
      </w:r>
      <w:r>
        <w:rPr>
          <w:rFonts w:hint="eastAsia"/>
          <w:color w:val="auto"/>
          <w:sz w:val="32"/>
          <w:szCs w:val="32"/>
          <w:u w:val="single"/>
        </w:rPr>
        <w:t>鸡西市木森商贸有限责任公司农机拆解项目</w:t>
      </w:r>
    </w:p>
    <w:p w14:paraId="751A8A9D">
      <w:pPr>
        <w:adjustRightInd w:val="0"/>
        <w:snapToGrid w:val="0"/>
        <w:spacing w:line="288" w:lineRule="auto"/>
        <w:ind w:firstLine="960" w:firstLineChars="300"/>
        <w:rPr>
          <w:rFonts w:hint="default" w:eastAsia="宋体"/>
          <w:color w:val="auto"/>
          <w:sz w:val="32"/>
          <w:szCs w:val="32"/>
          <w:u w:val="single"/>
          <w:lang w:val="en-US" w:eastAsia="zh-CN"/>
        </w:rPr>
      </w:pPr>
      <w:r>
        <w:rPr>
          <w:rFonts w:hint="eastAsia"/>
          <w:color w:val="auto"/>
          <w:sz w:val="32"/>
          <w:szCs w:val="32"/>
        </w:rPr>
        <w:t>建设单位（盖章）：</w:t>
      </w:r>
      <w:r>
        <w:rPr>
          <w:rFonts w:hint="eastAsia"/>
          <w:color w:val="auto"/>
          <w:sz w:val="32"/>
          <w:szCs w:val="32"/>
          <w:u w:val="single"/>
          <w:lang w:val="en-US" w:eastAsia="zh-CN"/>
        </w:rPr>
        <w:t xml:space="preserve">  </w:t>
      </w:r>
      <w:r>
        <w:rPr>
          <w:rFonts w:hint="eastAsia"/>
          <w:color w:val="auto"/>
          <w:sz w:val="32"/>
          <w:szCs w:val="32"/>
          <w:u w:val="single"/>
        </w:rPr>
        <w:t>鸡西市木森商贸有限责任公司</w:t>
      </w:r>
      <w:r>
        <w:rPr>
          <w:rFonts w:hint="eastAsia"/>
          <w:color w:val="auto"/>
          <w:sz w:val="32"/>
          <w:szCs w:val="32"/>
          <w:u w:val="single"/>
          <w:lang w:val="en-US" w:eastAsia="zh-CN"/>
        </w:rPr>
        <w:t xml:space="preserve">  </w:t>
      </w:r>
    </w:p>
    <w:p w14:paraId="486A7BDE">
      <w:pPr>
        <w:adjustRightInd w:val="0"/>
        <w:snapToGrid w:val="0"/>
        <w:spacing w:line="288" w:lineRule="auto"/>
        <w:ind w:firstLine="960" w:firstLineChars="300"/>
        <w:rPr>
          <w:color w:val="auto"/>
          <w:sz w:val="32"/>
          <w:szCs w:val="32"/>
          <w:u w:val="single"/>
        </w:rPr>
      </w:pPr>
      <w:r>
        <w:rPr>
          <w:rFonts w:hint="eastAsia"/>
          <w:color w:val="auto"/>
          <w:sz w:val="32"/>
          <w:szCs w:val="32"/>
        </w:rPr>
        <w:t>编制日期：</w:t>
      </w:r>
      <w:r>
        <w:rPr>
          <w:rFonts w:hint="eastAsia"/>
          <w:color w:val="auto"/>
          <w:sz w:val="32"/>
          <w:szCs w:val="32"/>
          <w:u w:val="single"/>
        </w:rPr>
        <w:t xml:space="preserve">       </w:t>
      </w:r>
      <w:r>
        <w:rPr>
          <w:rFonts w:hint="eastAsia"/>
          <w:color w:val="auto"/>
          <w:sz w:val="32"/>
          <w:szCs w:val="32"/>
          <w:u w:val="single"/>
          <w:lang w:val="en-US" w:eastAsia="zh-CN"/>
        </w:rPr>
        <w:t xml:space="preserve">  </w:t>
      </w:r>
      <w:r>
        <w:rPr>
          <w:rFonts w:hint="eastAsia"/>
          <w:color w:val="auto"/>
          <w:sz w:val="32"/>
          <w:szCs w:val="32"/>
          <w:u w:val="single"/>
        </w:rPr>
        <w:t xml:space="preserve">     202</w:t>
      </w:r>
      <w:r>
        <w:rPr>
          <w:rFonts w:hint="eastAsia"/>
          <w:color w:val="auto"/>
          <w:sz w:val="32"/>
          <w:szCs w:val="32"/>
          <w:u w:val="single"/>
          <w:lang w:val="en-US" w:eastAsia="zh-CN"/>
        </w:rPr>
        <w:t>4</w:t>
      </w:r>
      <w:r>
        <w:rPr>
          <w:rFonts w:hint="eastAsia"/>
          <w:color w:val="auto"/>
          <w:sz w:val="32"/>
          <w:szCs w:val="32"/>
          <w:u w:val="single"/>
        </w:rPr>
        <w:t>年</w:t>
      </w:r>
      <w:r>
        <w:rPr>
          <w:rFonts w:hint="eastAsia"/>
          <w:color w:val="auto"/>
          <w:sz w:val="32"/>
          <w:szCs w:val="32"/>
          <w:u w:val="single"/>
          <w:lang w:val="en-US" w:eastAsia="zh-CN"/>
        </w:rPr>
        <w:t>11</w:t>
      </w:r>
      <w:r>
        <w:rPr>
          <w:rFonts w:hint="eastAsia"/>
          <w:color w:val="auto"/>
          <w:sz w:val="32"/>
          <w:szCs w:val="32"/>
          <w:u w:val="single"/>
        </w:rPr>
        <w:t xml:space="preserve">月             </w:t>
      </w:r>
    </w:p>
    <w:p w14:paraId="01D43B35">
      <w:pPr>
        <w:adjustRightInd w:val="0"/>
        <w:snapToGrid w:val="0"/>
        <w:spacing w:line="288" w:lineRule="auto"/>
        <w:ind w:firstLine="1040"/>
        <w:rPr>
          <w:color w:val="auto"/>
          <w:sz w:val="36"/>
          <w:szCs w:val="36"/>
          <w:u w:val="single"/>
        </w:rPr>
      </w:pPr>
      <w:bookmarkStart w:id="1" w:name="_Hlk57884087"/>
    </w:p>
    <w:p w14:paraId="0C6B1DB2">
      <w:pPr>
        <w:adjustRightInd w:val="0"/>
        <w:snapToGrid w:val="0"/>
        <w:spacing w:line="288" w:lineRule="auto"/>
        <w:ind w:firstLine="1040"/>
        <w:rPr>
          <w:color w:val="auto"/>
          <w:sz w:val="36"/>
          <w:szCs w:val="36"/>
        </w:rPr>
      </w:pPr>
    </w:p>
    <w:p w14:paraId="1D89D4FB">
      <w:pPr>
        <w:pStyle w:val="12"/>
        <w:rPr>
          <w:rFonts w:eastAsia="宋体"/>
          <w:color w:val="auto"/>
          <w:sz w:val="36"/>
          <w:szCs w:val="36"/>
        </w:rPr>
      </w:pPr>
    </w:p>
    <w:p w14:paraId="56464F05">
      <w:pPr>
        <w:pStyle w:val="40"/>
        <w:rPr>
          <w:color w:val="auto"/>
        </w:rPr>
      </w:pPr>
    </w:p>
    <w:p w14:paraId="0C2C0E6F">
      <w:pPr>
        <w:adjustRightInd w:val="0"/>
        <w:snapToGrid w:val="0"/>
        <w:spacing w:line="288" w:lineRule="auto"/>
        <w:ind w:firstLine="1040"/>
        <w:rPr>
          <w:color w:val="auto"/>
          <w:sz w:val="36"/>
          <w:szCs w:val="36"/>
        </w:rPr>
      </w:pPr>
    </w:p>
    <w:bookmarkEnd w:id="1"/>
    <w:p w14:paraId="1DB1B815">
      <w:pPr>
        <w:adjustRightInd w:val="0"/>
        <w:snapToGrid w:val="0"/>
        <w:spacing w:line="288" w:lineRule="auto"/>
        <w:jc w:val="center"/>
        <w:rPr>
          <w:rFonts w:ascii="Times New Roman" w:hAnsi="Times New Roman" w:eastAsia="宋体"/>
          <w:color w:val="auto"/>
          <w:sz w:val="36"/>
          <w:szCs w:val="36"/>
          <w:highlight w:val="none"/>
        </w:rPr>
      </w:pPr>
      <w:r>
        <w:rPr>
          <w:rFonts w:hint="eastAsia"/>
          <w:color w:val="auto"/>
          <w:sz w:val="36"/>
          <w:szCs w:val="36"/>
        </w:rPr>
        <w:t>中华人民共和国生态环境部制</w:t>
      </w:r>
      <w:r>
        <w:rPr>
          <w:rFonts w:ascii="Times New Roman" w:hAnsi="Times New Roman" w:eastAsia="宋体"/>
          <w:color w:val="auto"/>
          <w:sz w:val="36"/>
          <w:szCs w:val="36"/>
          <w:highlight w:val="none"/>
        </w:rPr>
        <w:br w:type="page"/>
      </w:r>
    </w:p>
    <w:p w14:paraId="431D9CDE">
      <w:pPr>
        <w:pStyle w:val="26"/>
        <w:spacing w:before="0" w:beforeAutospacing="0" w:after="0" w:afterAutospacing="0"/>
        <w:jc w:val="center"/>
        <w:outlineLvl w:val="0"/>
        <w:rPr>
          <w:rFonts w:ascii="Times New Roman" w:hAnsi="Times New Roman"/>
          <w:b/>
          <w:snapToGrid w:val="0"/>
          <w:color w:val="auto"/>
          <w:sz w:val="30"/>
          <w:szCs w:val="30"/>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bookmarkStart w:id="2" w:name="_Toc31990"/>
    </w:p>
    <w:p w14:paraId="2FA52DB6">
      <w:pPr>
        <w:pStyle w:val="26"/>
        <w:spacing w:before="0" w:beforeAutospacing="0" w:after="0" w:afterAutospacing="0"/>
        <w:jc w:val="both"/>
        <w:outlineLvl w:val="0"/>
        <w:rPr>
          <w:rFonts w:hint="eastAsia" w:ascii="Times New Roman" w:hAnsi="Times New Roman" w:eastAsia="宋体"/>
          <w:b/>
          <w:snapToGrid w:val="0"/>
          <w:color w:val="auto"/>
          <w:sz w:val="30"/>
          <w:szCs w:val="30"/>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color w:val="auto"/>
        </w:rPr>
        <w:drawing>
          <wp:inline distT="0" distB="0" distL="114300" distR="114300">
            <wp:extent cx="5566410" cy="7705725"/>
            <wp:effectExtent l="0" t="0" r="15240" b="9525"/>
            <wp:docPr id="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
                    <pic:cNvPicPr>
                      <a:picLocks noChangeAspect="1"/>
                    </pic:cNvPicPr>
                  </pic:nvPicPr>
                  <pic:blipFill>
                    <a:blip r:embed="rId8"/>
                    <a:stretch>
                      <a:fillRect/>
                    </a:stretch>
                  </pic:blipFill>
                  <pic:spPr>
                    <a:xfrm>
                      <a:off x="0" y="0"/>
                      <a:ext cx="5566410" cy="7705725"/>
                    </a:xfrm>
                    <a:prstGeom prst="rect">
                      <a:avLst/>
                    </a:prstGeom>
                    <a:noFill/>
                    <a:ln>
                      <a:noFill/>
                    </a:ln>
                  </pic:spPr>
                </pic:pic>
              </a:graphicData>
            </a:graphic>
          </wp:inline>
        </w:drawing>
      </w:r>
    </w:p>
    <w:p w14:paraId="5B675EBB">
      <w:pPr>
        <w:pStyle w:val="26"/>
        <w:spacing w:before="0" w:beforeAutospacing="0" w:after="0" w:afterAutospacing="0"/>
        <w:jc w:val="center"/>
        <w:outlineLvl w:val="0"/>
        <w:rPr>
          <w:rFonts w:hint="eastAsia" w:ascii="Times New Roman" w:hAnsi="Times New Roman" w:eastAsia="宋体" w:cs="Times New Roman"/>
          <w:b/>
          <w:snapToGrid w:val="0"/>
          <w:color w:val="auto"/>
          <w:kern w:val="0"/>
          <w:sz w:val="30"/>
          <w:szCs w:val="30"/>
          <w:highlight w:val="none"/>
          <w:lang w:val="en-US" w:eastAsia="zh-CN" w:bidi="ar-SA"/>
        </w:rPr>
      </w:pPr>
      <w:r>
        <w:rPr>
          <w:rFonts w:hint="eastAsia" w:ascii="Times New Roman" w:hAnsi="Times New Roman" w:eastAsia="宋体" w:cs="Times New Roman"/>
          <w:b/>
          <w:snapToGrid w:val="0"/>
          <w:color w:val="auto"/>
          <w:kern w:val="0"/>
          <w:sz w:val="30"/>
          <w:szCs w:val="30"/>
          <w:highlight w:val="none"/>
          <w:lang w:val="en-US" w:eastAsia="zh-CN" w:bidi="ar-SA"/>
        </w:rPr>
        <w:t>一、建设项目基本情况</w:t>
      </w:r>
      <w:bookmarkEnd w:id="2"/>
    </w:p>
    <w:tbl>
      <w:tblPr>
        <w:tblStyle w:val="31"/>
        <w:tblW w:w="88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1108"/>
        <w:gridCol w:w="2414"/>
        <w:gridCol w:w="1944"/>
        <w:gridCol w:w="3422"/>
      </w:tblGrid>
      <w:tr w14:paraId="0ECB1B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108" w:type="dxa"/>
            <w:tcBorders>
              <w:tl2br w:val="nil"/>
              <w:tr2bl w:val="nil"/>
            </w:tcBorders>
            <w:tcMar>
              <w:top w:w="16" w:type="dxa"/>
              <w:left w:w="16" w:type="dxa"/>
              <w:right w:w="16" w:type="dxa"/>
            </w:tcMar>
            <w:vAlign w:val="center"/>
          </w:tcPr>
          <w:p w14:paraId="64A8DBD2">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建设项目名称</w:t>
            </w:r>
          </w:p>
        </w:tc>
        <w:tc>
          <w:tcPr>
            <w:tcW w:w="7780" w:type="dxa"/>
            <w:gridSpan w:val="3"/>
            <w:tcBorders>
              <w:tl2br w:val="nil"/>
              <w:tr2bl w:val="nil"/>
            </w:tcBorders>
            <w:vAlign w:val="center"/>
          </w:tcPr>
          <w:p w14:paraId="533642E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cs="Times New Roman"/>
                <w:color w:val="auto"/>
                <w:sz w:val="22"/>
                <w:szCs w:val="22"/>
                <w:highlight w:val="none"/>
                <w:lang w:val="en-US" w:eastAsia="zh-CN"/>
              </w:rPr>
            </w:pPr>
            <w:r>
              <w:rPr>
                <w:rFonts w:hint="eastAsia"/>
                <w:color w:val="auto"/>
                <w:szCs w:val="24"/>
              </w:rPr>
              <w:t>鸡西市木森商贸有限责任公司农机拆解项目</w:t>
            </w:r>
          </w:p>
        </w:tc>
      </w:tr>
      <w:tr w14:paraId="6AD71C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52" w:hRule="atLeast"/>
          <w:jc w:val="center"/>
        </w:trPr>
        <w:tc>
          <w:tcPr>
            <w:tcW w:w="1108" w:type="dxa"/>
            <w:tcBorders>
              <w:tl2br w:val="nil"/>
              <w:tr2bl w:val="nil"/>
            </w:tcBorders>
            <w:tcMar>
              <w:top w:w="16" w:type="dxa"/>
              <w:left w:w="16" w:type="dxa"/>
              <w:right w:w="16" w:type="dxa"/>
            </w:tcMar>
            <w:vAlign w:val="center"/>
          </w:tcPr>
          <w:p w14:paraId="766219D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项目代码</w:t>
            </w:r>
          </w:p>
        </w:tc>
        <w:tc>
          <w:tcPr>
            <w:tcW w:w="7780" w:type="dxa"/>
            <w:gridSpan w:val="3"/>
            <w:tcBorders>
              <w:tl2br w:val="nil"/>
              <w:tr2bl w:val="nil"/>
            </w:tcBorders>
            <w:vAlign w:val="center"/>
          </w:tcPr>
          <w:p w14:paraId="3654239D">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cs="Times New Roman"/>
                <w:color w:val="auto"/>
                <w:sz w:val="22"/>
                <w:szCs w:val="22"/>
                <w:highlight w:val="none"/>
                <w:lang w:val="en-US" w:eastAsia="zh-CN"/>
              </w:rPr>
            </w:pPr>
            <w:r>
              <w:rPr>
                <w:rFonts w:hint="eastAsia" w:cs="Times New Roman"/>
                <w:color w:val="auto"/>
                <w:sz w:val="22"/>
                <w:szCs w:val="22"/>
                <w:highlight w:val="none"/>
                <w:lang w:val="en-US" w:eastAsia="zh-CN"/>
              </w:rPr>
              <w:t>/</w:t>
            </w:r>
          </w:p>
        </w:tc>
      </w:tr>
      <w:tr w14:paraId="11F322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108" w:type="dxa"/>
            <w:tcBorders>
              <w:tl2br w:val="nil"/>
              <w:tr2bl w:val="nil"/>
            </w:tcBorders>
            <w:tcMar>
              <w:top w:w="16" w:type="dxa"/>
              <w:left w:w="16" w:type="dxa"/>
              <w:right w:w="16" w:type="dxa"/>
            </w:tcMar>
            <w:vAlign w:val="center"/>
          </w:tcPr>
          <w:p w14:paraId="42E1C2B2">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建设单位联系人</w:t>
            </w:r>
          </w:p>
        </w:tc>
        <w:tc>
          <w:tcPr>
            <w:tcW w:w="2414" w:type="dxa"/>
            <w:tcBorders>
              <w:tl2br w:val="nil"/>
              <w:tr2bl w:val="nil"/>
            </w:tcBorders>
            <w:vAlign w:val="center"/>
          </w:tcPr>
          <w:p w14:paraId="2142DF3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color w:val="auto"/>
                <w:szCs w:val="24"/>
                <w:lang w:val="en-US"/>
              </w:rPr>
            </w:pPr>
            <w:r>
              <w:rPr>
                <w:rFonts w:hint="eastAsia"/>
                <w:color w:val="auto"/>
                <w:szCs w:val="24"/>
              </w:rPr>
              <w:t>王森</w:t>
            </w:r>
          </w:p>
        </w:tc>
        <w:tc>
          <w:tcPr>
            <w:tcW w:w="1944" w:type="dxa"/>
            <w:tcBorders>
              <w:tl2br w:val="nil"/>
              <w:tr2bl w:val="nil"/>
            </w:tcBorders>
            <w:vAlign w:val="center"/>
          </w:tcPr>
          <w:p w14:paraId="4FBCD697">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color w:val="auto"/>
                <w:szCs w:val="24"/>
              </w:rPr>
            </w:pPr>
            <w:r>
              <w:rPr>
                <w:rFonts w:hint="default"/>
                <w:color w:val="auto"/>
                <w:szCs w:val="24"/>
              </w:rPr>
              <w:t>联系方式</w:t>
            </w:r>
          </w:p>
        </w:tc>
        <w:tc>
          <w:tcPr>
            <w:tcW w:w="3422" w:type="dxa"/>
            <w:tcBorders>
              <w:tl2br w:val="nil"/>
              <w:tr2bl w:val="nil"/>
            </w:tcBorders>
            <w:vAlign w:val="center"/>
          </w:tcPr>
          <w:p w14:paraId="4A3EAD6C">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color w:val="auto"/>
                <w:szCs w:val="24"/>
                <w:lang w:val="en-US" w:eastAsia="zh-CN"/>
              </w:rPr>
            </w:pPr>
            <w:r>
              <w:rPr>
                <w:rFonts w:hint="default"/>
                <w:color w:val="auto"/>
                <w:szCs w:val="24"/>
              </w:rPr>
              <w:t>13737866666</w:t>
            </w:r>
          </w:p>
        </w:tc>
      </w:tr>
      <w:tr w14:paraId="555A1D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26" w:hRule="atLeast"/>
          <w:jc w:val="center"/>
        </w:trPr>
        <w:tc>
          <w:tcPr>
            <w:tcW w:w="1108" w:type="dxa"/>
            <w:tcBorders>
              <w:tl2br w:val="nil"/>
              <w:tr2bl w:val="nil"/>
            </w:tcBorders>
            <w:tcMar>
              <w:top w:w="16" w:type="dxa"/>
              <w:left w:w="16" w:type="dxa"/>
              <w:right w:w="16" w:type="dxa"/>
            </w:tcMar>
            <w:vAlign w:val="center"/>
          </w:tcPr>
          <w:p w14:paraId="3F3F2161">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建设地点</w:t>
            </w:r>
          </w:p>
        </w:tc>
        <w:tc>
          <w:tcPr>
            <w:tcW w:w="7780" w:type="dxa"/>
            <w:gridSpan w:val="3"/>
            <w:tcBorders>
              <w:tl2br w:val="nil"/>
              <w:tr2bl w:val="nil"/>
            </w:tcBorders>
            <w:vAlign w:val="center"/>
          </w:tcPr>
          <w:p w14:paraId="4B6A3AD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eastAsia" w:cs="Arial"/>
                <w:color w:val="auto"/>
                <w:lang w:val="en-US" w:eastAsia="zh-CN"/>
              </w:rPr>
              <w:t>黑龙江省</w:t>
            </w:r>
            <w:r>
              <w:rPr>
                <w:rFonts w:hint="eastAsia" w:cs="Arial"/>
                <w:color w:val="auto"/>
              </w:rPr>
              <w:t>鸡西市鸡冠区梁家村六组</w:t>
            </w:r>
          </w:p>
        </w:tc>
      </w:tr>
      <w:tr w14:paraId="6EAE37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6" w:hRule="atLeast"/>
          <w:jc w:val="center"/>
        </w:trPr>
        <w:tc>
          <w:tcPr>
            <w:tcW w:w="1108" w:type="dxa"/>
            <w:tcBorders>
              <w:tl2br w:val="nil"/>
              <w:tr2bl w:val="nil"/>
            </w:tcBorders>
            <w:tcMar>
              <w:top w:w="16" w:type="dxa"/>
              <w:left w:w="16" w:type="dxa"/>
              <w:right w:w="16" w:type="dxa"/>
            </w:tcMar>
            <w:vAlign w:val="center"/>
          </w:tcPr>
          <w:p w14:paraId="1331A475">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地理坐标</w:t>
            </w:r>
          </w:p>
        </w:tc>
        <w:tc>
          <w:tcPr>
            <w:tcW w:w="7780" w:type="dxa"/>
            <w:gridSpan w:val="3"/>
            <w:tcBorders>
              <w:tl2br w:val="nil"/>
              <w:tr2bl w:val="nil"/>
            </w:tcBorders>
            <w:vAlign w:val="center"/>
          </w:tcPr>
          <w:p w14:paraId="64DCC25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 xml:space="preserve">（ </w:t>
            </w:r>
            <w:r>
              <w:rPr>
                <w:rFonts w:hint="eastAsia" w:cs="Times New Roman"/>
                <w:color w:val="auto"/>
                <w:sz w:val="22"/>
                <w:szCs w:val="22"/>
                <w:highlight w:val="none"/>
                <w:lang w:val="en-US" w:eastAsia="zh-CN"/>
              </w:rPr>
              <w:t xml:space="preserve">130 </w:t>
            </w:r>
            <w:r>
              <w:rPr>
                <w:rFonts w:hint="default" w:ascii="Times New Roman" w:hAnsi="Times New Roman" w:eastAsia="宋体" w:cs="Times New Roman"/>
                <w:color w:val="auto"/>
                <w:sz w:val="22"/>
                <w:szCs w:val="22"/>
                <w:highlight w:val="none"/>
              </w:rPr>
              <w:t xml:space="preserve">度 </w:t>
            </w:r>
            <w:r>
              <w:rPr>
                <w:rFonts w:hint="eastAsia" w:cs="Times New Roman"/>
                <w:color w:val="auto"/>
                <w:sz w:val="22"/>
                <w:szCs w:val="22"/>
                <w:highlight w:val="none"/>
                <w:lang w:val="en-US" w:eastAsia="zh-CN"/>
              </w:rPr>
              <w:t xml:space="preserve">54 </w:t>
            </w:r>
            <w:r>
              <w:rPr>
                <w:rFonts w:hint="default" w:ascii="Times New Roman" w:hAnsi="Times New Roman" w:eastAsia="宋体" w:cs="Times New Roman"/>
                <w:color w:val="auto"/>
                <w:sz w:val="22"/>
                <w:szCs w:val="22"/>
                <w:highlight w:val="none"/>
              </w:rPr>
              <w:t xml:space="preserve">分 </w:t>
            </w:r>
            <w:r>
              <w:rPr>
                <w:rFonts w:hint="eastAsia" w:cs="Times New Roman"/>
                <w:color w:val="auto"/>
                <w:sz w:val="22"/>
                <w:szCs w:val="22"/>
                <w:highlight w:val="none"/>
                <w:lang w:val="en-US" w:eastAsia="zh-CN"/>
              </w:rPr>
              <w:t>31.512</w:t>
            </w:r>
            <w:r>
              <w:rPr>
                <w:rFonts w:hint="default" w:ascii="Times New Roman" w:hAnsi="Times New Roman" w:eastAsia="宋体" w:cs="Times New Roman"/>
                <w:color w:val="auto"/>
                <w:sz w:val="22"/>
                <w:szCs w:val="22"/>
                <w:highlight w:val="none"/>
              </w:rPr>
              <w:t xml:space="preserve"> 秒， </w:t>
            </w:r>
            <w:r>
              <w:rPr>
                <w:rFonts w:hint="eastAsia" w:cs="Times New Roman"/>
                <w:color w:val="auto"/>
                <w:sz w:val="22"/>
                <w:szCs w:val="22"/>
                <w:highlight w:val="none"/>
                <w:lang w:val="en-US" w:eastAsia="zh-CN"/>
              </w:rPr>
              <w:t>45</w:t>
            </w:r>
            <w:r>
              <w:rPr>
                <w:rFonts w:hint="default" w:ascii="Times New Roman" w:hAnsi="Times New Roman" w:eastAsia="宋体" w:cs="Times New Roman"/>
                <w:color w:val="auto"/>
                <w:sz w:val="22"/>
                <w:szCs w:val="22"/>
                <w:highlight w:val="none"/>
              </w:rPr>
              <w:t xml:space="preserve"> 度 </w:t>
            </w:r>
            <w:r>
              <w:rPr>
                <w:rFonts w:hint="eastAsia" w:cs="Times New Roman"/>
                <w:color w:val="auto"/>
                <w:sz w:val="22"/>
                <w:szCs w:val="22"/>
                <w:highlight w:val="none"/>
                <w:lang w:val="en-US" w:eastAsia="zh-CN"/>
              </w:rPr>
              <w:t>19</w:t>
            </w:r>
            <w:r>
              <w:rPr>
                <w:rFonts w:hint="default" w:ascii="Times New Roman" w:hAnsi="Times New Roman" w:eastAsia="宋体" w:cs="Times New Roman"/>
                <w:color w:val="auto"/>
                <w:sz w:val="22"/>
                <w:szCs w:val="22"/>
                <w:highlight w:val="none"/>
              </w:rPr>
              <w:t xml:space="preserve"> 分 </w:t>
            </w:r>
            <w:r>
              <w:rPr>
                <w:rFonts w:hint="eastAsia" w:cs="Times New Roman"/>
                <w:color w:val="auto"/>
                <w:sz w:val="22"/>
                <w:szCs w:val="22"/>
                <w:highlight w:val="none"/>
                <w:lang w:val="en-US" w:eastAsia="zh-CN"/>
              </w:rPr>
              <w:t>8.060</w:t>
            </w:r>
            <w:r>
              <w:rPr>
                <w:rFonts w:hint="default" w:ascii="Times New Roman" w:hAnsi="Times New Roman" w:eastAsia="宋体" w:cs="Times New Roman"/>
                <w:color w:val="auto"/>
                <w:sz w:val="22"/>
                <w:szCs w:val="22"/>
                <w:highlight w:val="none"/>
              </w:rPr>
              <w:t xml:space="preserve"> 秒）</w:t>
            </w:r>
          </w:p>
        </w:tc>
      </w:tr>
      <w:tr w14:paraId="3C3340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108" w:type="dxa"/>
            <w:tcBorders>
              <w:tl2br w:val="nil"/>
              <w:tr2bl w:val="nil"/>
            </w:tcBorders>
            <w:tcMar>
              <w:top w:w="16" w:type="dxa"/>
              <w:left w:w="16" w:type="dxa"/>
              <w:right w:w="16" w:type="dxa"/>
            </w:tcMar>
            <w:vAlign w:val="center"/>
          </w:tcPr>
          <w:p w14:paraId="160E2A9E">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国民经济</w:t>
            </w:r>
          </w:p>
          <w:p w14:paraId="43D0FCB1">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行业类别</w:t>
            </w:r>
          </w:p>
        </w:tc>
        <w:tc>
          <w:tcPr>
            <w:tcW w:w="2414" w:type="dxa"/>
            <w:tcBorders>
              <w:tl2br w:val="nil"/>
              <w:tr2bl w:val="nil"/>
            </w:tcBorders>
            <w:vAlign w:val="center"/>
          </w:tcPr>
          <w:p w14:paraId="5859A09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lang w:val="en-US" w:eastAsia="zh-CN"/>
              </w:rPr>
            </w:pPr>
            <w:r>
              <w:rPr>
                <w:rFonts w:hint="default" w:ascii="Times New Roman" w:hAnsi="Times New Roman" w:eastAsia="宋体" w:cs="Times New Roman"/>
                <w:color w:val="auto"/>
                <w:sz w:val="22"/>
                <w:szCs w:val="22"/>
                <w:highlight w:val="none"/>
              </w:rPr>
              <w:t>C4210</w:t>
            </w:r>
            <w:r>
              <w:rPr>
                <w:rFonts w:hint="eastAsia" w:ascii="Times New Roman" w:hAnsi="Times New Roman" w:cs="Times New Roman"/>
                <w:color w:val="auto"/>
                <w:sz w:val="22"/>
                <w:szCs w:val="22"/>
                <w:highlight w:val="none"/>
                <w:lang w:val="en-US" w:eastAsia="zh-CN"/>
              </w:rPr>
              <w:t xml:space="preserve"> </w:t>
            </w:r>
            <w:r>
              <w:rPr>
                <w:rFonts w:hint="default" w:ascii="Times New Roman" w:hAnsi="Times New Roman" w:eastAsia="宋体" w:cs="Times New Roman"/>
                <w:color w:val="auto"/>
                <w:sz w:val="22"/>
                <w:szCs w:val="22"/>
                <w:highlight w:val="none"/>
              </w:rPr>
              <w:t>金属废料和碎屑加工处理</w:t>
            </w:r>
          </w:p>
        </w:tc>
        <w:tc>
          <w:tcPr>
            <w:tcW w:w="1944" w:type="dxa"/>
            <w:tcBorders>
              <w:tl2br w:val="nil"/>
              <w:tr2bl w:val="nil"/>
            </w:tcBorders>
            <w:vAlign w:val="center"/>
          </w:tcPr>
          <w:p w14:paraId="4B97562D">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bookmarkStart w:id="3" w:name="_Hlk49843745"/>
            <w:r>
              <w:rPr>
                <w:rFonts w:hint="default" w:ascii="Times New Roman" w:hAnsi="Times New Roman" w:eastAsia="宋体" w:cs="Times New Roman"/>
                <w:color w:val="auto"/>
                <w:sz w:val="22"/>
                <w:szCs w:val="22"/>
                <w:highlight w:val="none"/>
              </w:rPr>
              <w:t>建设项目</w:t>
            </w:r>
          </w:p>
          <w:p w14:paraId="2B998DD7">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行业类别</w:t>
            </w:r>
            <w:bookmarkEnd w:id="3"/>
          </w:p>
        </w:tc>
        <w:tc>
          <w:tcPr>
            <w:tcW w:w="3422" w:type="dxa"/>
            <w:tcBorders>
              <w:tl2br w:val="nil"/>
              <w:tr2bl w:val="nil"/>
            </w:tcBorders>
            <w:vAlign w:val="center"/>
          </w:tcPr>
          <w:p w14:paraId="2D135F52">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eastAsia" w:ascii="Times New Roman" w:hAnsi="Times New Roman" w:eastAsia="宋体" w:cs="Times New Roman"/>
                <w:color w:val="auto"/>
                <w:sz w:val="22"/>
                <w:szCs w:val="22"/>
                <w:highlight w:val="none"/>
              </w:rPr>
              <w:t>三十九、废弃资源综合利用业42</w:t>
            </w:r>
          </w:p>
          <w:p w14:paraId="7491360E">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85金属废料和碎屑加工处理421</w:t>
            </w:r>
          </w:p>
        </w:tc>
      </w:tr>
      <w:tr w14:paraId="6EC950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108" w:type="dxa"/>
            <w:tcBorders>
              <w:tl2br w:val="nil"/>
              <w:tr2bl w:val="nil"/>
            </w:tcBorders>
            <w:tcMar>
              <w:top w:w="16" w:type="dxa"/>
              <w:left w:w="16" w:type="dxa"/>
              <w:right w:w="16" w:type="dxa"/>
            </w:tcMar>
            <w:vAlign w:val="center"/>
          </w:tcPr>
          <w:p w14:paraId="32280497">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建设性质</w:t>
            </w:r>
          </w:p>
        </w:tc>
        <w:tc>
          <w:tcPr>
            <w:tcW w:w="2414" w:type="dxa"/>
            <w:tcBorders>
              <w:tl2br w:val="nil"/>
              <w:tr2bl w:val="nil"/>
            </w:tcBorders>
            <w:vAlign w:val="center"/>
          </w:tcPr>
          <w:p w14:paraId="6D4467D5">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color w:val="auto"/>
                <w:sz w:val="22"/>
                <w:szCs w:val="22"/>
                <w:highlight w:val="none"/>
              </w:rPr>
            </w:pPr>
            <w:r>
              <w:rPr>
                <w:rFonts w:hint="eastAsia" w:cs="Times New Roman"/>
                <w:color w:val="auto"/>
                <w:sz w:val="22"/>
                <w:szCs w:val="22"/>
                <w:highlight w:val="none"/>
                <w:lang w:eastAsia="zh-CN"/>
              </w:rPr>
              <w:t>☑</w:t>
            </w:r>
            <w:r>
              <w:rPr>
                <w:rFonts w:hint="default" w:ascii="Times New Roman" w:hAnsi="Times New Roman" w:eastAsia="宋体" w:cs="Times New Roman"/>
                <w:color w:val="auto"/>
                <w:sz w:val="22"/>
                <w:szCs w:val="22"/>
                <w:highlight w:val="none"/>
              </w:rPr>
              <w:t>新建（迁建）</w:t>
            </w:r>
          </w:p>
          <w:p w14:paraId="16B7210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color w:val="auto"/>
                <w:sz w:val="22"/>
                <w:szCs w:val="22"/>
                <w:highlight w:val="none"/>
              </w:rPr>
            </w:pPr>
            <w:r>
              <w:rPr>
                <w:rFonts w:hint="eastAsia" w:cs="Times New Roman"/>
                <w:color w:val="auto"/>
                <w:sz w:val="22"/>
                <w:szCs w:val="22"/>
                <w:highlight w:val="none"/>
                <w:lang w:eastAsia="zh-CN"/>
              </w:rPr>
              <w:t>□</w:t>
            </w:r>
            <w:r>
              <w:rPr>
                <w:rFonts w:hint="default" w:ascii="Times New Roman" w:hAnsi="Times New Roman" w:eastAsia="宋体" w:cs="Times New Roman"/>
                <w:color w:val="auto"/>
                <w:sz w:val="22"/>
                <w:szCs w:val="22"/>
                <w:highlight w:val="none"/>
              </w:rPr>
              <w:t>改建</w:t>
            </w:r>
          </w:p>
          <w:p w14:paraId="2BEE77C1">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color w:val="auto"/>
                <w:sz w:val="22"/>
                <w:szCs w:val="22"/>
                <w:highlight w:val="none"/>
              </w:rPr>
            </w:pPr>
            <w:r>
              <w:rPr>
                <w:rFonts w:hint="eastAsia" w:cs="Times New Roman"/>
                <w:color w:val="auto"/>
                <w:sz w:val="22"/>
                <w:szCs w:val="22"/>
                <w:highlight w:val="none"/>
                <w:lang w:eastAsia="zh-CN"/>
              </w:rPr>
              <w:t>□</w:t>
            </w:r>
            <w:r>
              <w:rPr>
                <w:rFonts w:hint="default" w:ascii="Times New Roman" w:hAnsi="Times New Roman" w:eastAsia="宋体" w:cs="Times New Roman"/>
                <w:color w:val="auto"/>
                <w:sz w:val="22"/>
                <w:szCs w:val="22"/>
                <w:highlight w:val="none"/>
              </w:rPr>
              <w:t>扩建</w:t>
            </w:r>
          </w:p>
          <w:p w14:paraId="0877764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color w:val="auto"/>
                <w:sz w:val="22"/>
                <w:szCs w:val="22"/>
                <w:highlight w:val="none"/>
              </w:rPr>
            </w:pPr>
            <w:r>
              <w:rPr>
                <w:rFonts w:hint="eastAsia" w:cs="Times New Roman"/>
                <w:color w:val="auto"/>
                <w:sz w:val="22"/>
                <w:szCs w:val="22"/>
                <w:highlight w:val="none"/>
                <w:lang w:eastAsia="zh-CN"/>
              </w:rPr>
              <w:t>□</w:t>
            </w:r>
            <w:r>
              <w:rPr>
                <w:rFonts w:hint="default" w:ascii="Times New Roman" w:hAnsi="Times New Roman" w:eastAsia="宋体" w:cs="Times New Roman"/>
                <w:color w:val="auto"/>
                <w:sz w:val="22"/>
                <w:szCs w:val="22"/>
                <w:highlight w:val="none"/>
              </w:rPr>
              <w:t>技术改造</w:t>
            </w:r>
          </w:p>
        </w:tc>
        <w:tc>
          <w:tcPr>
            <w:tcW w:w="1944" w:type="dxa"/>
            <w:tcBorders>
              <w:tl2br w:val="nil"/>
              <w:tr2bl w:val="nil"/>
            </w:tcBorders>
            <w:vAlign w:val="center"/>
          </w:tcPr>
          <w:p w14:paraId="720E37D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建设项目</w:t>
            </w:r>
          </w:p>
          <w:p w14:paraId="2C1F1331">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申报情形</w:t>
            </w:r>
          </w:p>
        </w:tc>
        <w:tc>
          <w:tcPr>
            <w:tcW w:w="3422" w:type="dxa"/>
            <w:tcBorders>
              <w:tl2br w:val="nil"/>
              <w:tr2bl w:val="nil"/>
            </w:tcBorders>
            <w:vAlign w:val="center"/>
          </w:tcPr>
          <w:p w14:paraId="5C495D4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color w:val="auto"/>
                <w:sz w:val="22"/>
                <w:szCs w:val="22"/>
                <w:highlight w:val="none"/>
              </w:rPr>
            </w:pPr>
            <w:r>
              <w:rPr>
                <w:rFonts w:hint="eastAsia" w:cs="Times New Roman"/>
                <w:color w:val="auto"/>
                <w:sz w:val="22"/>
                <w:szCs w:val="22"/>
                <w:highlight w:val="none"/>
                <w:lang w:eastAsia="zh-CN"/>
              </w:rPr>
              <w:t>☑</w:t>
            </w:r>
            <w:r>
              <w:rPr>
                <w:rFonts w:hint="default" w:ascii="Times New Roman" w:hAnsi="Times New Roman" w:eastAsia="宋体" w:cs="Times New Roman"/>
                <w:color w:val="auto"/>
                <w:sz w:val="22"/>
                <w:szCs w:val="22"/>
                <w:highlight w:val="none"/>
              </w:rPr>
              <w:t>首次申报项目</w:t>
            </w:r>
          </w:p>
          <w:p w14:paraId="08CEDB8B">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color w:val="auto"/>
                <w:sz w:val="22"/>
                <w:szCs w:val="22"/>
                <w:highlight w:val="none"/>
              </w:rPr>
            </w:pPr>
            <w:r>
              <w:rPr>
                <w:rFonts w:hint="eastAsia" w:cs="Times New Roman"/>
                <w:color w:val="auto"/>
                <w:sz w:val="22"/>
                <w:szCs w:val="22"/>
                <w:highlight w:val="none"/>
                <w:lang w:eastAsia="zh-CN"/>
              </w:rPr>
              <w:t>□</w:t>
            </w:r>
            <w:r>
              <w:rPr>
                <w:rFonts w:hint="default" w:ascii="Times New Roman" w:hAnsi="Times New Roman" w:eastAsia="宋体" w:cs="Times New Roman"/>
                <w:color w:val="auto"/>
                <w:sz w:val="22"/>
                <w:szCs w:val="22"/>
                <w:highlight w:val="none"/>
              </w:rPr>
              <w:t>不予批准后再次申报项目</w:t>
            </w:r>
          </w:p>
          <w:p w14:paraId="4CB670BE">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color w:val="auto"/>
                <w:sz w:val="22"/>
                <w:szCs w:val="22"/>
                <w:highlight w:val="none"/>
              </w:rPr>
            </w:pPr>
            <w:r>
              <w:rPr>
                <w:rFonts w:hint="eastAsia" w:cs="Times New Roman"/>
                <w:color w:val="auto"/>
                <w:sz w:val="22"/>
                <w:szCs w:val="22"/>
                <w:highlight w:val="none"/>
                <w:lang w:eastAsia="zh-CN"/>
              </w:rPr>
              <w:t>□</w:t>
            </w:r>
            <w:r>
              <w:rPr>
                <w:rFonts w:hint="default" w:ascii="Times New Roman" w:hAnsi="Times New Roman" w:eastAsia="宋体" w:cs="Times New Roman"/>
                <w:color w:val="auto"/>
                <w:sz w:val="22"/>
                <w:szCs w:val="22"/>
                <w:highlight w:val="none"/>
              </w:rPr>
              <w:t>超五年重新审核项目</w:t>
            </w:r>
          </w:p>
          <w:p w14:paraId="23F0F31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color w:val="auto"/>
                <w:sz w:val="22"/>
                <w:szCs w:val="22"/>
                <w:highlight w:val="none"/>
              </w:rPr>
            </w:pPr>
            <w:r>
              <w:rPr>
                <w:rFonts w:hint="eastAsia" w:cs="Times New Roman"/>
                <w:color w:val="auto"/>
                <w:sz w:val="22"/>
                <w:szCs w:val="22"/>
                <w:highlight w:val="none"/>
                <w:lang w:eastAsia="zh-CN"/>
              </w:rPr>
              <w:t>□</w:t>
            </w:r>
            <w:r>
              <w:rPr>
                <w:rFonts w:hint="default" w:ascii="Times New Roman" w:hAnsi="Times New Roman" w:eastAsia="宋体" w:cs="Times New Roman"/>
                <w:color w:val="auto"/>
                <w:sz w:val="22"/>
                <w:szCs w:val="22"/>
                <w:highlight w:val="none"/>
              </w:rPr>
              <w:t>重大变动</w:t>
            </w:r>
            <w:r>
              <w:rPr>
                <w:rFonts w:hint="eastAsia" w:ascii="Times New Roman" w:hAnsi="Times New Roman" w:eastAsia="宋体" w:cs="Times New Roman"/>
                <w:color w:val="auto"/>
                <w:sz w:val="22"/>
                <w:szCs w:val="22"/>
                <w:highlight w:val="none"/>
              </w:rPr>
              <w:t>重新报批</w:t>
            </w:r>
            <w:r>
              <w:rPr>
                <w:rFonts w:hint="default" w:ascii="Times New Roman" w:hAnsi="Times New Roman" w:eastAsia="宋体" w:cs="Times New Roman"/>
                <w:color w:val="auto"/>
                <w:sz w:val="22"/>
                <w:szCs w:val="22"/>
                <w:highlight w:val="none"/>
              </w:rPr>
              <w:t>项目</w:t>
            </w:r>
          </w:p>
        </w:tc>
      </w:tr>
      <w:tr w14:paraId="364EE9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108" w:type="dxa"/>
            <w:tcBorders>
              <w:tl2br w:val="nil"/>
              <w:tr2bl w:val="nil"/>
            </w:tcBorders>
            <w:tcMar>
              <w:top w:w="16" w:type="dxa"/>
              <w:left w:w="16" w:type="dxa"/>
              <w:right w:w="16" w:type="dxa"/>
            </w:tcMar>
            <w:vAlign w:val="center"/>
          </w:tcPr>
          <w:p w14:paraId="6729A737">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项目审批（核准/备案）部门</w:t>
            </w:r>
          </w:p>
          <w:p w14:paraId="00056D62">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（选填）</w:t>
            </w:r>
          </w:p>
        </w:tc>
        <w:tc>
          <w:tcPr>
            <w:tcW w:w="2414" w:type="dxa"/>
            <w:tcBorders>
              <w:tl2br w:val="nil"/>
              <w:tr2bl w:val="nil"/>
            </w:tcBorders>
            <w:vAlign w:val="center"/>
          </w:tcPr>
          <w:p w14:paraId="5E63DDF3">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auto"/>
                <w:sz w:val="22"/>
                <w:szCs w:val="22"/>
                <w:highlight w:val="none"/>
                <w:lang w:val="en-US" w:eastAsia="zh-CN"/>
              </w:rPr>
            </w:pPr>
            <w:r>
              <w:rPr>
                <w:rFonts w:hint="eastAsia" w:cs="Times New Roman"/>
                <w:color w:val="auto"/>
                <w:sz w:val="22"/>
                <w:szCs w:val="22"/>
                <w:highlight w:val="none"/>
                <w:lang w:val="en-US" w:eastAsia="zh-CN"/>
              </w:rPr>
              <w:t>/</w:t>
            </w:r>
          </w:p>
        </w:tc>
        <w:tc>
          <w:tcPr>
            <w:tcW w:w="1944" w:type="dxa"/>
            <w:tcBorders>
              <w:tl2br w:val="nil"/>
              <w:tr2bl w:val="nil"/>
            </w:tcBorders>
            <w:vAlign w:val="center"/>
          </w:tcPr>
          <w:p w14:paraId="61A3A73C">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项目审批（核准/备案）文号</w:t>
            </w:r>
          </w:p>
          <w:p w14:paraId="24F6D13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（选填）</w:t>
            </w:r>
          </w:p>
        </w:tc>
        <w:tc>
          <w:tcPr>
            <w:tcW w:w="3422" w:type="dxa"/>
            <w:tcBorders>
              <w:tl2br w:val="nil"/>
              <w:tr2bl w:val="nil"/>
            </w:tcBorders>
            <w:vAlign w:val="center"/>
          </w:tcPr>
          <w:p w14:paraId="58456503">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auto"/>
                <w:sz w:val="22"/>
                <w:szCs w:val="22"/>
                <w:highlight w:val="none"/>
                <w:lang w:val="en-US" w:eastAsia="zh-CN"/>
              </w:rPr>
            </w:pPr>
            <w:r>
              <w:rPr>
                <w:rFonts w:hint="eastAsia" w:cs="Times New Roman"/>
                <w:color w:val="auto"/>
                <w:sz w:val="22"/>
                <w:szCs w:val="22"/>
                <w:highlight w:val="none"/>
                <w:lang w:val="en-US" w:eastAsia="zh-CN"/>
              </w:rPr>
              <w:t>/</w:t>
            </w:r>
          </w:p>
        </w:tc>
      </w:tr>
      <w:tr w14:paraId="3A9ED5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108" w:type="dxa"/>
            <w:tcBorders>
              <w:tl2br w:val="nil"/>
              <w:tr2bl w:val="nil"/>
            </w:tcBorders>
            <w:tcMar>
              <w:top w:w="16" w:type="dxa"/>
              <w:left w:w="16" w:type="dxa"/>
              <w:right w:w="16" w:type="dxa"/>
            </w:tcMar>
            <w:vAlign w:val="center"/>
          </w:tcPr>
          <w:p w14:paraId="5A76AACC">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lang w:val="en-US" w:eastAsia="zh-CN"/>
              </w:rPr>
            </w:pPr>
            <w:r>
              <w:rPr>
                <w:rFonts w:hint="default" w:ascii="Times New Roman" w:hAnsi="Times New Roman" w:eastAsia="宋体" w:cs="Times New Roman"/>
                <w:color w:val="auto"/>
                <w:sz w:val="22"/>
                <w:szCs w:val="22"/>
                <w:highlight w:val="none"/>
                <w:lang w:val="en-US" w:eastAsia="zh-CN"/>
              </w:rPr>
              <w:t>总投资</w:t>
            </w:r>
          </w:p>
          <w:p w14:paraId="7B883FD9">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lang w:val="en-US" w:eastAsia="zh-CN"/>
              </w:rPr>
            </w:pPr>
            <w:r>
              <w:rPr>
                <w:rFonts w:hint="default" w:ascii="Times New Roman" w:hAnsi="Times New Roman" w:eastAsia="宋体" w:cs="Times New Roman"/>
                <w:color w:val="auto"/>
                <w:sz w:val="22"/>
                <w:szCs w:val="22"/>
                <w:highlight w:val="none"/>
                <w:lang w:val="en-US" w:eastAsia="zh-CN"/>
              </w:rPr>
              <w:t>（万元）</w:t>
            </w:r>
          </w:p>
        </w:tc>
        <w:tc>
          <w:tcPr>
            <w:tcW w:w="2414" w:type="dxa"/>
            <w:tcBorders>
              <w:tl2br w:val="nil"/>
              <w:tr2bl w:val="nil"/>
            </w:tcBorders>
            <w:vAlign w:val="center"/>
          </w:tcPr>
          <w:p w14:paraId="12B8CD8E">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lang w:val="en-US" w:eastAsia="zh-CN"/>
              </w:rPr>
            </w:pPr>
            <w:r>
              <w:rPr>
                <w:rFonts w:hint="eastAsia" w:cs="Times New Roman"/>
                <w:color w:val="auto"/>
                <w:sz w:val="22"/>
                <w:szCs w:val="22"/>
                <w:highlight w:val="none"/>
                <w:lang w:val="en-US" w:eastAsia="zh-CN"/>
              </w:rPr>
              <w:t>500</w:t>
            </w:r>
          </w:p>
        </w:tc>
        <w:tc>
          <w:tcPr>
            <w:tcW w:w="1944" w:type="dxa"/>
            <w:tcBorders>
              <w:tl2br w:val="nil"/>
              <w:tr2bl w:val="nil"/>
            </w:tcBorders>
            <w:tcMar>
              <w:top w:w="16" w:type="dxa"/>
              <w:left w:w="16" w:type="dxa"/>
              <w:right w:w="16" w:type="dxa"/>
            </w:tcMar>
            <w:vAlign w:val="center"/>
          </w:tcPr>
          <w:p w14:paraId="3866691C">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环保投资</w:t>
            </w:r>
          </w:p>
          <w:p w14:paraId="646D8B4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（万元）</w:t>
            </w:r>
          </w:p>
        </w:tc>
        <w:tc>
          <w:tcPr>
            <w:tcW w:w="3422" w:type="dxa"/>
            <w:tcBorders>
              <w:tl2br w:val="nil"/>
              <w:tr2bl w:val="nil"/>
            </w:tcBorders>
            <w:vAlign w:val="center"/>
          </w:tcPr>
          <w:p w14:paraId="0117969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lang w:val="en-US" w:eastAsia="zh-CN"/>
              </w:rPr>
            </w:pPr>
            <w:r>
              <w:rPr>
                <w:rFonts w:hint="eastAsia" w:cs="Times New Roman"/>
                <w:color w:val="auto"/>
                <w:sz w:val="22"/>
                <w:szCs w:val="22"/>
                <w:highlight w:val="none"/>
                <w:lang w:val="en-US" w:eastAsia="zh-CN"/>
              </w:rPr>
              <w:t>133</w:t>
            </w:r>
          </w:p>
        </w:tc>
      </w:tr>
      <w:tr w14:paraId="19976D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108" w:type="dxa"/>
            <w:tcBorders>
              <w:tl2br w:val="nil"/>
              <w:tr2bl w:val="nil"/>
            </w:tcBorders>
            <w:tcMar>
              <w:top w:w="16" w:type="dxa"/>
              <w:left w:w="16" w:type="dxa"/>
              <w:right w:w="16" w:type="dxa"/>
            </w:tcMar>
            <w:vAlign w:val="center"/>
          </w:tcPr>
          <w:p w14:paraId="47A31A91">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环保投资占比（%）</w:t>
            </w:r>
          </w:p>
        </w:tc>
        <w:tc>
          <w:tcPr>
            <w:tcW w:w="2414" w:type="dxa"/>
            <w:tcBorders>
              <w:tl2br w:val="nil"/>
              <w:tr2bl w:val="nil"/>
            </w:tcBorders>
            <w:vAlign w:val="center"/>
          </w:tcPr>
          <w:p w14:paraId="753561D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lang w:val="en-US" w:eastAsia="zh-CN"/>
              </w:rPr>
            </w:pPr>
            <w:r>
              <w:rPr>
                <w:rFonts w:hint="eastAsia" w:cs="Times New Roman"/>
                <w:color w:val="auto"/>
                <w:sz w:val="22"/>
                <w:szCs w:val="22"/>
                <w:highlight w:val="none"/>
                <w:lang w:val="en-US" w:eastAsia="zh-CN"/>
              </w:rPr>
              <w:t>26.6</w:t>
            </w:r>
          </w:p>
        </w:tc>
        <w:tc>
          <w:tcPr>
            <w:tcW w:w="1944" w:type="dxa"/>
            <w:tcBorders>
              <w:tl2br w:val="nil"/>
              <w:tr2bl w:val="nil"/>
            </w:tcBorders>
            <w:tcMar>
              <w:top w:w="16" w:type="dxa"/>
              <w:left w:w="16" w:type="dxa"/>
              <w:right w:w="16" w:type="dxa"/>
            </w:tcMar>
            <w:vAlign w:val="center"/>
          </w:tcPr>
          <w:p w14:paraId="730D0FF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施工工期</w:t>
            </w:r>
          </w:p>
        </w:tc>
        <w:tc>
          <w:tcPr>
            <w:tcW w:w="3422" w:type="dxa"/>
            <w:tcBorders>
              <w:tl2br w:val="nil"/>
              <w:tr2bl w:val="nil"/>
            </w:tcBorders>
            <w:vAlign w:val="center"/>
          </w:tcPr>
          <w:p w14:paraId="0B4CA5E9">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lang w:val="en-US" w:eastAsia="zh-CN"/>
              </w:rPr>
            </w:pPr>
            <w:r>
              <w:rPr>
                <w:rFonts w:hint="eastAsia" w:ascii="Times New Roman" w:hAnsi="Times New Roman" w:eastAsia="宋体" w:cs="Times New Roman"/>
                <w:color w:val="auto"/>
                <w:sz w:val="22"/>
                <w:szCs w:val="22"/>
                <w:highlight w:val="none"/>
                <w:lang w:val="en-US" w:eastAsia="zh-CN"/>
              </w:rPr>
              <w:t>20</w:t>
            </w:r>
            <w:r>
              <w:rPr>
                <w:rFonts w:hint="eastAsia" w:cs="Times New Roman"/>
                <w:color w:val="auto"/>
                <w:sz w:val="22"/>
                <w:szCs w:val="22"/>
                <w:highlight w:val="none"/>
                <w:lang w:val="en-US" w:eastAsia="zh-CN"/>
              </w:rPr>
              <w:t>25</w:t>
            </w:r>
            <w:r>
              <w:rPr>
                <w:rFonts w:hint="eastAsia" w:ascii="Times New Roman" w:hAnsi="Times New Roman" w:eastAsia="宋体" w:cs="Times New Roman"/>
                <w:color w:val="auto"/>
                <w:sz w:val="22"/>
                <w:szCs w:val="22"/>
                <w:highlight w:val="none"/>
                <w:lang w:val="en-US" w:eastAsia="zh-CN"/>
              </w:rPr>
              <w:t>年</w:t>
            </w:r>
            <w:r>
              <w:rPr>
                <w:rFonts w:hint="eastAsia" w:cs="Times New Roman"/>
                <w:color w:val="auto"/>
                <w:sz w:val="22"/>
                <w:szCs w:val="22"/>
                <w:highlight w:val="none"/>
                <w:lang w:val="en-US" w:eastAsia="zh-CN"/>
              </w:rPr>
              <w:t>2</w:t>
            </w:r>
            <w:r>
              <w:rPr>
                <w:rFonts w:hint="eastAsia" w:ascii="Times New Roman" w:hAnsi="Times New Roman" w:eastAsia="宋体" w:cs="Times New Roman"/>
                <w:color w:val="auto"/>
                <w:sz w:val="22"/>
                <w:szCs w:val="22"/>
                <w:highlight w:val="none"/>
                <w:lang w:val="en-US" w:eastAsia="zh-CN"/>
              </w:rPr>
              <w:t>月至202</w:t>
            </w:r>
            <w:r>
              <w:rPr>
                <w:rFonts w:hint="eastAsia" w:cs="Times New Roman"/>
                <w:color w:val="auto"/>
                <w:sz w:val="22"/>
                <w:szCs w:val="22"/>
                <w:highlight w:val="none"/>
                <w:lang w:val="en-US" w:eastAsia="zh-CN"/>
              </w:rPr>
              <w:t>5</w:t>
            </w:r>
            <w:r>
              <w:rPr>
                <w:rFonts w:hint="eastAsia" w:ascii="Times New Roman" w:hAnsi="Times New Roman" w:eastAsia="宋体" w:cs="Times New Roman"/>
                <w:color w:val="auto"/>
                <w:sz w:val="22"/>
                <w:szCs w:val="22"/>
                <w:highlight w:val="none"/>
                <w:lang w:val="en-US" w:eastAsia="zh-CN"/>
              </w:rPr>
              <w:t>年</w:t>
            </w:r>
            <w:r>
              <w:rPr>
                <w:rFonts w:hint="eastAsia" w:cs="Times New Roman"/>
                <w:color w:val="auto"/>
                <w:sz w:val="22"/>
                <w:szCs w:val="22"/>
                <w:highlight w:val="none"/>
                <w:lang w:val="en-US" w:eastAsia="zh-CN"/>
              </w:rPr>
              <w:t>3</w:t>
            </w:r>
            <w:r>
              <w:rPr>
                <w:rFonts w:hint="eastAsia" w:ascii="Times New Roman" w:hAnsi="Times New Roman" w:eastAsia="宋体" w:cs="Times New Roman"/>
                <w:color w:val="auto"/>
                <w:sz w:val="22"/>
                <w:szCs w:val="22"/>
                <w:highlight w:val="none"/>
                <w:lang w:val="en-US" w:eastAsia="zh-CN"/>
              </w:rPr>
              <w:t>月</w:t>
            </w:r>
          </w:p>
        </w:tc>
      </w:tr>
      <w:tr w14:paraId="7E4746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108" w:type="dxa"/>
            <w:tcBorders>
              <w:tl2br w:val="nil"/>
              <w:tr2bl w:val="nil"/>
            </w:tcBorders>
            <w:tcMar>
              <w:top w:w="16" w:type="dxa"/>
              <w:left w:w="16" w:type="dxa"/>
              <w:right w:w="16" w:type="dxa"/>
            </w:tcMar>
            <w:vAlign w:val="center"/>
          </w:tcPr>
          <w:p w14:paraId="56CACB9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是否开工建设</w:t>
            </w:r>
          </w:p>
        </w:tc>
        <w:tc>
          <w:tcPr>
            <w:tcW w:w="2414" w:type="dxa"/>
            <w:tcBorders>
              <w:tl2br w:val="nil"/>
              <w:tr2bl w:val="nil"/>
            </w:tcBorders>
            <w:vAlign w:val="center"/>
          </w:tcPr>
          <w:p w14:paraId="6C61EB4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color w:val="auto"/>
                <w:sz w:val="22"/>
                <w:szCs w:val="22"/>
                <w:highlight w:val="none"/>
              </w:rPr>
            </w:pPr>
            <w:r>
              <w:rPr>
                <w:rFonts w:hint="eastAsia" w:cs="Times New Roman"/>
                <w:color w:val="auto"/>
                <w:sz w:val="22"/>
                <w:szCs w:val="22"/>
                <w:highlight w:val="none"/>
                <w:lang w:eastAsia="zh-CN"/>
              </w:rPr>
              <w:t>☑</w:t>
            </w:r>
            <w:r>
              <w:rPr>
                <w:rFonts w:hint="default" w:ascii="Times New Roman" w:hAnsi="Times New Roman" w:eastAsia="宋体" w:cs="Times New Roman"/>
                <w:color w:val="auto"/>
                <w:sz w:val="22"/>
                <w:szCs w:val="22"/>
                <w:highlight w:val="none"/>
              </w:rPr>
              <w:t>否</w:t>
            </w:r>
          </w:p>
          <w:p w14:paraId="4EEBD8A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color w:val="auto"/>
                <w:sz w:val="22"/>
                <w:szCs w:val="22"/>
                <w:highlight w:val="none"/>
              </w:rPr>
            </w:pPr>
            <w:r>
              <w:rPr>
                <w:rFonts w:hint="eastAsia" w:cs="Times New Roman"/>
                <w:color w:val="auto"/>
                <w:sz w:val="22"/>
                <w:szCs w:val="22"/>
                <w:highlight w:val="none"/>
                <w:lang w:eastAsia="zh-CN"/>
              </w:rPr>
              <w:t>（</w:t>
            </w:r>
            <w:r>
              <w:rPr>
                <w:rFonts w:hint="default" w:ascii="Times New Roman" w:hAnsi="Times New Roman" w:eastAsia="宋体" w:cs="Times New Roman"/>
                <w:color w:val="auto"/>
                <w:sz w:val="22"/>
                <w:szCs w:val="22"/>
                <w:highlight w:val="none"/>
              </w:rPr>
              <w:t>是</w:t>
            </w:r>
            <w:r>
              <w:rPr>
                <w:rFonts w:hint="eastAsia" w:ascii="Times New Roman" w:hAnsi="Times New Roman" w:eastAsia="宋体" w:cs="Times New Roman"/>
                <w:color w:val="auto"/>
                <w:sz w:val="22"/>
                <w:szCs w:val="22"/>
                <w:highlight w:val="none"/>
              </w:rPr>
              <w:t>：</w:t>
            </w:r>
            <w:r>
              <w:rPr>
                <w:rFonts w:hint="eastAsia" w:ascii="Times New Roman" w:hAnsi="Times New Roman" w:eastAsia="宋体" w:cs="Times New Roman"/>
                <w:color w:val="auto"/>
                <w:sz w:val="22"/>
                <w:szCs w:val="22"/>
                <w:highlight w:val="none"/>
                <w:u w:val="single"/>
              </w:rPr>
              <w:t xml:space="preserve">           </w:t>
            </w:r>
          </w:p>
        </w:tc>
        <w:tc>
          <w:tcPr>
            <w:tcW w:w="1944" w:type="dxa"/>
            <w:tcBorders>
              <w:tl2br w:val="nil"/>
              <w:tr2bl w:val="nil"/>
            </w:tcBorders>
            <w:tcMar>
              <w:top w:w="16" w:type="dxa"/>
              <w:left w:w="16" w:type="dxa"/>
              <w:right w:w="16" w:type="dxa"/>
            </w:tcMar>
            <w:vAlign w:val="center"/>
          </w:tcPr>
          <w:p w14:paraId="126F1935">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用地（用海）</w:t>
            </w:r>
          </w:p>
          <w:p w14:paraId="7AFDBE29">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面积（m</w:t>
            </w:r>
            <w:r>
              <w:rPr>
                <w:rFonts w:hint="default" w:ascii="Times New Roman" w:hAnsi="Times New Roman" w:eastAsia="宋体" w:cs="Times New Roman"/>
                <w:color w:val="auto"/>
                <w:sz w:val="22"/>
                <w:szCs w:val="22"/>
                <w:highlight w:val="none"/>
                <w:vertAlign w:val="superscript"/>
              </w:rPr>
              <w:t>2</w:t>
            </w:r>
            <w:r>
              <w:rPr>
                <w:rFonts w:hint="default" w:ascii="Times New Roman" w:hAnsi="Times New Roman" w:eastAsia="宋体" w:cs="Times New Roman"/>
                <w:color w:val="auto"/>
                <w:sz w:val="22"/>
                <w:szCs w:val="22"/>
                <w:highlight w:val="none"/>
              </w:rPr>
              <w:t>）</w:t>
            </w:r>
          </w:p>
        </w:tc>
        <w:tc>
          <w:tcPr>
            <w:tcW w:w="3422" w:type="dxa"/>
            <w:tcBorders>
              <w:tl2br w:val="nil"/>
              <w:tr2bl w:val="nil"/>
            </w:tcBorders>
            <w:vAlign w:val="center"/>
          </w:tcPr>
          <w:p w14:paraId="685DA5CC">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lang w:val="en-US"/>
              </w:rPr>
            </w:pPr>
            <w:r>
              <w:rPr>
                <w:rFonts w:hint="eastAsia" w:cs="Times New Roman"/>
                <w:color w:val="auto"/>
                <w:sz w:val="22"/>
                <w:szCs w:val="22"/>
                <w:highlight w:val="none"/>
                <w:lang w:val="en-US" w:eastAsia="zh-CN"/>
              </w:rPr>
              <w:t>5100</w:t>
            </w:r>
          </w:p>
        </w:tc>
      </w:tr>
      <w:tr w14:paraId="5674E8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89" w:hRule="atLeast"/>
          <w:jc w:val="center"/>
        </w:trPr>
        <w:tc>
          <w:tcPr>
            <w:tcW w:w="1108" w:type="dxa"/>
            <w:tcBorders>
              <w:tl2br w:val="nil"/>
              <w:tr2bl w:val="nil"/>
            </w:tcBorders>
            <w:vAlign w:val="center"/>
          </w:tcPr>
          <w:p w14:paraId="3A135CD7">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专项评价</w:t>
            </w:r>
          </w:p>
          <w:p w14:paraId="565BF2FD">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设置情况</w:t>
            </w:r>
          </w:p>
        </w:tc>
        <w:tc>
          <w:tcPr>
            <w:tcW w:w="7780" w:type="dxa"/>
            <w:gridSpan w:val="3"/>
            <w:tcBorders>
              <w:tl2br w:val="nil"/>
              <w:tr2bl w:val="nil"/>
            </w:tcBorders>
            <w:vAlign w:val="center"/>
          </w:tcPr>
          <w:p w14:paraId="012BBBE4">
            <w:pPr>
              <w:pStyle w:val="104"/>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 xml:space="preserve">表1-1  </w:t>
            </w:r>
            <w:r>
              <w:rPr>
                <w:rFonts w:hint="default" w:ascii="Times New Roman" w:hAnsi="Times New Roman" w:eastAsia="宋体" w:cs="Times New Roman"/>
                <w:b/>
                <w:bCs/>
                <w:color w:val="auto"/>
                <w:sz w:val="21"/>
                <w:szCs w:val="21"/>
                <w:highlight w:val="none"/>
                <w:lang w:val="en-US" w:eastAsia="zh-CN"/>
              </w:rPr>
              <w:t>专项评价设置原则及本项目情况对照一览表</w:t>
            </w:r>
          </w:p>
          <w:tbl>
            <w:tblPr>
              <w:tblStyle w:val="3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42"/>
              <w:gridCol w:w="2265"/>
              <w:gridCol w:w="3454"/>
              <w:gridCol w:w="1060"/>
            </w:tblGrid>
            <w:tr w14:paraId="342363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10" w:type="pct"/>
                  <w:tcBorders>
                    <w:tl2br w:val="nil"/>
                    <w:tr2bl w:val="nil"/>
                  </w:tcBorders>
                  <w:vAlign w:val="center"/>
                </w:tcPr>
                <w:p w14:paraId="5E166F6D">
                  <w:pPr>
                    <w:pStyle w:val="2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color w:val="auto"/>
                      <w:highlight w:val="none"/>
                      <w:vertAlign w:val="baseline"/>
                      <w:lang w:eastAsia="zh-CN"/>
                    </w:rPr>
                  </w:pPr>
                  <w:r>
                    <w:rPr>
                      <w:rFonts w:hint="default"/>
                      <w:color w:val="auto"/>
                      <w:highlight w:val="none"/>
                      <w:vertAlign w:val="baseline"/>
                      <w:lang w:eastAsia="zh-CN"/>
                    </w:rPr>
                    <w:t>专项评价的类别</w:t>
                  </w:r>
                </w:p>
              </w:tc>
              <w:tc>
                <w:tcPr>
                  <w:tcW w:w="1466" w:type="pct"/>
                  <w:tcBorders>
                    <w:tl2br w:val="nil"/>
                    <w:tr2bl w:val="nil"/>
                  </w:tcBorders>
                  <w:vAlign w:val="center"/>
                </w:tcPr>
                <w:p w14:paraId="55A8AC91">
                  <w:pPr>
                    <w:pStyle w:val="2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highlight w:val="none"/>
                      <w:vertAlign w:val="baseline"/>
                      <w:lang w:eastAsia="zh-CN"/>
                    </w:rPr>
                  </w:pPr>
                  <w:r>
                    <w:rPr>
                      <w:rFonts w:hint="eastAsia"/>
                      <w:color w:val="auto"/>
                      <w:highlight w:val="none"/>
                      <w:vertAlign w:val="baseline"/>
                      <w:lang w:eastAsia="zh-CN"/>
                    </w:rPr>
                    <w:t>设置原则</w:t>
                  </w:r>
                </w:p>
              </w:tc>
              <w:tc>
                <w:tcPr>
                  <w:tcW w:w="2236" w:type="pct"/>
                  <w:tcBorders>
                    <w:tl2br w:val="nil"/>
                    <w:tr2bl w:val="nil"/>
                  </w:tcBorders>
                  <w:vAlign w:val="center"/>
                </w:tcPr>
                <w:p w14:paraId="126BC433">
                  <w:pPr>
                    <w:pStyle w:val="2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color w:val="auto"/>
                      <w:highlight w:val="none"/>
                      <w:vertAlign w:val="baseline"/>
                      <w:lang w:eastAsia="zh-CN"/>
                    </w:rPr>
                  </w:pPr>
                  <w:r>
                    <w:rPr>
                      <w:rFonts w:hint="eastAsia"/>
                      <w:color w:val="auto"/>
                      <w:highlight w:val="none"/>
                      <w:vertAlign w:val="baseline"/>
                      <w:lang w:eastAsia="zh-CN"/>
                    </w:rPr>
                    <w:t>本项目</w:t>
                  </w:r>
                </w:p>
              </w:tc>
              <w:tc>
                <w:tcPr>
                  <w:tcW w:w="686" w:type="pct"/>
                  <w:tcBorders>
                    <w:tl2br w:val="nil"/>
                    <w:tr2bl w:val="nil"/>
                  </w:tcBorders>
                  <w:vAlign w:val="center"/>
                </w:tcPr>
                <w:p w14:paraId="223782AF">
                  <w:pPr>
                    <w:pStyle w:val="2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color w:val="auto"/>
                      <w:highlight w:val="none"/>
                      <w:vertAlign w:val="baseline"/>
                      <w:lang w:val="en-US" w:eastAsia="zh-CN"/>
                    </w:rPr>
                  </w:pPr>
                  <w:r>
                    <w:rPr>
                      <w:rFonts w:hint="eastAsia"/>
                      <w:color w:val="auto"/>
                      <w:highlight w:val="none"/>
                      <w:vertAlign w:val="baseline"/>
                      <w:lang w:val="en-US" w:eastAsia="zh-CN"/>
                    </w:rPr>
                    <w:t>是否设置专项评价</w:t>
                  </w:r>
                </w:p>
              </w:tc>
            </w:tr>
            <w:tr w14:paraId="698C47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36" w:hRule="atLeast"/>
              </w:trPr>
              <w:tc>
                <w:tcPr>
                  <w:tcW w:w="610" w:type="pct"/>
                  <w:tcBorders>
                    <w:tl2br w:val="nil"/>
                    <w:tr2bl w:val="nil"/>
                  </w:tcBorders>
                  <w:vAlign w:val="center"/>
                </w:tcPr>
                <w:p w14:paraId="649FE5F4">
                  <w:pPr>
                    <w:pStyle w:val="2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highlight w:val="none"/>
                      <w:vertAlign w:val="baseline"/>
                      <w:lang w:eastAsia="zh-CN"/>
                    </w:rPr>
                  </w:pPr>
                  <w:r>
                    <w:rPr>
                      <w:rFonts w:hint="eastAsia"/>
                      <w:color w:val="auto"/>
                      <w:highlight w:val="none"/>
                      <w:vertAlign w:val="baseline"/>
                      <w:lang w:eastAsia="zh-CN"/>
                    </w:rPr>
                    <w:t>大气</w:t>
                  </w:r>
                </w:p>
              </w:tc>
              <w:tc>
                <w:tcPr>
                  <w:tcW w:w="1466" w:type="pct"/>
                  <w:tcBorders>
                    <w:tl2br w:val="nil"/>
                    <w:tr2bl w:val="nil"/>
                  </w:tcBorders>
                  <w:vAlign w:val="center"/>
                </w:tcPr>
                <w:p w14:paraId="39A4AC49">
                  <w:pPr>
                    <w:pStyle w:val="2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color w:val="auto"/>
                      <w:highlight w:val="none"/>
                      <w:vertAlign w:val="baseline"/>
                      <w:lang w:eastAsia="zh-CN"/>
                    </w:rPr>
                  </w:pPr>
                  <w:r>
                    <w:rPr>
                      <w:rFonts w:hint="default"/>
                      <w:color w:val="auto"/>
                      <w:highlight w:val="none"/>
                      <w:vertAlign w:val="baseline"/>
                      <w:lang w:eastAsia="zh-CN"/>
                    </w:rPr>
                    <w:t>排放废气含有毒有害污染物</w:t>
                  </w:r>
                  <w:r>
                    <w:rPr>
                      <w:rFonts w:hint="eastAsia"/>
                      <w:color w:val="auto"/>
                      <w:highlight w:val="none"/>
                      <w:vertAlign w:val="baseline"/>
                      <w:lang w:eastAsia="zh-CN"/>
                    </w:rPr>
                    <w:t>、</w:t>
                  </w:r>
                  <w:r>
                    <w:rPr>
                      <w:rFonts w:hint="default"/>
                      <w:color w:val="auto"/>
                      <w:highlight w:val="none"/>
                      <w:vertAlign w:val="baseline"/>
                      <w:lang w:eastAsia="zh-CN"/>
                    </w:rPr>
                    <w:t>二噁英、苯并[</w:t>
                  </w:r>
                  <w:r>
                    <w:rPr>
                      <w:rFonts w:hint="default" w:ascii="Times New Roman" w:hAnsi="Times New Roman" w:cs="Times New Roman"/>
                      <w:color w:val="auto"/>
                      <w:highlight w:val="none"/>
                      <w:vertAlign w:val="baseline"/>
                      <w:lang w:eastAsia="zh-CN"/>
                    </w:rPr>
                    <w:t>α</w:t>
                  </w:r>
                  <w:r>
                    <w:rPr>
                      <w:rFonts w:hint="default"/>
                      <w:color w:val="auto"/>
                      <w:highlight w:val="none"/>
                      <w:vertAlign w:val="baseline"/>
                      <w:lang w:eastAsia="zh-CN"/>
                    </w:rPr>
                    <w:t>]芘、氰化物、氯气且厂界外500米范围内有环境空气保护目标的建设项目</w:t>
                  </w:r>
                </w:p>
              </w:tc>
              <w:tc>
                <w:tcPr>
                  <w:tcW w:w="2236" w:type="pct"/>
                  <w:tcBorders>
                    <w:tl2br w:val="nil"/>
                    <w:tr2bl w:val="nil"/>
                  </w:tcBorders>
                  <w:vAlign w:val="center"/>
                </w:tcPr>
                <w:p w14:paraId="1A4D0677">
                  <w:pPr>
                    <w:pStyle w:val="2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highlight w:val="none"/>
                      <w:vertAlign w:val="baseline"/>
                      <w:lang w:eastAsia="zh-CN"/>
                    </w:rPr>
                  </w:pPr>
                  <w:r>
                    <w:rPr>
                      <w:rFonts w:hint="eastAsia"/>
                      <w:color w:val="auto"/>
                      <w:highlight w:val="none"/>
                      <w:vertAlign w:val="baseline"/>
                      <w:lang w:val="en-US" w:eastAsia="zh-CN"/>
                    </w:rPr>
                    <w:t>本项目</w:t>
                  </w:r>
                  <w:r>
                    <w:rPr>
                      <w:rFonts w:hint="default"/>
                      <w:color w:val="auto"/>
                      <w:highlight w:val="none"/>
                      <w:vertAlign w:val="baseline"/>
                      <w:lang w:eastAsia="zh-CN"/>
                    </w:rPr>
                    <w:t>排放废气</w:t>
                  </w:r>
                  <w:r>
                    <w:rPr>
                      <w:rFonts w:hint="eastAsia"/>
                      <w:color w:val="auto"/>
                      <w:highlight w:val="none"/>
                      <w:vertAlign w:val="baseline"/>
                      <w:lang w:val="en-US" w:eastAsia="zh-CN"/>
                    </w:rPr>
                    <w:t>主要为颗粒物、非甲烷总烃，不</w:t>
                  </w:r>
                  <w:r>
                    <w:rPr>
                      <w:rFonts w:hint="default"/>
                      <w:color w:val="auto"/>
                      <w:highlight w:val="none"/>
                      <w:vertAlign w:val="baseline"/>
                      <w:lang w:eastAsia="zh-CN"/>
                    </w:rPr>
                    <w:t>含有毒有害污染物</w:t>
                  </w:r>
                  <w:r>
                    <w:rPr>
                      <w:rFonts w:hint="eastAsia"/>
                      <w:color w:val="auto"/>
                      <w:highlight w:val="none"/>
                      <w:vertAlign w:val="baseline"/>
                      <w:lang w:eastAsia="zh-CN"/>
                    </w:rPr>
                    <w:t>、</w:t>
                  </w:r>
                  <w:r>
                    <w:rPr>
                      <w:rFonts w:hint="default"/>
                      <w:color w:val="auto"/>
                      <w:highlight w:val="none"/>
                      <w:vertAlign w:val="baseline"/>
                      <w:lang w:eastAsia="zh-CN"/>
                    </w:rPr>
                    <w:t>二噁英、苯并[α]]芘、氰化物、氯气</w:t>
                  </w:r>
                  <w:r>
                    <w:rPr>
                      <w:rFonts w:hint="eastAsia"/>
                      <w:color w:val="auto"/>
                      <w:highlight w:val="none"/>
                      <w:vertAlign w:val="baseline"/>
                      <w:lang w:eastAsia="zh-CN"/>
                    </w:rPr>
                    <w:t>，因此不需设置大气专项评价</w:t>
                  </w:r>
                </w:p>
              </w:tc>
              <w:tc>
                <w:tcPr>
                  <w:tcW w:w="686" w:type="pct"/>
                  <w:tcBorders>
                    <w:tl2br w:val="nil"/>
                    <w:tr2bl w:val="nil"/>
                  </w:tcBorders>
                  <w:vAlign w:val="center"/>
                </w:tcPr>
                <w:p w14:paraId="79559C4F">
                  <w:pPr>
                    <w:pStyle w:val="2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highlight w:val="none"/>
                      <w:vertAlign w:val="baseline"/>
                      <w:lang w:val="en-US" w:eastAsia="zh-CN"/>
                    </w:rPr>
                  </w:pPr>
                  <w:r>
                    <w:rPr>
                      <w:rFonts w:hint="eastAsia"/>
                      <w:color w:val="auto"/>
                      <w:highlight w:val="none"/>
                      <w:vertAlign w:val="baseline"/>
                      <w:lang w:val="en-US" w:eastAsia="zh-CN"/>
                    </w:rPr>
                    <w:t>否</w:t>
                  </w:r>
                </w:p>
              </w:tc>
            </w:tr>
            <w:tr w14:paraId="1A87A4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10" w:type="pct"/>
                  <w:tcBorders>
                    <w:tl2br w:val="nil"/>
                    <w:tr2bl w:val="nil"/>
                  </w:tcBorders>
                  <w:vAlign w:val="center"/>
                </w:tcPr>
                <w:p w14:paraId="21FD1280">
                  <w:pPr>
                    <w:pStyle w:val="2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highlight w:val="none"/>
                      <w:vertAlign w:val="baseline"/>
                      <w:lang w:eastAsia="zh-CN"/>
                    </w:rPr>
                  </w:pPr>
                  <w:r>
                    <w:rPr>
                      <w:rFonts w:hint="eastAsia"/>
                      <w:color w:val="auto"/>
                      <w:highlight w:val="none"/>
                      <w:vertAlign w:val="baseline"/>
                      <w:lang w:eastAsia="zh-CN"/>
                    </w:rPr>
                    <w:t>地表水</w:t>
                  </w:r>
                </w:p>
              </w:tc>
              <w:tc>
                <w:tcPr>
                  <w:tcW w:w="1466" w:type="pct"/>
                  <w:tcBorders>
                    <w:tl2br w:val="nil"/>
                    <w:tr2bl w:val="nil"/>
                  </w:tcBorders>
                  <w:vAlign w:val="center"/>
                </w:tcPr>
                <w:p w14:paraId="1B04B204">
                  <w:pPr>
                    <w:pStyle w:val="2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color w:val="auto"/>
                      <w:highlight w:val="none"/>
                      <w:vertAlign w:val="baseline"/>
                      <w:lang w:eastAsia="zh-CN"/>
                    </w:rPr>
                  </w:pPr>
                  <w:r>
                    <w:rPr>
                      <w:rFonts w:hint="default"/>
                      <w:color w:val="auto"/>
                      <w:highlight w:val="none"/>
                      <w:vertAlign w:val="baseline"/>
                      <w:lang w:eastAsia="zh-CN"/>
                    </w:rPr>
                    <w:t>新增工业废水直排建设项目（槽罐车外送污水处理厂的除外）；新增废水直排的污水集中处理厂</w:t>
                  </w:r>
                </w:p>
              </w:tc>
              <w:tc>
                <w:tcPr>
                  <w:tcW w:w="2236" w:type="pct"/>
                  <w:tcBorders>
                    <w:tl2br w:val="nil"/>
                    <w:tr2bl w:val="nil"/>
                  </w:tcBorders>
                  <w:vAlign w:val="center"/>
                </w:tcPr>
                <w:p w14:paraId="7F652994">
                  <w:pPr>
                    <w:pStyle w:val="2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color w:val="auto"/>
                      <w:highlight w:val="none"/>
                      <w:vertAlign w:val="baseline"/>
                      <w:lang w:eastAsia="zh-CN"/>
                    </w:rPr>
                  </w:pPr>
                  <w:r>
                    <w:rPr>
                      <w:rStyle w:val="132"/>
                      <w:rFonts w:hint="eastAsia" w:ascii="Times New Roman" w:hAnsi="Times New Roman" w:eastAsia="宋体" w:cs="Times New Roman"/>
                      <w:color w:val="auto"/>
                      <w:lang w:val="en-US" w:eastAsia="zh-CN"/>
                    </w:rPr>
                    <w:t>本项目建成后初期雨水收集后经</w:t>
                  </w:r>
                  <w:r>
                    <w:rPr>
                      <w:rStyle w:val="132"/>
                      <w:rFonts w:hint="eastAsia" w:cs="Times New Roman"/>
                      <w:color w:val="auto"/>
                      <w:lang w:val="en-US" w:eastAsia="zh-CN"/>
                    </w:rPr>
                    <w:t>油水分离装置</w:t>
                  </w:r>
                  <w:r>
                    <w:rPr>
                      <w:rStyle w:val="132"/>
                      <w:rFonts w:hint="eastAsia" w:ascii="Times New Roman" w:hAnsi="Times New Roman" w:eastAsia="宋体" w:cs="Times New Roman"/>
                      <w:color w:val="auto"/>
                      <w:lang w:val="en-US" w:eastAsia="zh-CN"/>
                    </w:rPr>
                    <w:t>处理后，和锅炉排污水、软化水制备废水和生活污水一同排入市政管网，送入鸡西市鸡冠区污水处理厂，经处理后</w:t>
                  </w:r>
                  <w:r>
                    <w:rPr>
                      <w:rStyle w:val="132"/>
                      <w:rFonts w:hint="eastAsia" w:ascii="Times New Roman" w:hAnsi="Times New Roman" w:eastAsia="宋体" w:cs="Times New Roman"/>
                      <w:color w:val="auto"/>
                    </w:rPr>
                    <w:t>可以达到《城镇污水处理厂污染物排放标准》（GB 18918－2002）中一级A标准</w:t>
                  </w:r>
                  <w:r>
                    <w:rPr>
                      <w:rStyle w:val="132"/>
                      <w:rFonts w:hint="eastAsia" w:ascii="Times New Roman" w:hAnsi="Times New Roman" w:eastAsia="宋体" w:cs="Times New Roman"/>
                      <w:color w:val="auto"/>
                      <w:lang w:eastAsia="zh-CN"/>
                    </w:rPr>
                    <w:t>。</w:t>
                  </w:r>
                  <w:r>
                    <w:rPr>
                      <w:rFonts w:hint="eastAsia"/>
                      <w:color w:val="auto"/>
                      <w:highlight w:val="none"/>
                      <w:vertAlign w:val="baseline"/>
                      <w:lang w:eastAsia="zh-CN"/>
                    </w:rPr>
                    <w:t>因此不需设置地表水专项评价</w:t>
                  </w:r>
                </w:p>
              </w:tc>
              <w:tc>
                <w:tcPr>
                  <w:tcW w:w="686" w:type="pct"/>
                  <w:tcBorders>
                    <w:tl2br w:val="nil"/>
                    <w:tr2bl w:val="nil"/>
                  </w:tcBorders>
                  <w:vAlign w:val="center"/>
                </w:tcPr>
                <w:p w14:paraId="0E3A1384">
                  <w:pPr>
                    <w:pStyle w:val="2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否</w:t>
                  </w:r>
                </w:p>
              </w:tc>
            </w:tr>
            <w:tr w14:paraId="522240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10" w:type="pct"/>
                  <w:tcBorders>
                    <w:tl2br w:val="nil"/>
                    <w:tr2bl w:val="nil"/>
                  </w:tcBorders>
                  <w:vAlign w:val="center"/>
                </w:tcPr>
                <w:p w14:paraId="27670EE3">
                  <w:pPr>
                    <w:pStyle w:val="2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highlight w:val="none"/>
                      <w:vertAlign w:val="baseline"/>
                      <w:lang w:eastAsia="zh-CN"/>
                    </w:rPr>
                  </w:pPr>
                  <w:r>
                    <w:rPr>
                      <w:rFonts w:hint="eastAsia"/>
                      <w:color w:val="auto"/>
                      <w:highlight w:val="none"/>
                      <w:vertAlign w:val="baseline"/>
                      <w:lang w:eastAsia="zh-CN"/>
                    </w:rPr>
                    <w:t>环境风险</w:t>
                  </w:r>
                </w:p>
              </w:tc>
              <w:tc>
                <w:tcPr>
                  <w:tcW w:w="1466" w:type="pct"/>
                  <w:tcBorders>
                    <w:tl2br w:val="nil"/>
                    <w:tr2bl w:val="nil"/>
                  </w:tcBorders>
                  <w:vAlign w:val="center"/>
                </w:tcPr>
                <w:p w14:paraId="738BD091">
                  <w:pPr>
                    <w:pStyle w:val="2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color w:val="auto"/>
                      <w:highlight w:val="none"/>
                      <w:vertAlign w:val="baseline"/>
                      <w:lang w:eastAsia="zh-CN"/>
                    </w:rPr>
                  </w:pPr>
                  <w:r>
                    <w:rPr>
                      <w:rFonts w:hint="default"/>
                      <w:color w:val="auto"/>
                      <w:highlight w:val="none"/>
                      <w:vertAlign w:val="baseline"/>
                      <w:lang w:eastAsia="zh-CN"/>
                    </w:rPr>
                    <w:t>有毒有害和易燃易爆危险物质存储量超过临界量的建设项目</w:t>
                  </w:r>
                </w:p>
              </w:tc>
              <w:tc>
                <w:tcPr>
                  <w:tcW w:w="2236" w:type="pct"/>
                  <w:tcBorders>
                    <w:tl2br w:val="nil"/>
                    <w:tr2bl w:val="nil"/>
                  </w:tcBorders>
                  <w:vAlign w:val="center"/>
                </w:tcPr>
                <w:p w14:paraId="4A95CF9E">
                  <w:pPr>
                    <w:pStyle w:val="2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highlight w:val="none"/>
                      <w:vertAlign w:val="baseline"/>
                      <w:lang w:val="en-US" w:eastAsia="zh-CN"/>
                    </w:rPr>
                  </w:pPr>
                  <w:r>
                    <w:rPr>
                      <w:rFonts w:hint="eastAsia"/>
                      <w:color w:val="auto"/>
                    </w:rPr>
                    <w:t>本项目废</w:t>
                  </w:r>
                  <w:r>
                    <w:rPr>
                      <w:rFonts w:hint="eastAsia"/>
                      <w:color w:val="auto"/>
                      <w:lang w:val="en-US" w:eastAsia="zh-CN"/>
                    </w:rPr>
                    <w:t>油液</w:t>
                  </w:r>
                  <w:r>
                    <w:rPr>
                      <w:rFonts w:hint="eastAsia"/>
                      <w:color w:val="auto"/>
                    </w:rPr>
                    <w:t>最大存储量为0.5t，临界量2500t，</w:t>
                  </w:r>
                  <w:r>
                    <w:rPr>
                      <w:rFonts w:hint="eastAsia"/>
                      <w:color w:val="auto"/>
                      <w:lang w:val="en-US" w:eastAsia="zh-CN"/>
                    </w:rPr>
                    <w:t>硫酸最大存储量为0.035t，临界量10t，经核算本项目Q值为0.0037，</w:t>
                  </w:r>
                  <w:r>
                    <w:rPr>
                      <w:rFonts w:hint="eastAsia" w:eastAsiaTheme="minorEastAsia"/>
                      <w:color w:val="auto"/>
                    </w:rPr>
                    <w:t>根据《建设项目环境风险评价技术导则》（HJ169-2018）</w:t>
                  </w:r>
                  <w:r>
                    <w:rPr>
                      <w:rFonts w:hint="eastAsia" w:eastAsiaTheme="minorEastAsia"/>
                      <w:color w:val="auto"/>
                      <w:lang w:val="en-US" w:eastAsia="zh-CN"/>
                    </w:rPr>
                    <w:t>当q＜1时，该项目环境风险潜势为Ⅰ，本项目不开展环境风险专项评价</w:t>
                  </w:r>
                </w:p>
              </w:tc>
              <w:tc>
                <w:tcPr>
                  <w:tcW w:w="686" w:type="pct"/>
                  <w:tcBorders>
                    <w:tl2br w:val="nil"/>
                    <w:tr2bl w:val="nil"/>
                  </w:tcBorders>
                  <w:vAlign w:val="center"/>
                </w:tcPr>
                <w:p w14:paraId="63FFFBCB">
                  <w:pPr>
                    <w:pStyle w:val="2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highlight w:val="none"/>
                      <w:vertAlign w:val="baseline"/>
                      <w:lang w:eastAsia="zh-CN"/>
                    </w:rPr>
                  </w:pPr>
                  <w:r>
                    <w:rPr>
                      <w:rFonts w:hint="eastAsia" w:cs="Times New Roman"/>
                      <w:color w:val="auto"/>
                      <w:highlight w:val="none"/>
                      <w:vertAlign w:val="baseline"/>
                      <w:lang w:val="en-US" w:eastAsia="zh-CN"/>
                    </w:rPr>
                    <w:t>否</w:t>
                  </w:r>
                </w:p>
              </w:tc>
            </w:tr>
            <w:tr w14:paraId="3BECEE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10" w:type="pct"/>
                  <w:tcBorders>
                    <w:tl2br w:val="nil"/>
                    <w:tr2bl w:val="nil"/>
                  </w:tcBorders>
                  <w:vAlign w:val="center"/>
                </w:tcPr>
                <w:p w14:paraId="7686C113">
                  <w:pPr>
                    <w:pStyle w:val="2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highlight w:val="none"/>
                      <w:vertAlign w:val="baseline"/>
                      <w:lang w:eastAsia="zh-CN"/>
                    </w:rPr>
                  </w:pPr>
                  <w:r>
                    <w:rPr>
                      <w:rFonts w:hint="eastAsia"/>
                      <w:color w:val="auto"/>
                      <w:highlight w:val="none"/>
                      <w:vertAlign w:val="baseline"/>
                      <w:lang w:eastAsia="zh-CN"/>
                    </w:rPr>
                    <w:t>生态</w:t>
                  </w:r>
                </w:p>
              </w:tc>
              <w:tc>
                <w:tcPr>
                  <w:tcW w:w="1466" w:type="pct"/>
                  <w:tcBorders>
                    <w:tl2br w:val="nil"/>
                    <w:tr2bl w:val="nil"/>
                  </w:tcBorders>
                  <w:vAlign w:val="center"/>
                </w:tcPr>
                <w:p w14:paraId="399F3867">
                  <w:pPr>
                    <w:pStyle w:val="2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color w:val="auto"/>
                      <w:highlight w:val="none"/>
                      <w:vertAlign w:val="baseline"/>
                      <w:lang w:eastAsia="zh-CN"/>
                    </w:rPr>
                  </w:pPr>
                  <w:r>
                    <w:rPr>
                      <w:rFonts w:hint="default"/>
                      <w:color w:val="auto"/>
                      <w:highlight w:val="none"/>
                      <w:vertAlign w:val="baseline"/>
                      <w:lang w:eastAsia="zh-CN"/>
                    </w:rPr>
                    <w:t>取水口下游500米范围内有重要水生生物的自然产卵场、索饵场、越冬场和洄游通道的新增河道取水的污染类建设项目</w:t>
                  </w:r>
                </w:p>
              </w:tc>
              <w:tc>
                <w:tcPr>
                  <w:tcW w:w="2236" w:type="pct"/>
                  <w:tcBorders>
                    <w:tl2br w:val="nil"/>
                    <w:tr2bl w:val="nil"/>
                  </w:tcBorders>
                  <w:vAlign w:val="center"/>
                </w:tcPr>
                <w:p w14:paraId="6981C3C9">
                  <w:pPr>
                    <w:pStyle w:val="2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highlight w:val="none"/>
                      <w:vertAlign w:val="baseline"/>
                      <w:lang w:eastAsia="zh-CN"/>
                    </w:rPr>
                  </w:pPr>
                  <w:r>
                    <w:rPr>
                      <w:rFonts w:hint="eastAsia"/>
                      <w:color w:val="auto"/>
                      <w:highlight w:val="none"/>
                      <w:vertAlign w:val="baseline"/>
                      <w:lang w:eastAsia="zh-CN"/>
                    </w:rPr>
                    <w:t>不涉及取水工程，因此不需设置生态专项评价</w:t>
                  </w:r>
                </w:p>
              </w:tc>
              <w:tc>
                <w:tcPr>
                  <w:tcW w:w="686" w:type="pct"/>
                  <w:tcBorders>
                    <w:tl2br w:val="nil"/>
                    <w:tr2bl w:val="nil"/>
                  </w:tcBorders>
                  <w:vAlign w:val="center"/>
                </w:tcPr>
                <w:p w14:paraId="3C7E4558">
                  <w:pPr>
                    <w:pStyle w:val="2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highlight w:val="none"/>
                      <w:vertAlign w:val="baseline"/>
                      <w:lang w:val="en-US" w:eastAsia="zh-CN"/>
                    </w:rPr>
                  </w:pPr>
                  <w:r>
                    <w:rPr>
                      <w:rFonts w:hint="eastAsia"/>
                      <w:color w:val="auto"/>
                      <w:highlight w:val="none"/>
                      <w:vertAlign w:val="baseline"/>
                      <w:lang w:val="en-US" w:eastAsia="zh-CN"/>
                    </w:rPr>
                    <w:t>否</w:t>
                  </w:r>
                </w:p>
              </w:tc>
            </w:tr>
            <w:tr w14:paraId="108346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10" w:type="pct"/>
                  <w:tcBorders>
                    <w:tl2br w:val="nil"/>
                    <w:tr2bl w:val="nil"/>
                  </w:tcBorders>
                  <w:vAlign w:val="center"/>
                </w:tcPr>
                <w:p w14:paraId="4FA3814B">
                  <w:pPr>
                    <w:pStyle w:val="2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highlight w:val="none"/>
                      <w:vertAlign w:val="baseline"/>
                      <w:lang w:eastAsia="zh-CN"/>
                    </w:rPr>
                  </w:pPr>
                  <w:r>
                    <w:rPr>
                      <w:rFonts w:hint="eastAsia"/>
                      <w:color w:val="auto"/>
                      <w:highlight w:val="none"/>
                      <w:vertAlign w:val="baseline"/>
                      <w:lang w:eastAsia="zh-CN"/>
                    </w:rPr>
                    <w:t>海洋</w:t>
                  </w:r>
                </w:p>
              </w:tc>
              <w:tc>
                <w:tcPr>
                  <w:tcW w:w="1466" w:type="pct"/>
                  <w:tcBorders>
                    <w:tl2br w:val="nil"/>
                    <w:tr2bl w:val="nil"/>
                  </w:tcBorders>
                  <w:vAlign w:val="center"/>
                </w:tcPr>
                <w:p w14:paraId="1C75FFF3">
                  <w:pPr>
                    <w:pStyle w:val="2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color w:val="auto"/>
                      <w:highlight w:val="none"/>
                      <w:vertAlign w:val="baseline"/>
                      <w:lang w:eastAsia="zh-CN"/>
                    </w:rPr>
                  </w:pPr>
                  <w:r>
                    <w:rPr>
                      <w:rFonts w:hint="default"/>
                      <w:color w:val="auto"/>
                      <w:highlight w:val="none"/>
                      <w:vertAlign w:val="baseline"/>
                      <w:lang w:eastAsia="zh-CN"/>
                    </w:rPr>
                    <w:t>直接向海排放污染物的海洋工程建设项目</w:t>
                  </w:r>
                </w:p>
              </w:tc>
              <w:tc>
                <w:tcPr>
                  <w:tcW w:w="2236" w:type="pct"/>
                  <w:tcBorders>
                    <w:tl2br w:val="nil"/>
                    <w:tr2bl w:val="nil"/>
                  </w:tcBorders>
                  <w:vAlign w:val="center"/>
                </w:tcPr>
                <w:p w14:paraId="4B9B847A">
                  <w:pPr>
                    <w:pStyle w:val="2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highlight w:val="none"/>
                      <w:vertAlign w:val="baseline"/>
                      <w:lang w:eastAsia="zh-CN"/>
                    </w:rPr>
                  </w:pPr>
                  <w:r>
                    <w:rPr>
                      <w:rFonts w:hint="eastAsia"/>
                      <w:color w:val="auto"/>
                      <w:highlight w:val="none"/>
                      <w:vertAlign w:val="baseline"/>
                      <w:lang w:eastAsia="zh-CN"/>
                    </w:rPr>
                    <w:t>本项目不属于海洋工程，因此不需设置海洋专项评价</w:t>
                  </w:r>
                </w:p>
              </w:tc>
              <w:tc>
                <w:tcPr>
                  <w:tcW w:w="686" w:type="pct"/>
                  <w:tcBorders>
                    <w:tl2br w:val="nil"/>
                    <w:tr2bl w:val="nil"/>
                  </w:tcBorders>
                  <w:vAlign w:val="center"/>
                </w:tcPr>
                <w:p w14:paraId="20EB994B">
                  <w:pPr>
                    <w:pStyle w:val="2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highlight w:val="none"/>
                      <w:vertAlign w:val="baseline"/>
                      <w:lang w:val="en-US" w:eastAsia="zh-CN"/>
                    </w:rPr>
                  </w:pPr>
                  <w:r>
                    <w:rPr>
                      <w:rFonts w:hint="eastAsia"/>
                      <w:color w:val="auto"/>
                      <w:highlight w:val="none"/>
                      <w:vertAlign w:val="baseline"/>
                      <w:lang w:val="en-US" w:eastAsia="zh-CN"/>
                    </w:rPr>
                    <w:t>否</w:t>
                  </w:r>
                </w:p>
              </w:tc>
            </w:tr>
          </w:tbl>
          <w:p w14:paraId="765FE35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2"/>
                <w:szCs w:val="22"/>
                <w:highlight w:val="none"/>
              </w:rPr>
            </w:pPr>
            <w:r>
              <w:rPr>
                <w:rFonts w:hint="eastAsia"/>
                <w:color w:val="auto"/>
                <w:sz w:val="24"/>
                <w:szCs w:val="32"/>
                <w:highlight w:val="none"/>
                <w:lang w:eastAsia="zh-CN"/>
              </w:rPr>
              <w:t>综上，本项目不开展大气、地表水、环境风险、生态、海洋及地下水专项评价。</w:t>
            </w:r>
          </w:p>
        </w:tc>
      </w:tr>
      <w:tr w14:paraId="03AD1A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57" w:hRule="atLeast"/>
          <w:jc w:val="center"/>
        </w:trPr>
        <w:tc>
          <w:tcPr>
            <w:tcW w:w="1108" w:type="dxa"/>
            <w:tcBorders>
              <w:tl2br w:val="nil"/>
              <w:tr2bl w:val="nil"/>
            </w:tcBorders>
            <w:vAlign w:val="center"/>
          </w:tcPr>
          <w:p w14:paraId="7FC5FD3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规划情况</w:t>
            </w:r>
          </w:p>
        </w:tc>
        <w:tc>
          <w:tcPr>
            <w:tcW w:w="7780" w:type="dxa"/>
            <w:gridSpan w:val="3"/>
            <w:tcBorders>
              <w:tl2br w:val="nil"/>
              <w:tr2bl w:val="nil"/>
            </w:tcBorders>
            <w:vAlign w:val="center"/>
          </w:tcPr>
          <w:p w14:paraId="0932F07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eastAsia" w:ascii="Times New Roman" w:hAnsi="Times New Roman" w:eastAsia="宋体" w:cs="Times New Roman"/>
                <w:color w:val="auto"/>
                <w:lang w:val="en-US" w:eastAsia="zh-CN"/>
              </w:rPr>
              <w:t>无</w:t>
            </w:r>
          </w:p>
        </w:tc>
      </w:tr>
      <w:tr w14:paraId="67A110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815" w:hRule="atLeast"/>
          <w:jc w:val="center"/>
        </w:trPr>
        <w:tc>
          <w:tcPr>
            <w:tcW w:w="1108" w:type="dxa"/>
            <w:tcBorders>
              <w:tl2br w:val="nil"/>
              <w:tr2bl w:val="nil"/>
            </w:tcBorders>
            <w:vAlign w:val="center"/>
          </w:tcPr>
          <w:p w14:paraId="7B1B4271">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规划环境影响评价情况</w:t>
            </w:r>
          </w:p>
        </w:tc>
        <w:tc>
          <w:tcPr>
            <w:tcW w:w="7780" w:type="dxa"/>
            <w:gridSpan w:val="3"/>
            <w:tcBorders>
              <w:tl2br w:val="nil"/>
              <w:tr2bl w:val="nil"/>
            </w:tcBorders>
            <w:vAlign w:val="center"/>
          </w:tcPr>
          <w:p w14:paraId="325E8537">
            <w:pPr>
              <w:pStyle w:val="29"/>
              <w:ind w:left="0" w:leftChars="0" w:firstLine="0" w:firstLineChars="0"/>
              <w:jc w:val="center"/>
              <w:rPr>
                <w:rFonts w:hint="default"/>
                <w:color w:val="auto"/>
              </w:rPr>
            </w:pPr>
            <w:r>
              <w:rPr>
                <w:rFonts w:hint="eastAsia" w:ascii="Times New Roman" w:hAnsi="Times New Roman" w:eastAsia="宋体" w:cs="Times New Roman"/>
                <w:color w:val="auto"/>
                <w:lang w:val="en-US" w:eastAsia="zh-CN"/>
              </w:rPr>
              <w:t>无</w:t>
            </w:r>
          </w:p>
        </w:tc>
      </w:tr>
      <w:tr w14:paraId="4531FF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85" w:hRule="atLeast"/>
          <w:jc w:val="center"/>
        </w:trPr>
        <w:tc>
          <w:tcPr>
            <w:tcW w:w="1108" w:type="dxa"/>
            <w:tcBorders>
              <w:tl2br w:val="nil"/>
              <w:tr2bl w:val="nil"/>
            </w:tcBorders>
            <w:vAlign w:val="center"/>
          </w:tcPr>
          <w:p w14:paraId="1C415BDD">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规划及规划环境影响评价符合性分析</w:t>
            </w:r>
          </w:p>
        </w:tc>
        <w:tc>
          <w:tcPr>
            <w:tcW w:w="7780" w:type="dxa"/>
            <w:gridSpan w:val="3"/>
            <w:tcBorders>
              <w:tl2br w:val="nil"/>
              <w:tr2bl w:val="nil"/>
            </w:tcBorders>
            <w:vAlign w:val="center"/>
          </w:tcPr>
          <w:p w14:paraId="55B8568F">
            <w:pPr>
              <w:keepNext w:val="0"/>
              <w:keepLines w:val="0"/>
              <w:suppressLineNumbers w:val="0"/>
              <w:adjustRightInd w:val="0"/>
              <w:snapToGrid w:val="0"/>
              <w:spacing w:before="0" w:beforeAutospacing="0" w:after="0" w:afterAutospacing="0" w:line="360" w:lineRule="auto"/>
              <w:ind w:right="0"/>
              <w:jc w:val="center"/>
              <w:rPr>
                <w:rFonts w:hint="default"/>
                <w:color w:val="auto"/>
              </w:rPr>
            </w:pPr>
            <w:r>
              <w:rPr>
                <w:rFonts w:hint="eastAsia" w:cs="Times New Roman"/>
                <w:color w:val="auto"/>
                <w:sz w:val="24"/>
                <w:szCs w:val="32"/>
                <w:lang w:val="en-US" w:eastAsia="zh-CN"/>
              </w:rPr>
              <w:t>无</w:t>
            </w:r>
          </w:p>
        </w:tc>
      </w:tr>
      <w:tr w14:paraId="0C7CEF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1935" w:hRule="atLeast"/>
          <w:jc w:val="center"/>
        </w:trPr>
        <w:tc>
          <w:tcPr>
            <w:tcW w:w="1108" w:type="dxa"/>
            <w:tcBorders>
              <w:tl2br w:val="nil"/>
              <w:tr2bl w:val="nil"/>
            </w:tcBorders>
            <w:vAlign w:val="center"/>
          </w:tcPr>
          <w:p w14:paraId="424C4D9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sz w:val="22"/>
                <w:szCs w:val="22"/>
                <w:highlight w:val="none"/>
              </w:rPr>
              <w:t>其他符合性分析</w:t>
            </w:r>
          </w:p>
        </w:tc>
        <w:tc>
          <w:tcPr>
            <w:tcW w:w="7780" w:type="dxa"/>
            <w:gridSpan w:val="3"/>
            <w:tcBorders>
              <w:tl2br w:val="nil"/>
              <w:tr2bl w:val="nil"/>
            </w:tcBorders>
            <w:vAlign w:val="center"/>
          </w:tcPr>
          <w:p w14:paraId="138DEE64">
            <w:pPr>
              <w:pStyle w:val="127"/>
              <w:ind w:firstLine="480"/>
              <w:rPr>
                <w:rFonts w:hint="default" w:ascii="Times New Roman" w:hAnsi="Times New Roman" w:cs="Times New Roman"/>
                <w:color w:val="auto"/>
              </w:rPr>
            </w:pPr>
            <w:r>
              <w:rPr>
                <w:rFonts w:hint="default" w:ascii="Times New Roman" w:hAnsi="Times New Roman" w:cs="Times New Roman"/>
                <w:color w:val="auto"/>
              </w:rPr>
              <w:t>1、产业政策符合性分析</w:t>
            </w:r>
          </w:p>
          <w:p w14:paraId="3FCAB159">
            <w:pPr>
              <w:pStyle w:val="127"/>
              <w:ind w:firstLine="480"/>
              <w:rPr>
                <w:rFonts w:ascii="宋体" w:hAnsi="宋体" w:cs="宋体"/>
                <w:color w:val="auto"/>
              </w:rPr>
            </w:pPr>
            <w:bookmarkStart w:id="4" w:name="OLE_LINK53"/>
            <w:r>
              <w:rPr>
                <w:rFonts w:ascii="Times New Roman" w:hAnsi="Times New Roman" w:cs="Times New Roman"/>
                <w:color w:val="auto"/>
              </w:rPr>
              <w:t>本项目</w:t>
            </w:r>
            <w:r>
              <w:rPr>
                <w:rFonts w:hint="eastAsia" w:ascii="Times New Roman" w:hAnsi="Times New Roman" w:cs="Times New Roman"/>
                <w:color w:val="auto"/>
                <w:lang w:val="en-US" w:eastAsia="zh-CN"/>
              </w:rPr>
              <w:t>为农机拆解项目</w:t>
            </w:r>
            <w:r>
              <w:rPr>
                <w:rFonts w:hint="eastAsia" w:ascii="Times New Roman" w:hAnsi="Times New Roman" w:cs="Times New Roman"/>
                <w:color w:val="auto"/>
              </w:rPr>
              <w:t>，</w:t>
            </w:r>
            <w:r>
              <w:rPr>
                <w:rFonts w:ascii="Times New Roman" w:hAnsi="Times New Roman" w:cs="Times New Roman"/>
                <w:color w:val="auto"/>
              </w:rPr>
              <w:t>根据《产业结构调整指导目录（2024年本）》相关规定，本项目属于</w:t>
            </w:r>
            <w:r>
              <w:rPr>
                <w:rFonts w:hint="eastAsia" w:ascii="Times New Roman" w:hAnsi="Times New Roman" w:cs="Times New Roman"/>
                <w:color w:val="auto"/>
                <w:lang w:val="en-US" w:eastAsia="zh-CN"/>
              </w:rPr>
              <w:t>鼓励类“四十二、环境保护与资源节约综合利用 9、再制造：报废汽车、退役民用飞机、工程机械、矿山机械、农业机械、机床、文办设备及耗材、盾构机、航空发动机、工业机器人、火车内燃机车等废旧设备及零部件拆解、再利用、再制造”项目</w:t>
            </w:r>
            <w:r>
              <w:rPr>
                <w:rFonts w:ascii="宋体" w:hAnsi="宋体" w:cs="宋体"/>
                <w:color w:val="auto"/>
              </w:rPr>
              <w:t>，因此本项目</w:t>
            </w:r>
            <w:r>
              <w:rPr>
                <w:rFonts w:hint="eastAsia" w:ascii="宋体" w:hAnsi="宋体" w:cs="宋体"/>
                <w:color w:val="auto"/>
                <w:lang w:val="en-US" w:eastAsia="zh-CN"/>
              </w:rPr>
              <w:t>符合相关产业政策</w:t>
            </w:r>
            <w:r>
              <w:rPr>
                <w:rFonts w:ascii="宋体" w:hAnsi="宋体" w:cs="宋体"/>
                <w:color w:val="auto"/>
              </w:rPr>
              <w:t>。</w:t>
            </w:r>
            <w:bookmarkEnd w:id="4"/>
          </w:p>
          <w:p w14:paraId="0E96B8EA">
            <w:pPr>
              <w:pStyle w:val="127"/>
              <w:ind w:firstLine="480"/>
              <w:rPr>
                <w:color w:val="auto"/>
              </w:rPr>
            </w:pPr>
            <w:r>
              <w:rPr>
                <w:rFonts w:hint="eastAsia"/>
                <w:color w:val="auto"/>
                <w:sz w:val="24"/>
                <w:szCs w:val="32"/>
                <w:highlight w:val="none"/>
                <w:lang w:val="en-US" w:eastAsia="zh-CN"/>
              </w:rPr>
              <w:t>2、</w:t>
            </w:r>
            <w:r>
              <w:rPr>
                <w:rFonts w:hint="eastAsia"/>
                <w:color w:val="auto"/>
              </w:rPr>
              <w:t>“三线一单”</w:t>
            </w:r>
            <w:r>
              <w:rPr>
                <w:color w:val="auto"/>
              </w:rPr>
              <w:t>符合性分析</w:t>
            </w:r>
          </w:p>
          <w:p w14:paraId="1D53703F">
            <w:pPr>
              <w:pStyle w:val="127"/>
              <w:ind w:firstLine="480"/>
              <w:rPr>
                <w:color w:val="auto"/>
              </w:rPr>
            </w:pPr>
            <w:r>
              <w:rPr>
                <w:color w:val="auto"/>
              </w:rPr>
              <w:t>（1）生态保护红线符合性分析</w:t>
            </w:r>
          </w:p>
          <w:p w14:paraId="4B163A7F">
            <w:pPr>
              <w:pStyle w:val="127"/>
              <w:ind w:firstLine="480"/>
              <w:rPr>
                <w:rFonts w:ascii="Times New Roman" w:hAnsi="Times New Roman" w:eastAsia="宋体" w:cs="Times New Roman"/>
                <w:color w:val="auto"/>
              </w:rPr>
            </w:pPr>
            <w:r>
              <w:rPr>
                <w:rFonts w:ascii="Times New Roman" w:hAnsi="Times New Roman" w:eastAsia="宋体" w:cs="Times New Roman"/>
                <w:color w:val="auto"/>
              </w:rPr>
              <w:t>本项目位于</w:t>
            </w:r>
            <w:r>
              <w:rPr>
                <w:rFonts w:hint="eastAsia" w:ascii="Times New Roman" w:hAnsi="Times New Roman" w:cs="Times New Roman"/>
                <w:color w:val="auto"/>
                <w:sz w:val="24"/>
              </w:rPr>
              <w:t>鸡西市鸡冠区梁家村六组</w:t>
            </w:r>
            <w:r>
              <w:rPr>
                <w:rFonts w:ascii="Times New Roman" w:hAnsi="Times New Roman" w:eastAsia="宋体" w:cs="Times New Roman"/>
                <w:color w:val="auto"/>
              </w:rPr>
              <w:t>。</w:t>
            </w:r>
            <w:r>
              <w:rPr>
                <w:rFonts w:hint="eastAsia" w:ascii="Times New Roman" w:hAnsi="Times New Roman" w:eastAsia="宋体" w:cs="Times New Roman"/>
                <w:color w:val="auto"/>
              </w:rPr>
              <w:t>根据</w:t>
            </w:r>
            <w:r>
              <w:rPr>
                <w:rFonts w:hint="eastAsia" w:ascii="Times New Roman" w:hAnsi="Times New Roman" w:eastAsia="宋体" w:cs="Times New Roman"/>
                <w:color w:val="auto"/>
                <w:spacing w:val="4"/>
                <w:sz w:val="24"/>
                <w:highlight w:val="none"/>
                <w:lang w:eastAsia="zh-CN"/>
              </w:rPr>
              <w:t>《</w:t>
            </w:r>
            <w:r>
              <w:rPr>
                <w:rFonts w:hint="eastAsia" w:ascii="Times New Roman" w:hAnsi="Times New Roman" w:eastAsia="宋体" w:cs="Times New Roman"/>
                <w:color w:val="auto"/>
                <w:spacing w:val="4"/>
                <w:sz w:val="24"/>
                <w:highlight w:val="none"/>
              </w:rPr>
              <w:t>鸡西市木森商贸有限责任公司农机拆解项目</w:t>
            </w:r>
            <w:r>
              <w:rPr>
                <w:rFonts w:hint="eastAsia" w:ascii="Times New Roman" w:hAnsi="Times New Roman" w:eastAsia="宋体" w:cs="Times New Roman"/>
                <w:color w:val="auto"/>
                <w:spacing w:val="4"/>
                <w:sz w:val="24"/>
                <w:highlight w:val="none"/>
                <w:lang w:val="en-US" w:eastAsia="zh-CN"/>
              </w:rPr>
              <w:t>生态环境分</w:t>
            </w:r>
            <w:r>
              <w:rPr>
                <w:rFonts w:hint="eastAsia"/>
                <w:color w:val="auto"/>
                <w:szCs w:val="24"/>
                <w:lang w:val="en-US" w:eastAsia="zh-CN"/>
              </w:rPr>
              <w:t>区管控分析报告</w:t>
            </w:r>
            <w:r>
              <w:rPr>
                <w:rFonts w:hint="eastAsia"/>
                <w:color w:val="auto"/>
                <w:szCs w:val="24"/>
                <w:lang w:eastAsia="zh-CN"/>
              </w:rPr>
              <w:t>》</w:t>
            </w:r>
            <w:r>
              <w:rPr>
                <w:rFonts w:ascii="Times New Roman" w:hAnsi="Times New Roman" w:eastAsia="宋体" w:cs="Times New Roman"/>
                <w:color w:val="auto"/>
              </w:rPr>
              <w:t>分析</w:t>
            </w:r>
            <w:r>
              <w:rPr>
                <w:rFonts w:hint="eastAsia" w:ascii="Times New Roman" w:hAnsi="Times New Roman" w:eastAsia="宋体" w:cs="Times New Roman"/>
                <w:color w:val="auto"/>
              </w:rPr>
              <w:t>，本项目不涉及生态保护红线</w:t>
            </w:r>
            <w:r>
              <w:rPr>
                <w:rFonts w:ascii="Times New Roman" w:hAnsi="Times New Roman" w:eastAsia="宋体" w:cs="Times New Roman"/>
                <w:color w:val="auto"/>
              </w:rPr>
              <w:t>。</w:t>
            </w:r>
          </w:p>
          <w:p w14:paraId="54B40D6E">
            <w:pPr>
              <w:pStyle w:val="127"/>
              <w:ind w:firstLine="480"/>
              <w:rPr>
                <w:rFonts w:ascii="Times New Roman" w:hAnsi="Times New Roman" w:cs="Times New Roman"/>
                <w:color w:val="auto"/>
              </w:rPr>
            </w:pPr>
            <w:r>
              <w:rPr>
                <w:rFonts w:ascii="Times New Roman" w:hAnsi="Times New Roman" w:cs="Times New Roman"/>
                <w:color w:val="auto"/>
              </w:rPr>
              <w:t>（2）环境质量底线符合性分析</w:t>
            </w:r>
          </w:p>
          <w:p w14:paraId="569572C1">
            <w:pPr>
              <w:pStyle w:val="127"/>
              <w:ind w:firstLine="480"/>
              <w:rPr>
                <w:color w:val="auto"/>
                <w:szCs w:val="24"/>
              </w:rPr>
            </w:pPr>
            <w:r>
              <w:rPr>
                <w:rFonts w:ascii="Times New Roman" w:hAnsi="Times New Roman" w:cs="Times New Roman"/>
                <w:color w:val="auto"/>
              </w:rPr>
              <w:t>根据《</w:t>
            </w:r>
            <w:r>
              <w:rPr>
                <w:rFonts w:hint="eastAsia" w:ascii="Times New Roman" w:hAnsi="Times New Roman" w:cs="Times New Roman"/>
                <w:color w:val="auto"/>
                <w:lang w:val="en-US" w:eastAsia="zh-CN"/>
              </w:rPr>
              <w:t>2023年鸡西市生态环境质量状况</w:t>
            </w:r>
            <w:r>
              <w:rPr>
                <w:rFonts w:ascii="Times New Roman" w:hAnsi="Times New Roman" w:cs="Times New Roman"/>
                <w:color w:val="auto"/>
              </w:rPr>
              <w:t>》，</w:t>
            </w:r>
            <w:r>
              <w:rPr>
                <w:rFonts w:hint="default" w:ascii="Times New Roman" w:hAnsi="Times New Roman" w:cs="Times New Roman"/>
                <w:color w:val="auto"/>
              </w:rPr>
              <w:t>20</w:t>
            </w:r>
            <w:r>
              <w:rPr>
                <w:rFonts w:hint="eastAsia" w:ascii="Times New Roman" w:hAnsi="Times New Roman" w:cs="Times New Roman"/>
                <w:color w:val="auto"/>
              </w:rPr>
              <w:t>2</w:t>
            </w:r>
            <w:r>
              <w:rPr>
                <w:rFonts w:hint="eastAsia" w:ascii="Times New Roman" w:hAnsi="Times New Roman" w:cs="Times New Roman"/>
                <w:color w:val="auto"/>
                <w:lang w:val="en-US" w:eastAsia="zh-CN"/>
              </w:rPr>
              <w:t>3</w:t>
            </w:r>
            <w:r>
              <w:rPr>
                <w:rFonts w:hint="default" w:ascii="Times New Roman" w:hAnsi="Times New Roman" w:cs="Times New Roman"/>
                <w:color w:val="auto"/>
              </w:rPr>
              <w:t>年</w:t>
            </w:r>
            <w:r>
              <w:rPr>
                <w:rFonts w:hint="eastAsia" w:ascii="Times New Roman" w:hAnsi="Times New Roman" w:cs="Times New Roman"/>
                <w:color w:val="auto"/>
                <w:lang w:val="en-US" w:eastAsia="zh-CN"/>
              </w:rPr>
              <w:t>鸡西</w:t>
            </w:r>
            <w:r>
              <w:rPr>
                <w:rFonts w:hint="default" w:ascii="Times New Roman" w:hAnsi="Times New Roman" w:cs="Times New Roman"/>
                <w:color w:val="auto"/>
              </w:rPr>
              <w:t>市环境空气中鸡西市空气质量级别达二级标准，达标天数为</w:t>
            </w:r>
            <w:r>
              <w:rPr>
                <w:rFonts w:hint="eastAsia" w:ascii="Times New Roman" w:hAnsi="Times New Roman" w:cs="Times New Roman"/>
                <w:color w:val="auto"/>
                <w:lang w:val="en-US" w:eastAsia="zh-CN"/>
              </w:rPr>
              <w:t>340</w:t>
            </w:r>
            <w:r>
              <w:rPr>
                <w:rFonts w:hint="default" w:ascii="Times New Roman" w:hAnsi="Times New Roman" w:cs="Times New Roman"/>
                <w:color w:val="auto"/>
              </w:rPr>
              <w:t>天</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93.2</w:t>
            </w:r>
            <w:r>
              <w:rPr>
                <w:rFonts w:hint="default" w:ascii="Times New Roman" w:hAnsi="Times New Roman" w:cs="Times New Roman"/>
                <w:color w:val="auto"/>
              </w:rPr>
              <w:t>%</w:t>
            </w:r>
            <w:r>
              <w:rPr>
                <w:rFonts w:hint="eastAsia" w:ascii="Times New Roman" w:hAnsi="Times New Roman" w:cs="Times New Roman"/>
                <w:color w:val="auto"/>
                <w:lang w:eastAsia="zh-CN"/>
              </w:rPr>
              <w:t>）。</w:t>
            </w:r>
            <w:r>
              <w:rPr>
                <w:rFonts w:hint="default"/>
                <w:color w:val="auto"/>
                <w:kern w:val="2"/>
                <w:szCs w:val="24"/>
              </w:rPr>
              <w:t>PM</w:t>
            </w:r>
            <w:r>
              <w:rPr>
                <w:rFonts w:hint="eastAsia"/>
                <w:color w:val="auto"/>
                <w:kern w:val="2"/>
                <w:szCs w:val="24"/>
                <w:vertAlign w:val="subscript"/>
                <w:lang w:val="en-US" w:eastAsia="zh-CN"/>
              </w:rPr>
              <w:t>2.5</w:t>
            </w:r>
            <w:r>
              <w:rPr>
                <w:rFonts w:hint="default"/>
                <w:color w:val="auto"/>
                <w:kern w:val="2"/>
                <w:szCs w:val="24"/>
              </w:rPr>
              <w:t>、PM</w:t>
            </w:r>
            <w:r>
              <w:rPr>
                <w:rFonts w:hint="eastAsia"/>
                <w:color w:val="auto"/>
                <w:kern w:val="2"/>
                <w:szCs w:val="24"/>
                <w:vertAlign w:val="subscript"/>
                <w:lang w:val="en-US" w:eastAsia="zh-CN"/>
              </w:rPr>
              <w:t>10</w:t>
            </w:r>
            <w:r>
              <w:rPr>
                <w:rFonts w:hint="default"/>
                <w:color w:val="auto"/>
                <w:kern w:val="2"/>
                <w:szCs w:val="24"/>
              </w:rPr>
              <w:t>、SO</w:t>
            </w:r>
            <w:r>
              <w:rPr>
                <w:rFonts w:hint="eastAsia"/>
                <w:color w:val="auto"/>
                <w:kern w:val="2"/>
                <w:szCs w:val="24"/>
                <w:vertAlign w:val="subscript"/>
                <w:lang w:val="en-US" w:eastAsia="zh-CN"/>
              </w:rPr>
              <w:t>2</w:t>
            </w:r>
            <w:r>
              <w:rPr>
                <w:rFonts w:hint="default"/>
                <w:color w:val="auto"/>
                <w:kern w:val="2"/>
                <w:szCs w:val="24"/>
              </w:rPr>
              <w:t>、NO</w:t>
            </w:r>
            <w:r>
              <w:rPr>
                <w:rFonts w:hint="eastAsia"/>
                <w:color w:val="auto"/>
                <w:kern w:val="2"/>
                <w:szCs w:val="24"/>
                <w:vertAlign w:val="subscript"/>
                <w:lang w:val="en-US" w:eastAsia="zh-CN"/>
              </w:rPr>
              <w:t>2</w:t>
            </w:r>
            <w:r>
              <w:rPr>
                <w:rFonts w:hint="default"/>
                <w:color w:val="auto"/>
                <w:kern w:val="2"/>
                <w:szCs w:val="24"/>
              </w:rPr>
              <w:t>、CO-95per和</w:t>
            </w:r>
            <w:r>
              <w:rPr>
                <w:rFonts w:hint="eastAsia"/>
                <w:color w:val="auto"/>
                <w:kern w:val="2"/>
                <w:szCs w:val="24"/>
                <w:lang w:val="en-US" w:eastAsia="zh-CN"/>
              </w:rPr>
              <w:t>O</w:t>
            </w:r>
            <w:r>
              <w:rPr>
                <w:rFonts w:hint="eastAsia"/>
                <w:color w:val="auto"/>
                <w:kern w:val="2"/>
                <w:szCs w:val="24"/>
                <w:vertAlign w:val="subscript"/>
                <w:lang w:val="en-US" w:eastAsia="zh-CN"/>
              </w:rPr>
              <w:t>3</w:t>
            </w:r>
            <w:r>
              <w:rPr>
                <w:rFonts w:hint="default"/>
                <w:color w:val="auto"/>
                <w:kern w:val="2"/>
                <w:szCs w:val="24"/>
              </w:rPr>
              <w:t>-8h-90per年均浓度分别为</w:t>
            </w:r>
            <w:r>
              <w:rPr>
                <w:rFonts w:hint="eastAsia"/>
                <w:color w:val="auto"/>
                <w:kern w:val="2"/>
                <w:szCs w:val="24"/>
                <w:lang w:val="en-US" w:eastAsia="zh-CN"/>
              </w:rPr>
              <w:t>28</w:t>
            </w:r>
            <w:r>
              <w:rPr>
                <w:rFonts w:hint="default"/>
                <w:color w:val="auto"/>
                <w:kern w:val="2"/>
                <w:szCs w:val="24"/>
              </w:rPr>
              <w:t>μg/m</w:t>
            </w:r>
            <w:r>
              <w:rPr>
                <w:rFonts w:hint="default"/>
                <w:color w:val="auto"/>
                <w:kern w:val="2"/>
                <w:szCs w:val="24"/>
                <w:vertAlign w:val="superscript"/>
              </w:rPr>
              <w:t>3</w:t>
            </w:r>
            <w:r>
              <w:rPr>
                <w:rFonts w:hint="default"/>
                <w:color w:val="auto"/>
                <w:kern w:val="2"/>
                <w:szCs w:val="24"/>
              </w:rPr>
              <w:t>、</w:t>
            </w:r>
            <w:r>
              <w:rPr>
                <w:rFonts w:hint="eastAsia"/>
                <w:color w:val="auto"/>
                <w:kern w:val="2"/>
                <w:szCs w:val="24"/>
                <w:lang w:val="en-US" w:eastAsia="zh-CN"/>
              </w:rPr>
              <w:t>50</w:t>
            </w:r>
            <w:r>
              <w:rPr>
                <w:rFonts w:hint="default"/>
                <w:color w:val="auto"/>
                <w:kern w:val="2"/>
                <w:szCs w:val="24"/>
              </w:rPr>
              <w:t>μg/m</w:t>
            </w:r>
            <w:r>
              <w:rPr>
                <w:rFonts w:hint="default"/>
                <w:color w:val="auto"/>
                <w:kern w:val="2"/>
                <w:szCs w:val="24"/>
                <w:vertAlign w:val="superscript"/>
              </w:rPr>
              <w:t>3</w:t>
            </w:r>
            <w:r>
              <w:rPr>
                <w:rFonts w:hint="default"/>
                <w:color w:val="auto"/>
                <w:kern w:val="2"/>
                <w:szCs w:val="24"/>
              </w:rPr>
              <w:t>、8μg/m</w:t>
            </w:r>
            <w:r>
              <w:rPr>
                <w:rFonts w:hint="default"/>
                <w:color w:val="auto"/>
                <w:kern w:val="2"/>
                <w:szCs w:val="24"/>
                <w:vertAlign w:val="superscript"/>
              </w:rPr>
              <w:t>3</w:t>
            </w:r>
            <w:r>
              <w:rPr>
                <w:rFonts w:hint="default"/>
                <w:color w:val="auto"/>
                <w:kern w:val="2"/>
                <w:szCs w:val="24"/>
              </w:rPr>
              <w:t>、</w:t>
            </w:r>
            <w:r>
              <w:rPr>
                <w:rFonts w:hint="eastAsia"/>
                <w:color w:val="auto"/>
                <w:kern w:val="2"/>
                <w:szCs w:val="24"/>
                <w:lang w:val="en-US" w:eastAsia="zh-CN"/>
              </w:rPr>
              <w:t>20</w:t>
            </w:r>
            <w:r>
              <w:rPr>
                <w:rFonts w:hint="default"/>
                <w:color w:val="auto"/>
                <w:kern w:val="2"/>
                <w:szCs w:val="24"/>
              </w:rPr>
              <w:t>μg/m</w:t>
            </w:r>
            <w:r>
              <w:rPr>
                <w:rFonts w:hint="default"/>
                <w:color w:val="auto"/>
                <w:kern w:val="2"/>
                <w:szCs w:val="24"/>
                <w:vertAlign w:val="superscript"/>
              </w:rPr>
              <w:t>3</w:t>
            </w:r>
            <w:r>
              <w:rPr>
                <w:rFonts w:hint="default"/>
                <w:color w:val="auto"/>
                <w:kern w:val="2"/>
                <w:szCs w:val="24"/>
              </w:rPr>
              <w:t>、</w:t>
            </w:r>
            <w:r>
              <w:rPr>
                <w:rFonts w:hint="eastAsia"/>
                <w:color w:val="auto"/>
                <w:kern w:val="2"/>
                <w:szCs w:val="24"/>
                <w:lang w:val="en-US" w:eastAsia="zh-CN"/>
              </w:rPr>
              <w:t>1</w:t>
            </w:r>
            <w:r>
              <w:rPr>
                <w:rFonts w:hint="default"/>
                <w:color w:val="auto"/>
                <w:kern w:val="2"/>
                <w:szCs w:val="24"/>
              </w:rPr>
              <w:t>mg/m</w:t>
            </w:r>
            <w:r>
              <w:rPr>
                <w:rFonts w:hint="default"/>
                <w:color w:val="auto"/>
                <w:kern w:val="2"/>
                <w:szCs w:val="24"/>
                <w:vertAlign w:val="superscript"/>
              </w:rPr>
              <w:t>3</w:t>
            </w:r>
            <w:r>
              <w:rPr>
                <w:rFonts w:hint="default"/>
                <w:color w:val="auto"/>
                <w:kern w:val="2"/>
                <w:szCs w:val="24"/>
              </w:rPr>
              <w:t>和</w:t>
            </w:r>
            <w:r>
              <w:rPr>
                <w:rFonts w:hint="eastAsia"/>
                <w:color w:val="auto"/>
                <w:kern w:val="2"/>
                <w:szCs w:val="24"/>
                <w:lang w:val="en-US" w:eastAsia="zh-CN"/>
              </w:rPr>
              <w:t>98</w:t>
            </w:r>
            <w:r>
              <w:rPr>
                <w:rFonts w:hint="default"/>
                <w:color w:val="auto"/>
                <w:kern w:val="2"/>
                <w:szCs w:val="24"/>
              </w:rPr>
              <w:t>μg/m</w:t>
            </w:r>
            <w:r>
              <w:rPr>
                <w:rFonts w:hint="default"/>
                <w:color w:val="auto"/>
                <w:kern w:val="2"/>
                <w:szCs w:val="24"/>
                <w:vertAlign w:val="superscript"/>
              </w:rPr>
              <w:t>3</w:t>
            </w:r>
            <w:r>
              <w:rPr>
                <w:rFonts w:hint="default"/>
                <w:color w:val="auto"/>
                <w:kern w:val="2"/>
                <w:szCs w:val="24"/>
              </w:rPr>
              <w:t>。</w:t>
            </w:r>
            <w:r>
              <w:rPr>
                <w:rFonts w:hint="eastAsia"/>
                <w:color w:val="auto"/>
                <w:kern w:val="2"/>
                <w:szCs w:val="24"/>
              </w:rPr>
              <w:t>各污染物</w:t>
            </w:r>
            <w:r>
              <w:rPr>
                <w:rFonts w:hint="default"/>
                <w:color w:val="auto"/>
                <w:kern w:val="2"/>
                <w:szCs w:val="24"/>
              </w:rPr>
              <w:t>PM</w:t>
            </w:r>
            <w:r>
              <w:rPr>
                <w:rFonts w:hint="default"/>
                <w:color w:val="auto"/>
                <w:kern w:val="2"/>
                <w:szCs w:val="24"/>
                <w:vertAlign w:val="subscript"/>
              </w:rPr>
              <w:t>2.5</w:t>
            </w:r>
            <w:r>
              <w:rPr>
                <w:rFonts w:hint="eastAsia"/>
                <w:color w:val="auto"/>
                <w:kern w:val="2"/>
                <w:szCs w:val="24"/>
              </w:rPr>
              <w:t>、</w:t>
            </w:r>
            <w:r>
              <w:rPr>
                <w:rFonts w:hint="default"/>
                <w:color w:val="auto"/>
                <w:kern w:val="2"/>
                <w:szCs w:val="24"/>
              </w:rPr>
              <w:t>PM</w:t>
            </w:r>
            <w:r>
              <w:rPr>
                <w:rFonts w:hint="default"/>
                <w:color w:val="auto"/>
                <w:kern w:val="2"/>
                <w:szCs w:val="24"/>
                <w:vertAlign w:val="subscript"/>
              </w:rPr>
              <w:t>10</w:t>
            </w:r>
            <w:r>
              <w:rPr>
                <w:rFonts w:hint="default"/>
                <w:color w:val="auto"/>
                <w:kern w:val="2"/>
                <w:szCs w:val="24"/>
              </w:rPr>
              <w:t>、SO</w:t>
            </w:r>
            <w:r>
              <w:rPr>
                <w:rFonts w:hint="default"/>
                <w:color w:val="auto"/>
                <w:kern w:val="2"/>
                <w:szCs w:val="24"/>
                <w:vertAlign w:val="subscript"/>
              </w:rPr>
              <w:t>2</w:t>
            </w:r>
            <w:r>
              <w:rPr>
                <w:rFonts w:hint="default"/>
                <w:color w:val="auto"/>
                <w:kern w:val="2"/>
                <w:szCs w:val="24"/>
              </w:rPr>
              <w:t>、NO</w:t>
            </w:r>
            <w:r>
              <w:rPr>
                <w:rFonts w:hint="default"/>
                <w:color w:val="auto"/>
                <w:kern w:val="2"/>
                <w:szCs w:val="24"/>
                <w:vertAlign w:val="subscript"/>
              </w:rPr>
              <w:t>2</w:t>
            </w:r>
            <w:r>
              <w:rPr>
                <w:rFonts w:hint="default"/>
                <w:color w:val="auto"/>
                <w:kern w:val="2"/>
                <w:szCs w:val="24"/>
              </w:rPr>
              <w:t>、CO、O</w:t>
            </w:r>
            <w:r>
              <w:rPr>
                <w:rFonts w:hint="default"/>
                <w:color w:val="auto"/>
                <w:kern w:val="2"/>
                <w:szCs w:val="24"/>
                <w:vertAlign w:val="subscript"/>
              </w:rPr>
              <w:t>3</w:t>
            </w:r>
            <w:r>
              <w:rPr>
                <w:rFonts w:hint="default"/>
                <w:color w:val="auto"/>
                <w:kern w:val="2"/>
                <w:szCs w:val="24"/>
              </w:rPr>
              <w:t>均满足《环境空气质量标准》（GB3095-2012）二级标准。</w:t>
            </w:r>
            <w:r>
              <w:rPr>
                <w:rFonts w:hAnsi="宋体"/>
                <w:color w:val="auto"/>
                <w:sz w:val="24"/>
              </w:rPr>
              <w:t>根据《</w:t>
            </w:r>
            <w:r>
              <w:rPr>
                <w:rFonts w:hint="eastAsia" w:ascii="Times New Roman" w:hAnsi="宋体" w:eastAsia="宋体" w:cs="Times New Roman"/>
                <w:color w:val="auto"/>
                <w:sz w:val="24"/>
                <w:lang w:val="en-US" w:eastAsia="zh-CN"/>
              </w:rPr>
              <w:t>2023年鸡西市生态环境质量状况</w:t>
            </w:r>
            <w:r>
              <w:rPr>
                <w:rFonts w:hAnsi="宋体"/>
                <w:color w:val="auto"/>
                <w:sz w:val="24"/>
              </w:rPr>
              <w:t>》结果，评价区环境空气质量满足环境空气二类功能区要求。</w:t>
            </w:r>
            <w:r>
              <w:rPr>
                <w:rFonts w:hint="eastAsia" w:ascii="Times New Roman" w:hAnsi="Times New Roman" w:eastAsia="宋体"/>
                <w:bCs/>
                <w:snapToGrid w:val="0"/>
                <w:color w:val="auto"/>
                <w:sz w:val="24"/>
                <w:lang w:val="en-US" w:eastAsia="zh-CN"/>
              </w:rPr>
              <w:t>穆棱河口内河水体水质满足Ⅲ类水体标准。</w:t>
            </w:r>
            <w:r>
              <w:rPr>
                <w:rFonts w:hint="eastAsia" w:ascii="Times New Roman" w:hAnsi="Times New Roman" w:eastAsia="宋体"/>
                <w:bCs/>
                <w:color w:val="auto"/>
                <w:kern w:val="0"/>
                <w:sz w:val="24"/>
                <w:lang w:val="en-US" w:eastAsia="zh-CN"/>
              </w:rPr>
              <w:t>鸡西市区域昼间声环境质量为</w:t>
            </w:r>
            <w:r>
              <w:rPr>
                <w:rFonts w:hint="eastAsia"/>
                <w:bCs/>
                <w:color w:val="auto"/>
                <w:kern w:val="0"/>
                <w:sz w:val="24"/>
                <w:lang w:val="en-US" w:eastAsia="zh-CN"/>
              </w:rPr>
              <w:t>二</w:t>
            </w:r>
            <w:r>
              <w:rPr>
                <w:rFonts w:hint="eastAsia" w:ascii="Times New Roman" w:hAnsi="Times New Roman" w:eastAsia="宋体"/>
                <w:bCs/>
                <w:color w:val="auto"/>
                <w:kern w:val="0"/>
                <w:sz w:val="24"/>
                <w:lang w:val="en-US" w:eastAsia="zh-CN"/>
              </w:rPr>
              <w:t>级，</w:t>
            </w:r>
            <w:r>
              <w:rPr>
                <w:rFonts w:hint="eastAsia"/>
                <w:bCs/>
                <w:color w:val="auto"/>
                <w:kern w:val="0"/>
                <w:sz w:val="24"/>
                <w:lang w:val="en-US" w:eastAsia="zh-CN"/>
              </w:rPr>
              <w:t>平均</w:t>
            </w:r>
            <w:r>
              <w:rPr>
                <w:rFonts w:hint="eastAsia" w:ascii="Times New Roman" w:hAnsi="Times New Roman" w:eastAsia="宋体"/>
                <w:bCs/>
                <w:color w:val="auto"/>
                <w:kern w:val="0"/>
                <w:sz w:val="24"/>
                <w:lang w:val="en-US" w:eastAsia="zh-CN"/>
              </w:rPr>
              <w:t>等效声级为</w:t>
            </w:r>
            <w:r>
              <w:rPr>
                <w:rFonts w:hint="eastAsia"/>
                <w:bCs/>
                <w:color w:val="auto"/>
                <w:kern w:val="0"/>
                <w:sz w:val="24"/>
                <w:lang w:val="en-US" w:eastAsia="zh-CN"/>
              </w:rPr>
              <w:t>54.9</w:t>
            </w:r>
            <w:r>
              <w:rPr>
                <w:rFonts w:hint="eastAsia" w:ascii="Times New Roman" w:hAnsi="Times New Roman" w:eastAsia="宋体"/>
                <w:bCs/>
                <w:color w:val="auto"/>
                <w:kern w:val="0"/>
                <w:sz w:val="24"/>
                <w:lang w:val="en-US" w:eastAsia="zh-CN"/>
              </w:rPr>
              <w:t>dB</w:t>
            </w:r>
            <w:r>
              <w:rPr>
                <w:rFonts w:hint="eastAsia"/>
                <w:bCs/>
                <w:color w:val="auto"/>
                <w:kern w:val="0"/>
                <w:sz w:val="24"/>
                <w:lang w:val="en-US" w:eastAsia="zh-CN"/>
              </w:rPr>
              <w:t>（</w:t>
            </w:r>
            <w:r>
              <w:rPr>
                <w:rFonts w:hint="eastAsia" w:ascii="Times New Roman" w:hAnsi="Times New Roman" w:eastAsia="宋体"/>
                <w:bCs/>
                <w:color w:val="auto"/>
                <w:kern w:val="0"/>
                <w:sz w:val="24"/>
                <w:lang w:val="en-US" w:eastAsia="zh-CN"/>
              </w:rPr>
              <w:t>A</w:t>
            </w:r>
            <w:r>
              <w:rPr>
                <w:rFonts w:hint="eastAsia"/>
                <w:bCs/>
                <w:color w:val="auto"/>
                <w:kern w:val="0"/>
                <w:sz w:val="24"/>
                <w:lang w:val="en-US" w:eastAsia="zh-CN"/>
              </w:rPr>
              <w:t>）</w:t>
            </w:r>
            <w:r>
              <w:rPr>
                <w:rFonts w:hint="eastAsia" w:ascii="Times New Roman" w:hAnsi="Times New Roman" w:eastAsia="宋体"/>
                <w:bCs/>
                <w:color w:val="auto"/>
                <w:kern w:val="0"/>
                <w:sz w:val="24"/>
                <w:lang w:val="en-US" w:eastAsia="zh-CN"/>
              </w:rPr>
              <w:t>；道路交通昼间声环境质量为一级，等效声级为66</w:t>
            </w:r>
            <w:r>
              <w:rPr>
                <w:rFonts w:hint="eastAsia"/>
                <w:bCs/>
                <w:color w:val="auto"/>
                <w:kern w:val="0"/>
                <w:sz w:val="24"/>
                <w:lang w:val="en-US" w:eastAsia="zh-CN"/>
              </w:rPr>
              <w:t>.5</w:t>
            </w:r>
            <w:r>
              <w:rPr>
                <w:rFonts w:hint="eastAsia" w:ascii="Times New Roman" w:hAnsi="Times New Roman" w:eastAsia="宋体"/>
                <w:bCs/>
                <w:color w:val="auto"/>
                <w:kern w:val="0"/>
                <w:sz w:val="24"/>
                <w:lang w:val="en-US" w:eastAsia="zh-CN"/>
              </w:rPr>
              <w:t>dB</w:t>
            </w:r>
            <w:r>
              <w:rPr>
                <w:rFonts w:hint="eastAsia"/>
                <w:bCs/>
                <w:color w:val="auto"/>
                <w:kern w:val="0"/>
                <w:sz w:val="24"/>
                <w:lang w:val="en-US" w:eastAsia="zh-CN"/>
              </w:rPr>
              <w:t>（</w:t>
            </w:r>
            <w:r>
              <w:rPr>
                <w:rFonts w:hint="eastAsia" w:ascii="Times New Roman" w:hAnsi="Times New Roman" w:eastAsia="宋体"/>
                <w:bCs/>
                <w:color w:val="auto"/>
                <w:kern w:val="0"/>
                <w:sz w:val="24"/>
                <w:lang w:val="en-US" w:eastAsia="zh-CN"/>
              </w:rPr>
              <w:t>A</w:t>
            </w:r>
            <w:r>
              <w:rPr>
                <w:rFonts w:hint="eastAsia"/>
                <w:bCs/>
                <w:color w:val="auto"/>
                <w:kern w:val="0"/>
                <w:sz w:val="24"/>
                <w:lang w:val="en-US" w:eastAsia="zh-CN"/>
              </w:rPr>
              <w:t>）</w:t>
            </w:r>
            <w:r>
              <w:rPr>
                <w:rFonts w:hint="eastAsia" w:ascii="Times New Roman" w:hAnsi="Times New Roman" w:eastAsia="宋体"/>
                <w:bCs/>
                <w:color w:val="auto"/>
                <w:kern w:val="0"/>
                <w:sz w:val="24"/>
                <w:lang w:val="en-US" w:eastAsia="zh-CN"/>
              </w:rPr>
              <w:t>；功能区昼间达标率100%；功能区夜间达标率100%。</w:t>
            </w:r>
          </w:p>
          <w:p w14:paraId="597A1EBE">
            <w:pPr>
              <w:pStyle w:val="127"/>
              <w:keepNext w:val="0"/>
              <w:keepLines w:val="0"/>
              <w:pageBreakBefore w:val="0"/>
              <w:widowControl w:val="0"/>
              <w:kinsoku/>
              <w:wordWrap w:val="0"/>
              <w:overflowPunct/>
              <w:topLinePunct w:val="0"/>
              <w:autoSpaceDE/>
              <w:autoSpaceDN/>
              <w:bidi w:val="0"/>
              <w:adjustRightInd/>
              <w:snapToGrid/>
              <w:ind w:firstLine="482"/>
              <w:textAlignment w:val="auto"/>
              <w:rPr>
                <w:color w:val="auto"/>
              </w:rPr>
            </w:pPr>
            <w:r>
              <w:rPr>
                <w:rFonts w:hint="eastAsia" w:cs="Times New Roman"/>
                <w:color w:val="auto"/>
                <w:kern w:val="0"/>
                <w:sz w:val="24"/>
                <w:szCs w:val="24"/>
                <w:highlight w:val="none"/>
                <w:lang w:val="en-US" w:eastAsia="zh-CN" w:bidi="ar-SA"/>
              </w:rPr>
              <w:t>本项目预处理过程废油液挥发的废气在工位上方设置集气罩，</w:t>
            </w:r>
            <w:r>
              <w:rPr>
                <w:rFonts w:hint="eastAsia" w:ascii="Times New Roman" w:hAnsi="Times New Roman" w:eastAsia="宋体" w:cs="Times New Roman"/>
                <w:color w:val="auto"/>
                <w:kern w:val="0"/>
                <w:sz w:val="24"/>
                <w:szCs w:val="24"/>
                <w:highlight w:val="none"/>
                <w:lang w:val="en-US" w:eastAsia="zh-CN" w:bidi="ar-SA"/>
              </w:rPr>
              <w:t>废气经集气罩收集后经活性炭吸附装置处理，后经15m高排气</w:t>
            </w:r>
            <w:r>
              <w:rPr>
                <w:rFonts w:hint="eastAsia" w:cs="Times New Roman"/>
                <w:color w:val="auto"/>
                <w:kern w:val="0"/>
                <w:sz w:val="24"/>
                <w:szCs w:val="24"/>
                <w:highlight w:val="none"/>
                <w:lang w:val="en-US" w:eastAsia="zh-CN" w:bidi="ar-SA"/>
              </w:rPr>
              <w:t>筒（DA001）</w:t>
            </w:r>
            <w:r>
              <w:rPr>
                <w:rFonts w:hint="eastAsia" w:ascii="Times New Roman" w:hAnsi="Times New Roman" w:eastAsia="宋体" w:cs="Times New Roman"/>
                <w:color w:val="auto"/>
                <w:kern w:val="0"/>
                <w:sz w:val="24"/>
                <w:szCs w:val="24"/>
                <w:highlight w:val="none"/>
                <w:lang w:val="en-US" w:eastAsia="zh-CN" w:bidi="ar-SA"/>
              </w:rPr>
              <w:t>排放</w:t>
            </w:r>
            <w:r>
              <w:rPr>
                <w:rFonts w:hint="eastAsia" w:cs="Times New Roman"/>
                <w:color w:val="auto"/>
                <w:kern w:val="0"/>
                <w:sz w:val="24"/>
                <w:szCs w:val="24"/>
                <w:highlight w:val="none"/>
                <w:lang w:val="en-US" w:eastAsia="zh-CN" w:bidi="ar-SA"/>
              </w:rPr>
              <w:t>。切割过程中产生的切割废气在</w:t>
            </w:r>
            <w:r>
              <w:rPr>
                <w:rFonts w:hint="eastAsia" w:ascii="Times New Roman" w:hAnsi="Times New Roman" w:eastAsia="宋体" w:cs="Times New Roman"/>
                <w:color w:val="auto"/>
                <w:kern w:val="0"/>
                <w:sz w:val="24"/>
                <w:szCs w:val="24"/>
                <w:highlight w:val="none"/>
                <w:lang w:val="en-US" w:eastAsia="zh-CN" w:bidi="ar-SA"/>
              </w:rPr>
              <w:t>切割工位设置集气罩，切割粉尘采用集气罩收集，经布袋除尘器处理后经15m高排气筒</w:t>
            </w:r>
            <w:r>
              <w:rPr>
                <w:rFonts w:hint="eastAsia" w:cs="Times New Roman"/>
                <w:color w:val="auto"/>
                <w:kern w:val="0"/>
                <w:sz w:val="24"/>
                <w:szCs w:val="24"/>
                <w:highlight w:val="none"/>
                <w:lang w:val="en-US" w:eastAsia="zh-CN" w:bidi="ar-SA"/>
              </w:rPr>
              <w:t>（DA001）</w:t>
            </w:r>
            <w:r>
              <w:rPr>
                <w:rFonts w:hint="eastAsia" w:ascii="Times New Roman" w:hAnsi="Times New Roman" w:eastAsia="宋体" w:cs="Times New Roman"/>
                <w:color w:val="auto"/>
                <w:kern w:val="0"/>
                <w:sz w:val="24"/>
                <w:szCs w:val="24"/>
                <w:highlight w:val="none"/>
                <w:lang w:val="en-US" w:eastAsia="zh-CN" w:bidi="ar-SA"/>
              </w:rPr>
              <w:t>排放</w:t>
            </w:r>
            <w:r>
              <w:rPr>
                <w:rFonts w:hint="eastAsia" w:cs="Times New Roman"/>
                <w:color w:val="auto"/>
                <w:kern w:val="0"/>
                <w:sz w:val="24"/>
                <w:szCs w:val="24"/>
                <w:highlight w:val="none"/>
                <w:lang w:val="en-US" w:eastAsia="zh-CN" w:bidi="ar-SA"/>
              </w:rPr>
              <w:t>。</w:t>
            </w:r>
            <w:r>
              <w:rPr>
                <w:rFonts w:hint="eastAsia"/>
                <w:color w:val="auto"/>
                <w:sz w:val="24"/>
                <w:lang w:val="en-US" w:eastAsia="zh-CN"/>
              </w:rPr>
              <w:t>非甲烷总烃、工业粉尘</w:t>
            </w:r>
            <w:r>
              <w:rPr>
                <w:rFonts w:hint="default"/>
                <w:color w:val="auto"/>
                <w:sz w:val="24"/>
                <w:lang w:val="en-US" w:eastAsia="zh-CN"/>
              </w:rPr>
              <w:t>排放</w:t>
            </w:r>
            <w:r>
              <w:rPr>
                <w:rFonts w:hint="eastAsia"/>
                <w:color w:val="auto"/>
                <w:sz w:val="24"/>
                <w:lang w:val="en-US" w:eastAsia="zh-CN"/>
              </w:rPr>
              <w:t>浓度</w:t>
            </w:r>
            <w:r>
              <w:rPr>
                <w:rFonts w:hint="default"/>
                <w:color w:val="auto"/>
                <w:sz w:val="24"/>
                <w:lang w:val="en-US" w:eastAsia="zh-CN"/>
              </w:rPr>
              <w:t>均</w:t>
            </w:r>
            <w:r>
              <w:rPr>
                <w:rFonts w:hint="eastAsia"/>
                <w:color w:val="auto"/>
                <w:sz w:val="24"/>
                <w:lang w:val="en-US" w:eastAsia="zh-CN"/>
              </w:rPr>
              <w:t>满足</w:t>
            </w:r>
            <w:r>
              <w:rPr>
                <w:rFonts w:hint="eastAsia" w:ascii="Times New Roman" w:hAnsi="Times New Roman" w:eastAsia="宋体" w:cs="Times New Roman"/>
                <w:color w:val="auto"/>
                <w:kern w:val="0"/>
                <w:sz w:val="24"/>
                <w:szCs w:val="24"/>
                <w:highlight w:val="none"/>
                <w:lang w:val="en-US" w:eastAsia="zh-CN" w:bidi="ar-SA"/>
              </w:rPr>
              <w:t>《大气污染物综合排放标准》（GB16297-1996）表2中二级标准及无组织排放标准限值要求。</w:t>
            </w:r>
            <w:r>
              <w:rPr>
                <w:rFonts w:hint="eastAsia" w:cs="Times New Roman"/>
                <w:color w:val="auto"/>
                <w:kern w:val="0"/>
                <w:sz w:val="24"/>
                <w:szCs w:val="24"/>
                <w:highlight w:val="none"/>
                <w:lang w:val="en-US" w:eastAsia="zh-CN" w:bidi="ar-SA"/>
              </w:rPr>
              <w:t>本项目燃生物质</w:t>
            </w:r>
            <w:r>
              <w:rPr>
                <w:rFonts w:hint="eastAsia" w:ascii="Times New Roman" w:hAnsi="Times New Roman" w:eastAsia="宋体" w:cs="Times New Roman"/>
                <w:color w:val="auto"/>
                <w:kern w:val="0"/>
                <w:sz w:val="24"/>
                <w:szCs w:val="24"/>
                <w:highlight w:val="none"/>
                <w:lang w:val="en-US" w:eastAsia="zh-CN" w:bidi="ar-SA"/>
              </w:rPr>
              <w:t>锅</w:t>
            </w:r>
            <w:r>
              <w:rPr>
                <w:rFonts w:hint="default" w:ascii="Times New Roman" w:hAnsi="Times New Roman" w:eastAsia="宋体" w:cs="Times New Roman"/>
                <w:color w:val="auto"/>
                <w:kern w:val="0"/>
                <w:sz w:val="24"/>
                <w:szCs w:val="24"/>
                <w:highlight w:val="none"/>
                <w:lang w:val="en-US" w:eastAsia="zh-CN" w:bidi="ar-SA"/>
              </w:rPr>
              <w:t>炉</w:t>
            </w:r>
            <w:r>
              <w:rPr>
                <w:rFonts w:hint="eastAsia" w:cs="Times New Roman"/>
                <w:color w:val="auto"/>
                <w:kern w:val="0"/>
                <w:sz w:val="24"/>
                <w:szCs w:val="24"/>
                <w:highlight w:val="none"/>
                <w:lang w:val="en-US" w:eastAsia="zh-CN" w:bidi="ar-SA"/>
              </w:rPr>
              <w:t>废气采用旋风除尘器+布袋除尘器处理，处理后废气经30m高烟囱（DA002）排放。</w:t>
            </w:r>
            <w:r>
              <w:rPr>
                <w:rFonts w:hint="default"/>
                <w:color w:val="auto"/>
                <w:sz w:val="24"/>
                <w:lang w:val="en-US" w:eastAsia="zh-CN"/>
              </w:rPr>
              <w:t>颗粒物、SO</w:t>
            </w:r>
            <w:r>
              <w:rPr>
                <w:rFonts w:hint="default"/>
                <w:color w:val="auto"/>
                <w:sz w:val="24"/>
                <w:vertAlign w:val="subscript"/>
                <w:lang w:val="en-US" w:eastAsia="zh-CN"/>
              </w:rPr>
              <w:t>2</w:t>
            </w:r>
            <w:r>
              <w:rPr>
                <w:rFonts w:hint="eastAsia"/>
                <w:color w:val="auto"/>
                <w:sz w:val="24"/>
                <w:lang w:val="en-US" w:eastAsia="zh-CN"/>
              </w:rPr>
              <w:t>、</w:t>
            </w:r>
            <w:r>
              <w:rPr>
                <w:rFonts w:hint="default"/>
                <w:color w:val="auto"/>
                <w:sz w:val="24"/>
                <w:lang w:val="en-US" w:eastAsia="zh-CN"/>
              </w:rPr>
              <w:t>NOx排放</w:t>
            </w:r>
            <w:r>
              <w:rPr>
                <w:rFonts w:hint="eastAsia"/>
                <w:color w:val="auto"/>
                <w:sz w:val="24"/>
                <w:lang w:val="en-US" w:eastAsia="zh-CN"/>
              </w:rPr>
              <w:t>浓度</w:t>
            </w:r>
            <w:r>
              <w:rPr>
                <w:rFonts w:hint="default"/>
                <w:color w:val="auto"/>
                <w:sz w:val="24"/>
                <w:lang w:val="en-US" w:eastAsia="zh-CN"/>
              </w:rPr>
              <w:t>均满足</w:t>
            </w:r>
            <w:r>
              <w:rPr>
                <w:rFonts w:hint="eastAsia"/>
                <w:color w:val="auto"/>
                <w:sz w:val="24"/>
                <w:lang w:val="en-US" w:eastAsia="zh-CN"/>
              </w:rPr>
              <w:t>《锅炉大气污染物排放标准》（GB13271-2014）表2标准限值要求</w:t>
            </w:r>
            <w:r>
              <w:rPr>
                <w:rFonts w:hint="default"/>
                <w:color w:val="auto"/>
                <w:sz w:val="24"/>
                <w:lang w:val="en-US" w:eastAsia="zh-CN"/>
              </w:rPr>
              <w:t>。</w:t>
            </w:r>
            <w:r>
              <w:rPr>
                <w:rFonts w:hint="eastAsia" w:cs="Times New Roman"/>
                <w:color w:val="auto"/>
                <w:kern w:val="0"/>
                <w:sz w:val="24"/>
                <w:szCs w:val="24"/>
                <w:highlight w:val="none"/>
                <w:lang w:val="en-US" w:eastAsia="zh-CN" w:bidi="ar-SA"/>
              </w:rPr>
              <w:t>厂房外无组织非甲烷总烃排放执行《挥发性有机物无组织排放控制标准》（GB 37822—2019）标准中无组织排放监控浓度限值。敏感目标梁家村和新发村环境空气可满足</w:t>
            </w:r>
            <w:r>
              <w:rPr>
                <w:rFonts w:hint="default" w:ascii="Times New Roman" w:hAnsi="Times New Roman" w:eastAsia="宋体" w:cs="Times New Roman"/>
                <w:color w:val="auto"/>
                <w:kern w:val="0"/>
                <w:sz w:val="24"/>
                <w:szCs w:val="28"/>
                <w:lang w:val="en-US" w:eastAsia="zh-CN" w:bidi="ar-SA"/>
              </w:rPr>
              <w:t>《环境空气质量标准》（GB3095-2012）及修改单中二级标准要求</w:t>
            </w:r>
            <w:r>
              <w:rPr>
                <w:rFonts w:hint="eastAsia" w:cs="Times New Roman"/>
                <w:color w:val="auto"/>
                <w:kern w:val="0"/>
                <w:sz w:val="24"/>
                <w:szCs w:val="28"/>
                <w:lang w:val="en-US" w:eastAsia="zh-CN" w:bidi="ar-SA"/>
              </w:rPr>
              <w:t>。</w:t>
            </w:r>
          </w:p>
          <w:p w14:paraId="7C56BB7B">
            <w:pPr>
              <w:pStyle w:val="127"/>
              <w:ind w:firstLine="480"/>
              <w:rPr>
                <w:color w:val="auto"/>
                <w:szCs w:val="24"/>
              </w:rPr>
            </w:pPr>
            <w:r>
              <w:rPr>
                <w:rFonts w:hint="eastAsia"/>
                <w:color w:val="auto"/>
                <w:sz w:val="24"/>
                <w:lang w:val="en-US" w:eastAsia="zh-CN"/>
              </w:rPr>
              <w:t>本项目建成后初期雨水收集后经油水分离装置处理后，和锅炉排污水、软化水制备废水和生活污水一同排入市政管网，送入鸡西市鸡冠区污水处理厂，经处理后</w:t>
            </w:r>
            <w:r>
              <w:rPr>
                <w:rFonts w:hint="eastAsia"/>
                <w:color w:val="auto"/>
                <w:sz w:val="24"/>
              </w:rPr>
              <w:t>可以达到《城镇污水处理厂污染物排放标准》（GB 18918－2002）中一级A标准</w:t>
            </w:r>
            <w:r>
              <w:rPr>
                <w:rFonts w:hint="eastAsia"/>
                <w:color w:val="auto"/>
                <w:sz w:val="24"/>
                <w:lang w:eastAsia="zh-CN"/>
              </w:rPr>
              <w:t>。</w:t>
            </w:r>
          </w:p>
          <w:p w14:paraId="0C97513C">
            <w:pPr>
              <w:pStyle w:val="127"/>
              <w:ind w:firstLine="480"/>
              <w:rPr>
                <w:color w:val="auto"/>
                <w:szCs w:val="24"/>
              </w:rPr>
            </w:pPr>
            <w:r>
              <w:rPr>
                <w:color w:val="auto"/>
                <w:szCs w:val="24"/>
              </w:rPr>
              <w:t>本项目使用低噪声设备，通过厂房隔声、基础减振等措施，限制噪声向外传播。厂界噪声满足《工业企业厂界环境噪声排放标准》（GB12348-2008）表1中</w:t>
            </w:r>
            <w:r>
              <w:rPr>
                <w:rFonts w:hint="eastAsia"/>
                <w:color w:val="auto"/>
                <w:szCs w:val="24"/>
                <w:lang w:val="en-US" w:eastAsia="zh-CN"/>
              </w:rPr>
              <w:t>2</w:t>
            </w:r>
            <w:r>
              <w:rPr>
                <w:color w:val="auto"/>
                <w:szCs w:val="24"/>
              </w:rPr>
              <w:t>类标准</w:t>
            </w:r>
            <w:r>
              <w:rPr>
                <w:rFonts w:hint="eastAsia"/>
                <w:color w:val="auto"/>
                <w:szCs w:val="24"/>
                <w:lang w:eastAsia="zh-CN"/>
              </w:rPr>
              <w:t>，</w:t>
            </w:r>
            <w:r>
              <w:rPr>
                <w:rFonts w:hint="default" w:ascii="Times New Roman" w:hAnsi="Times New Roman" w:cs="Times New Roman"/>
                <w:color w:val="auto"/>
                <w:kern w:val="0"/>
                <w:sz w:val="24"/>
                <w:szCs w:val="24"/>
                <w:highlight w:val="none"/>
                <w:lang w:eastAsia="zh-CN"/>
              </w:rPr>
              <w:t>项目敏感目标处满足《声环境质量标准》</w:t>
            </w:r>
            <w:r>
              <w:rPr>
                <w:rFonts w:hint="eastAsia"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lang w:eastAsia="zh-CN"/>
              </w:rPr>
              <w:t>GB</w:t>
            </w:r>
            <w:r>
              <w:rPr>
                <w:rFonts w:hint="eastAsia" w:ascii="Times New Roman" w:hAnsi="Times New Roman" w:cs="Times New Roman"/>
                <w:color w:val="auto"/>
                <w:kern w:val="0"/>
                <w:sz w:val="24"/>
                <w:szCs w:val="24"/>
                <w:highlight w:val="none"/>
                <w:lang w:val="en-US" w:eastAsia="zh-CN"/>
              </w:rPr>
              <w:t xml:space="preserve"> </w:t>
            </w:r>
            <w:r>
              <w:rPr>
                <w:rFonts w:hint="default" w:ascii="Times New Roman" w:hAnsi="Times New Roman" w:cs="Times New Roman"/>
                <w:color w:val="auto"/>
                <w:kern w:val="0"/>
                <w:sz w:val="24"/>
                <w:szCs w:val="24"/>
                <w:highlight w:val="none"/>
                <w:lang w:eastAsia="zh-CN"/>
              </w:rPr>
              <w:t>3096-2008</w:t>
            </w:r>
            <w:r>
              <w:rPr>
                <w:rFonts w:hint="eastAsia" w:cs="Times New Roman"/>
                <w:color w:val="auto"/>
                <w:kern w:val="0"/>
                <w:sz w:val="24"/>
                <w:szCs w:val="24"/>
                <w:highlight w:val="none"/>
                <w:lang w:eastAsia="zh-CN"/>
              </w:rPr>
              <w:t>）</w:t>
            </w:r>
            <w:r>
              <w:rPr>
                <w:rFonts w:hint="eastAsia" w:cs="Times New Roman"/>
                <w:color w:val="auto"/>
                <w:kern w:val="0"/>
                <w:sz w:val="24"/>
                <w:szCs w:val="24"/>
                <w:highlight w:val="none"/>
                <w:lang w:val="en-US" w:eastAsia="zh-CN"/>
              </w:rPr>
              <w:t>2</w:t>
            </w:r>
            <w:r>
              <w:rPr>
                <w:rFonts w:hint="default" w:ascii="Times New Roman" w:hAnsi="Times New Roman" w:cs="Times New Roman"/>
                <w:color w:val="auto"/>
                <w:kern w:val="0"/>
                <w:sz w:val="24"/>
                <w:szCs w:val="24"/>
                <w:highlight w:val="none"/>
                <w:lang w:eastAsia="zh-CN"/>
              </w:rPr>
              <w:t>类标准限值的要求</w:t>
            </w:r>
            <w:r>
              <w:rPr>
                <w:color w:val="auto"/>
                <w:szCs w:val="24"/>
              </w:rPr>
              <w:t>。</w:t>
            </w:r>
          </w:p>
          <w:p w14:paraId="6E4F7FDF">
            <w:pPr>
              <w:pStyle w:val="127"/>
              <w:ind w:firstLine="480"/>
              <w:rPr>
                <w:color w:val="auto"/>
                <w:szCs w:val="24"/>
              </w:rPr>
            </w:pPr>
            <w:r>
              <w:rPr>
                <w:color w:val="auto"/>
                <w:szCs w:val="24"/>
              </w:rPr>
              <w:t>综上所述</w:t>
            </w:r>
            <w:r>
              <w:rPr>
                <w:rFonts w:hint="eastAsia"/>
                <w:color w:val="auto"/>
                <w:szCs w:val="24"/>
              </w:rPr>
              <w:t>，</w:t>
            </w:r>
            <w:r>
              <w:rPr>
                <w:color w:val="auto"/>
                <w:szCs w:val="24"/>
              </w:rPr>
              <w:t>本项目的建设对周围环境影响较小</w:t>
            </w:r>
            <w:r>
              <w:rPr>
                <w:rFonts w:hint="eastAsia"/>
                <w:color w:val="auto"/>
                <w:szCs w:val="24"/>
              </w:rPr>
              <w:t>，</w:t>
            </w:r>
            <w:r>
              <w:rPr>
                <w:color w:val="auto"/>
                <w:szCs w:val="24"/>
              </w:rPr>
              <w:t>不会改变所在区域环境质量功能</w:t>
            </w:r>
            <w:r>
              <w:rPr>
                <w:rFonts w:hint="eastAsia"/>
                <w:color w:val="auto"/>
                <w:szCs w:val="24"/>
              </w:rPr>
              <w:t>，</w:t>
            </w:r>
            <w:r>
              <w:rPr>
                <w:color w:val="auto"/>
                <w:szCs w:val="24"/>
              </w:rPr>
              <w:t>不会对区域环境质量底线造成冲击。</w:t>
            </w:r>
          </w:p>
          <w:p w14:paraId="42BEC73E">
            <w:pPr>
              <w:pStyle w:val="127"/>
              <w:ind w:firstLine="480"/>
              <w:rPr>
                <w:rFonts w:hint="default" w:ascii="Times New Roman" w:hAnsi="Times New Roman" w:eastAsia="宋体" w:cs="Times New Roman"/>
                <w:color w:val="auto"/>
                <w:szCs w:val="24"/>
                <w:lang w:val="en-US" w:eastAsia="zh-CN"/>
              </w:rPr>
            </w:pPr>
            <w:r>
              <w:rPr>
                <w:rFonts w:hint="default" w:ascii="Times New Roman" w:hAnsi="Times New Roman" w:eastAsia="宋体" w:cs="Times New Roman"/>
                <w:color w:val="auto"/>
                <w:szCs w:val="24"/>
                <w:lang w:val="en-US" w:eastAsia="zh-CN"/>
              </w:rPr>
              <w:t>（3）资源利用上线符合性分析</w:t>
            </w:r>
          </w:p>
          <w:p w14:paraId="55343718">
            <w:pPr>
              <w:pStyle w:val="127"/>
              <w:ind w:firstLine="480"/>
              <w:rPr>
                <w:rFonts w:hint="eastAsia" w:ascii="Times New Roman" w:hAnsi="Times New Roman" w:eastAsia="宋体" w:cs="Times New Roman"/>
                <w:color w:val="auto"/>
                <w:szCs w:val="24"/>
              </w:rPr>
            </w:pPr>
            <w:r>
              <w:rPr>
                <w:rFonts w:hint="eastAsia" w:ascii="Times New Roman" w:hAnsi="Times New Roman" w:eastAsia="宋体" w:cs="Times New Roman"/>
                <w:color w:val="auto"/>
                <w:szCs w:val="24"/>
                <w:lang w:val="en-US" w:eastAsia="zh-CN"/>
              </w:rPr>
              <w:t>本项目</w:t>
            </w:r>
            <w:r>
              <w:rPr>
                <w:rFonts w:hint="eastAsia" w:ascii="Times New Roman" w:hAnsi="Times New Roman" w:eastAsia="宋体" w:cs="Times New Roman"/>
                <w:color w:val="auto"/>
                <w:szCs w:val="24"/>
              </w:rPr>
              <w:t>用水由市政供水管网提供，项目用电由当地供电局提供，用水水源及供电电源可靠，资源消耗量相对于区域资源利用总量较小，不会突破当地资源利用上线。</w:t>
            </w:r>
          </w:p>
          <w:p w14:paraId="13B508D9">
            <w:pPr>
              <w:pStyle w:val="127"/>
              <w:ind w:firstLine="480"/>
              <w:rPr>
                <w:color w:val="auto"/>
                <w:szCs w:val="24"/>
              </w:rPr>
            </w:pPr>
            <w:r>
              <w:rPr>
                <w:rFonts w:hint="eastAsia"/>
                <w:color w:val="auto"/>
                <w:szCs w:val="24"/>
              </w:rPr>
              <w:t>（4）生态环境准入清单</w:t>
            </w:r>
          </w:p>
          <w:p w14:paraId="1D9D04BB">
            <w:pPr>
              <w:pStyle w:val="127"/>
              <w:ind w:firstLine="480"/>
              <w:rPr>
                <w:rFonts w:hint="eastAsia"/>
                <w:color w:val="auto"/>
                <w:szCs w:val="24"/>
              </w:rPr>
            </w:pPr>
            <w:r>
              <w:rPr>
                <w:color w:val="auto"/>
                <w:szCs w:val="24"/>
              </w:rPr>
              <w:t>本项目位于</w:t>
            </w:r>
            <w:r>
              <w:rPr>
                <w:rFonts w:hint="eastAsia" w:cs="Arial"/>
                <w:color w:val="auto"/>
              </w:rPr>
              <w:t>鸡西市鸡冠区梁家村六组</w:t>
            </w:r>
            <w:r>
              <w:rPr>
                <w:rFonts w:hint="eastAsia"/>
                <w:color w:val="auto"/>
                <w:szCs w:val="24"/>
              </w:rPr>
              <w:t>，</w:t>
            </w:r>
            <w:r>
              <w:rPr>
                <w:color w:val="auto"/>
                <w:szCs w:val="24"/>
              </w:rPr>
              <w:t>根</w:t>
            </w:r>
            <w:r>
              <w:rPr>
                <w:rFonts w:hint="eastAsia" w:ascii="Times New Roman" w:hAnsi="Times New Roman" w:eastAsia="宋体" w:cs="Times New Roman"/>
                <w:color w:val="auto"/>
                <w:spacing w:val="4"/>
                <w:sz w:val="24"/>
                <w:highlight w:val="none"/>
              </w:rPr>
              <w:t>据</w:t>
            </w:r>
            <w:r>
              <w:rPr>
                <w:rFonts w:hint="eastAsia" w:ascii="Times New Roman" w:hAnsi="Times New Roman" w:eastAsia="宋体" w:cs="Times New Roman"/>
                <w:color w:val="auto"/>
                <w:spacing w:val="4"/>
                <w:sz w:val="24"/>
                <w:highlight w:val="none"/>
                <w:lang w:eastAsia="zh-CN"/>
              </w:rPr>
              <w:t>《</w:t>
            </w:r>
            <w:r>
              <w:rPr>
                <w:rFonts w:hint="eastAsia" w:ascii="Times New Roman" w:hAnsi="Times New Roman" w:eastAsia="宋体" w:cs="Times New Roman"/>
                <w:color w:val="auto"/>
                <w:spacing w:val="4"/>
                <w:sz w:val="24"/>
                <w:highlight w:val="none"/>
              </w:rPr>
              <w:t>鸡西市木森商贸有限责任公司农机拆解项目</w:t>
            </w:r>
            <w:r>
              <w:rPr>
                <w:rFonts w:hint="eastAsia" w:ascii="Times New Roman" w:hAnsi="Times New Roman" w:eastAsia="宋体" w:cs="Times New Roman"/>
                <w:color w:val="auto"/>
                <w:spacing w:val="4"/>
                <w:sz w:val="24"/>
                <w:highlight w:val="none"/>
                <w:lang w:val="en-US" w:eastAsia="zh-CN"/>
              </w:rPr>
              <w:t>生态环境分</w:t>
            </w:r>
            <w:r>
              <w:rPr>
                <w:rFonts w:hint="eastAsia"/>
                <w:color w:val="auto"/>
                <w:szCs w:val="24"/>
                <w:lang w:val="en-US" w:eastAsia="zh-CN"/>
              </w:rPr>
              <w:t>区管控分析报告</w:t>
            </w:r>
            <w:r>
              <w:rPr>
                <w:rFonts w:hint="eastAsia"/>
                <w:color w:val="auto"/>
                <w:szCs w:val="24"/>
                <w:lang w:eastAsia="zh-CN"/>
              </w:rPr>
              <w:t>》（</w:t>
            </w:r>
            <w:r>
              <w:rPr>
                <w:rFonts w:hint="eastAsia"/>
                <w:color w:val="auto"/>
                <w:szCs w:val="24"/>
                <w:lang w:val="en-US" w:eastAsia="zh-CN"/>
              </w:rPr>
              <w:t>见附件5</w:t>
            </w:r>
            <w:r>
              <w:rPr>
                <w:rFonts w:hint="eastAsia"/>
                <w:color w:val="auto"/>
                <w:szCs w:val="24"/>
                <w:lang w:eastAsia="zh-CN"/>
              </w:rPr>
              <w:t>）</w:t>
            </w:r>
            <w:r>
              <w:rPr>
                <w:rFonts w:hint="eastAsia"/>
                <w:color w:val="auto"/>
                <w:szCs w:val="24"/>
              </w:rPr>
              <w:t>，</w:t>
            </w:r>
            <w:r>
              <w:rPr>
                <w:color w:val="auto"/>
                <w:szCs w:val="24"/>
              </w:rPr>
              <w:t>属于重点管控单元</w:t>
            </w:r>
            <w:r>
              <w:rPr>
                <w:rFonts w:hint="eastAsia"/>
                <w:color w:val="auto"/>
                <w:szCs w:val="24"/>
              </w:rPr>
              <w:t>。本项目与</w:t>
            </w:r>
            <w:r>
              <w:rPr>
                <w:rFonts w:hint="eastAsia" w:ascii="Times New Roman" w:hAnsi="Times New Roman" w:eastAsia="宋体" w:cs="Times New Roman"/>
                <w:color w:val="auto"/>
                <w:spacing w:val="4"/>
                <w:sz w:val="24"/>
                <w:highlight w:val="none"/>
                <w:lang w:eastAsia="zh-CN"/>
              </w:rPr>
              <w:t>《</w:t>
            </w:r>
            <w:r>
              <w:rPr>
                <w:rFonts w:hint="eastAsia" w:ascii="Times New Roman" w:hAnsi="Times New Roman" w:eastAsia="宋体" w:cs="Times New Roman"/>
                <w:color w:val="auto"/>
                <w:spacing w:val="4"/>
                <w:sz w:val="24"/>
                <w:highlight w:val="none"/>
              </w:rPr>
              <w:t>鸡西市木森商贸有限责任公司农机拆解项目</w:t>
            </w:r>
            <w:r>
              <w:rPr>
                <w:rFonts w:hint="eastAsia" w:ascii="Times New Roman" w:hAnsi="Times New Roman" w:eastAsia="宋体" w:cs="Times New Roman"/>
                <w:color w:val="auto"/>
                <w:spacing w:val="4"/>
                <w:sz w:val="24"/>
                <w:highlight w:val="none"/>
                <w:lang w:val="en-US" w:eastAsia="zh-CN"/>
              </w:rPr>
              <w:t>生态环境分</w:t>
            </w:r>
            <w:r>
              <w:rPr>
                <w:rFonts w:hint="eastAsia"/>
                <w:color w:val="auto"/>
                <w:szCs w:val="24"/>
                <w:lang w:val="en-US" w:eastAsia="zh-CN"/>
              </w:rPr>
              <w:t>区管控分析报告</w:t>
            </w:r>
            <w:r>
              <w:rPr>
                <w:rFonts w:hint="eastAsia"/>
                <w:color w:val="auto"/>
                <w:szCs w:val="24"/>
                <w:lang w:eastAsia="zh-CN"/>
              </w:rPr>
              <w:t>》</w:t>
            </w:r>
            <w:r>
              <w:rPr>
                <w:rFonts w:hint="eastAsia"/>
                <w:color w:val="auto"/>
                <w:szCs w:val="24"/>
              </w:rPr>
              <w:t>符合性分析见表</w:t>
            </w:r>
            <w:r>
              <w:rPr>
                <w:color w:val="auto"/>
                <w:szCs w:val="24"/>
              </w:rPr>
              <w:t>1-</w:t>
            </w:r>
            <w:r>
              <w:rPr>
                <w:rFonts w:hint="eastAsia"/>
                <w:color w:val="auto"/>
                <w:szCs w:val="24"/>
                <w:lang w:val="en-US" w:eastAsia="zh-CN"/>
              </w:rPr>
              <w:t>2</w:t>
            </w:r>
            <w:r>
              <w:rPr>
                <w:rFonts w:hint="eastAsia"/>
                <w:color w:val="auto"/>
                <w:szCs w:val="24"/>
              </w:rPr>
              <w:t>。</w:t>
            </w:r>
          </w:p>
          <w:p w14:paraId="4F61AD69">
            <w:pPr>
              <w:widowControl/>
              <w:jc w:val="center"/>
              <w:rPr>
                <w:b/>
                <w:bCs/>
                <w:color w:val="auto"/>
                <w:kern w:val="0"/>
                <w:szCs w:val="21"/>
                <w:lang w:bidi="ar"/>
              </w:rPr>
            </w:pPr>
            <w:r>
              <w:rPr>
                <w:rFonts w:hint="eastAsia"/>
                <w:b/>
                <w:bCs/>
                <w:color w:val="auto"/>
                <w:kern w:val="0"/>
                <w:szCs w:val="21"/>
                <w:lang w:bidi="ar"/>
              </w:rPr>
              <w:t>表1-</w:t>
            </w:r>
            <w:r>
              <w:rPr>
                <w:rFonts w:hint="eastAsia"/>
                <w:b/>
                <w:bCs/>
                <w:color w:val="auto"/>
                <w:kern w:val="0"/>
                <w:szCs w:val="21"/>
                <w:lang w:val="en-US" w:eastAsia="zh-CN" w:bidi="ar"/>
              </w:rPr>
              <w:t>2</w:t>
            </w:r>
            <w:r>
              <w:rPr>
                <w:rFonts w:hint="eastAsia"/>
                <w:b/>
                <w:bCs/>
                <w:color w:val="auto"/>
                <w:kern w:val="0"/>
                <w:szCs w:val="21"/>
                <w:lang w:bidi="ar"/>
              </w:rPr>
              <w:t xml:space="preserve">  </w:t>
            </w:r>
            <w:r>
              <w:rPr>
                <w:rFonts w:hint="eastAsia"/>
                <w:b/>
                <w:bCs/>
                <w:color w:val="auto"/>
                <w:kern w:val="0"/>
                <w:szCs w:val="21"/>
                <w:lang w:val="en-US" w:eastAsia="zh-CN" w:bidi="ar"/>
              </w:rPr>
              <w:t>鸡西</w:t>
            </w:r>
            <w:r>
              <w:rPr>
                <w:rFonts w:hint="eastAsia"/>
                <w:b/>
                <w:bCs/>
                <w:color w:val="auto"/>
                <w:kern w:val="0"/>
                <w:szCs w:val="21"/>
                <w:lang w:bidi="ar"/>
              </w:rPr>
              <w:t>市生态环境准入清单符合性分析</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Layout w:type="fixed"/>
              <w:tblCellMar>
                <w:top w:w="0" w:type="dxa"/>
                <w:left w:w="108" w:type="dxa"/>
                <w:bottom w:w="0" w:type="dxa"/>
                <w:right w:w="108" w:type="dxa"/>
              </w:tblCellMar>
            </w:tblPr>
            <w:tblGrid>
              <w:gridCol w:w="477"/>
              <w:gridCol w:w="735"/>
              <w:gridCol w:w="3555"/>
              <w:gridCol w:w="2441"/>
              <w:gridCol w:w="516"/>
            </w:tblGrid>
            <w:tr w14:paraId="1FCEFB72">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20" w:hRule="atLeast"/>
                <w:jc w:val="center"/>
              </w:trPr>
              <w:tc>
                <w:tcPr>
                  <w:tcW w:w="784" w:type="pct"/>
                  <w:gridSpan w:val="2"/>
                  <w:tcBorders>
                    <w:tl2br w:val="nil"/>
                    <w:tr2bl w:val="nil"/>
                  </w:tcBorders>
                  <w:vAlign w:val="center"/>
                </w:tcPr>
                <w:p w14:paraId="008E03B0">
                  <w:pPr>
                    <w:pStyle w:val="110"/>
                    <w:rPr>
                      <w:rStyle w:val="132"/>
                      <w:rFonts w:ascii="Times New Roman" w:hAnsi="Times New Roman" w:eastAsia="宋体" w:cs="Times New Roman"/>
                      <w:color w:val="auto"/>
                    </w:rPr>
                  </w:pPr>
                  <w:r>
                    <w:rPr>
                      <w:rStyle w:val="132"/>
                      <w:rFonts w:hint="eastAsia" w:ascii="Times New Roman" w:hAnsi="Times New Roman" w:eastAsia="宋体" w:cs="Times New Roman"/>
                      <w:color w:val="auto"/>
                    </w:rPr>
                    <w:t>环境管控单元名称</w:t>
                  </w:r>
                </w:p>
              </w:tc>
              <w:tc>
                <w:tcPr>
                  <w:tcW w:w="2301" w:type="pct"/>
                  <w:tcBorders>
                    <w:tl2br w:val="nil"/>
                    <w:tr2bl w:val="nil"/>
                  </w:tcBorders>
                  <w:vAlign w:val="center"/>
                </w:tcPr>
                <w:p w14:paraId="68DB72AB">
                  <w:pPr>
                    <w:pStyle w:val="110"/>
                    <w:rPr>
                      <w:rStyle w:val="132"/>
                      <w:rFonts w:ascii="Times New Roman" w:hAnsi="Times New Roman" w:eastAsia="宋体" w:cs="Times New Roman"/>
                      <w:color w:val="auto"/>
                    </w:rPr>
                  </w:pPr>
                  <w:r>
                    <w:rPr>
                      <w:rStyle w:val="132"/>
                      <w:rFonts w:hint="eastAsia" w:ascii="Times New Roman" w:hAnsi="Times New Roman" w:eastAsia="宋体" w:cs="Times New Roman"/>
                      <w:color w:val="auto"/>
                    </w:rPr>
                    <w:t>鸡冠区水环境城镇生活污染重点管控区</w:t>
                  </w:r>
                </w:p>
              </w:tc>
              <w:tc>
                <w:tcPr>
                  <w:tcW w:w="1580" w:type="pct"/>
                  <w:vMerge w:val="restart"/>
                  <w:tcBorders>
                    <w:tl2br w:val="nil"/>
                    <w:tr2bl w:val="nil"/>
                  </w:tcBorders>
                  <w:vAlign w:val="center"/>
                </w:tcPr>
                <w:p w14:paraId="2F17E2FD">
                  <w:pPr>
                    <w:pStyle w:val="110"/>
                    <w:rPr>
                      <w:rStyle w:val="132"/>
                      <w:rFonts w:ascii="Times New Roman" w:hAnsi="Times New Roman" w:eastAsia="宋体" w:cs="Times New Roman"/>
                      <w:color w:val="auto"/>
                    </w:rPr>
                  </w:pPr>
                  <w:r>
                    <w:rPr>
                      <w:rStyle w:val="132"/>
                      <w:rFonts w:hint="eastAsia" w:ascii="Times New Roman" w:hAnsi="Times New Roman" w:eastAsia="宋体" w:cs="Times New Roman"/>
                      <w:color w:val="auto"/>
                    </w:rPr>
                    <w:t>本项目</w:t>
                  </w:r>
                </w:p>
              </w:tc>
              <w:tc>
                <w:tcPr>
                  <w:tcW w:w="334" w:type="pct"/>
                  <w:vMerge w:val="restart"/>
                  <w:tcBorders>
                    <w:tl2br w:val="nil"/>
                    <w:tr2bl w:val="nil"/>
                  </w:tcBorders>
                  <w:vAlign w:val="center"/>
                </w:tcPr>
                <w:p w14:paraId="482DA6B0">
                  <w:pPr>
                    <w:pStyle w:val="110"/>
                    <w:rPr>
                      <w:rStyle w:val="132"/>
                      <w:rFonts w:ascii="Times New Roman" w:hAnsi="Times New Roman" w:eastAsia="宋体" w:cs="Times New Roman"/>
                      <w:color w:val="auto"/>
                    </w:rPr>
                  </w:pPr>
                  <w:r>
                    <w:rPr>
                      <w:rStyle w:val="132"/>
                      <w:rFonts w:hint="eastAsia" w:ascii="Times New Roman" w:hAnsi="Times New Roman" w:eastAsia="宋体" w:cs="Times New Roman"/>
                      <w:color w:val="auto"/>
                    </w:rPr>
                    <w:t>符合性</w:t>
                  </w:r>
                </w:p>
              </w:tc>
            </w:tr>
            <w:tr w14:paraId="4087A87D">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615" w:hRule="atLeast"/>
                <w:jc w:val="center"/>
              </w:trPr>
              <w:tc>
                <w:tcPr>
                  <w:tcW w:w="784" w:type="pct"/>
                  <w:gridSpan w:val="2"/>
                  <w:tcBorders>
                    <w:tl2br w:val="nil"/>
                    <w:tr2bl w:val="nil"/>
                  </w:tcBorders>
                  <w:vAlign w:val="center"/>
                </w:tcPr>
                <w:p w14:paraId="56A58A82">
                  <w:pPr>
                    <w:pStyle w:val="110"/>
                    <w:rPr>
                      <w:rStyle w:val="132"/>
                      <w:rFonts w:ascii="Times New Roman" w:hAnsi="Times New Roman" w:eastAsia="宋体" w:cs="Times New Roman"/>
                      <w:color w:val="auto"/>
                    </w:rPr>
                  </w:pPr>
                  <w:r>
                    <w:rPr>
                      <w:rStyle w:val="132"/>
                      <w:rFonts w:ascii="Times New Roman" w:hAnsi="Times New Roman" w:eastAsia="宋体" w:cs="Times New Roman"/>
                      <w:color w:val="auto"/>
                    </w:rPr>
                    <w:t>管控单元编码</w:t>
                  </w:r>
                </w:p>
              </w:tc>
              <w:tc>
                <w:tcPr>
                  <w:tcW w:w="2301" w:type="pct"/>
                  <w:tcBorders>
                    <w:tl2br w:val="nil"/>
                    <w:tr2bl w:val="nil"/>
                  </w:tcBorders>
                  <w:vAlign w:val="center"/>
                </w:tcPr>
                <w:p w14:paraId="6FDA8F28">
                  <w:pPr>
                    <w:pStyle w:val="110"/>
                    <w:rPr>
                      <w:rStyle w:val="132"/>
                      <w:rFonts w:ascii="Times New Roman" w:hAnsi="Times New Roman" w:eastAsia="宋体" w:cs="Times New Roman"/>
                      <w:color w:val="auto"/>
                    </w:rPr>
                  </w:pPr>
                  <w:r>
                    <w:rPr>
                      <w:rStyle w:val="132"/>
                      <w:rFonts w:hint="eastAsia" w:ascii="Times New Roman" w:hAnsi="Times New Roman" w:eastAsia="宋体" w:cs="Times New Roman"/>
                      <w:color w:val="auto"/>
                    </w:rPr>
                    <w:t>ZH230</w:t>
                  </w:r>
                  <w:r>
                    <w:rPr>
                      <w:rStyle w:val="132"/>
                      <w:rFonts w:hint="eastAsia" w:cs="Times New Roman"/>
                      <w:color w:val="auto"/>
                      <w:lang w:val="en-US" w:eastAsia="zh-CN"/>
                    </w:rPr>
                    <w:t>3</w:t>
                  </w:r>
                  <w:r>
                    <w:rPr>
                      <w:rStyle w:val="132"/>
                      <w:rFonts w:hint="eastAsia" w:ascii="Times New Roman" w:hAnsi="Times New Roman" w:eastAsia="宋体" w:cs="Times New Roman"/>
                      <w:color w:val="auto"/>
                    </w:rPr>
                    <w:t>0220003</w:t>
                  </w:r>
                </w:p>
              </w:tc>
              <w:tc>
                <w:tcPr>
                  <w:tcW w:w="1580" w:type="pct"/>
                  <w:vMerge w:val="continue"/>
                  <w:tcBorders>
                    <w:tl2br w:val="nil"/>
                    <w:tr2bl w:val="nil"/>
                  </w:tcBorders>
                  <w:vAlign w:val="center"/>
                </w:tcPr>
                <w:p w14:paraId="70E51831">
                  <w:pPr>
                    <w:pStyle w:val="110"/>
                    <w:rPr>
                      <w:rStyle w:val="132"/>
                      <w:rFonts w:ascii="Times New Roman" w:hAnsi="Times New Roman" w:eastAsia="宋体" w:cs="Times New Roman"/>
                      <w:color w:val="auto"/>
                    </w:rPr>
                  </w:pPr>
                </w:p>
              </w:tc>
              <w:tc>
                <w:tcPr>
                  <w:tcW w:w="334" w:type="pct"/>
                  <w:vMerge w:val="continue"/>
                  <w:tcBorders>
                    <w:tl2br w:val="nil"/>
                    <w:tr2bl w:val="nil"/>
                  </w:tcBorders>
                  <w:vAlign w:val="center"/>
                </w:tcPr>
                <w:p w14:paraId="22157D69">
                  <w:pPr>
                    <w:pStyle w:val="110"/>
                    <w:rPr>
                      <w:rStyle w:val="132"/>
                      <w:rFonts w:ascii="Times New Roman" w:hAnsi="Times New Roman" w:eastAsia="宋体" w:cs="Times New Roman"/>
                      <w:color w:val="auto"/>
                    </w:rPr>
                  </w:pPr>
                </w:p>
              </w:tc>
            </w:tr>
            <w:tr w14:paraId="49F17A3E">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20" w:hRule="atLeast"/>
                <w:jc w:val="center"/>
              </w:trPr>
              <w:tc>
                <w:tcPr>
                  <w:tcW w:w="784" w:type="pct"/>
                  <w:gridSpan w:val="2"/>
                  <w:tcBorders>
                    <w:tl2br w:val="nil"/>
                    <w:tr2bl w:val="nil"/>
                  </w:tcBorders>
                  <w:vAlign w:val="center"/>
                </w:tcPr>
                <w:p w14:paraId="7638498D">
                  <w:pPr>
                    <w:pStyle w:val="110"/>
                    <w:rPr>
                      <w:rStyle w:val="132"/>
                      <w:rFonts w:ascii="Times New Roman" w:hAnsi="Times New Roman" w:eastAsia="宋体" w:cs="Times New Roman"/>
                      <w:color w:val="auto"/>
                    </w:rPr>
                  </w:pPr>
                  <w:r>
                    <w:rPr>
                      <w:rStyle w:val="132"/>
                      <w:rFonts w:hint="eastAsia" w:ascii="Times New Roman" w:hAnsi="Times New Roman" w:eastAsia="宋体" w:cs="Times New Roman"/>
                      <w:color w:val="auto"/>
                    </w:rPr>
                    <w:t>管控单元类别</w:t>
                  </w:r>
                </w:p>
              </w:tc>
              <w:tc>
                <w:tcPr>
                  <w:tcW w:w="2301" w:type="pct"/>
                  <w:tcBorders>
                    <w:tl2br w:val="nil"/>
                    <w:tr2bl w:val="nil"/>
                  </w:tcBorders>
                  <w:vAlign w:val="center"/>
                </w:tcPr>
                <w:p w14:paraId="6B349F0F">
                  <w:pPr>
                    <w:pStyle w:val="110"/>
                    <w:rPr>
                      <w:rStyle w:val="132"/>
                      <w:rFonts w:ascii="Times New Roman" w:hAnsi="Times New Roman" w:eastAsia="宋体" w:cs="Times New Roman"/>
                      <w:color w:val="auto"/>
                    </w:rPr>
                  </w:pPr>
                  <w:r>
                    <w:rPr>
                      <w:rStyle w:val="132"/>
                      <w:rFonts w:hint="eastAsia" w:ascii="Times New Roman" w:hAnsi="Times New Roman" w:eastAsia="宋体" w:cs="Times New Roman"/>
                      <w:color w:val="auto"/>
                    </w:rPr>
                    <w:t>重点管控单元</w:t>
                  </w:r>
                </w:p>
              </w:tc>
              <w:tc>
                <w:tcPr>
                  <w:tcW w:w="1580" w:type="pct"/>
                  <w:vMerge w:val="continue"/>
                  <w:tcBorders>
                    <w:tl2br w:val="nil"/>
                    <w:tr2bl w:val="nil"/>
                  </w:tcBorders>
                  <w:vAlign w:val="center"/>
                </w:tcPr>
                <w:p w14:paraId="16BA948E">
                  <w:pPr>
                    <w:pStyle w:val="110"/>
                    <w:rPr>
                      <w:rStyle w:val="132"/>
                      <w:rFonts w:ascii="Times New Roman" w:hAnsi="Times New Roman" w:eastAsia="宋体" w:cs="Times New Roman"/>
                      <w:color w:val="auto"/>
                    </w:rPr>
                  </w:pPr>
                </w:p>
              </w:tc>
              <w:tc>
                <w:tcPr>
                  <w:tcW w:w="334" w:type="pct"/>
                  <w:vMerge w:val="continue"/>
                  <w:tcBorders>
                    <w:tl2br w:val="nil"/>
                    <w:tr2bl w:val="nil"/>
                  </w:tcBorders>
                  <w:vAlign w:val="center"/>
                </w:tcPr>
                <w:p w14:paraId="51FF0F45">
                  <w:pPr>
                    <w:pStyle w:val="110"/>
                    <w:rPr>
                      <w:rStyle w:val="132"/>
                      <w:rFonts w:ascii="Times New Roman" w:hAnsi="Times New Roman" w:eastAsia="宋体" w:cs="Times New Roman"/>
                      <w:color w:val="auto"/>
                    </w:rPr>
                  </w:pPr>
                </w:p>
              </w:tc>
            </w:tr>
            <w:tr w14:paraId="529D93E8">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20" w:hRule="atLeast"/>
                <w:jc w:val="center"/>
              </w:trPr>
              <w:tc>
                <w:tcPr>
                  <w:tcW w:w="308" w:type="pct"/>
                  <w:vMerge w:val="restart"/>
                  <w:tcBorders>
                    <w:tl2br w:val="nil"/>
                    <w:tr2bl w:val="nil"/>
                  </w:tcBorders>
                  <w:vAlign w:val="center"/>
                </w:tcPr>
                <w:p w14:paraId="0CE29D3A">
                  <w:pPr>
                    <w:pStyle w:val="110"/>
                    <w:rPr>
                      <w:rStyle w:val="132"/>
                      <w:rFonts w:ascii="Times New Roman" w:hAnsi="Times New Roman" w:eastAsia="宋体" w:cs="Times New Roman"/>
                      <w:color w:val="auto"/>
                    </w:rPr>
                  </w:pPr>
                  <w:r>
                    <w:rPr>
                      <w:rStyle w:val="132"/>
                      <w:rFonts w:hint="eastAsia" w:ascii="Times New Roman" w:hAnsi="Times New Roman" w:eastAsia="宋体" w:cs="Times New Roman"/>
                      <w:color w:val="auto"/>
                    </w:rPr>
                    <w:t>管控要求</w:t>
                  </w:r>
                </w:p>
              </w:tc>
              <w:tc>
                <w:tcPr>
                  <w:tcW w:w="475" w:type="pct"/>
                  <w:tcBorders>
                    <w:tl2br w:val="nil"/>
                    <w:tr2bl w:val="nil"/>
                  </w:tcBorders>
                  <w:vAlign w:val="center"/>
                </w:tcPr>
                <w:p w14:paraId="39011D2C">
                  <w:pPr>
                    <w:pStyle w:val="110"/>
                    <w:rPr>
                      <w:rStyle w:val="132"/>
                      <w:rFonts w:ascii="Times New Roman" w:hAnsi="Times New Roman" w:eastAsia="宋体" w:cs="Times New Roman"/>
                      <w:color w:val="auto"/>
                    </w:rPr>
                  </w:pPr>
                  <w:r>
                    <w:rPr>
                      <w:rStyle w:val="132"/>
                      <w:rFonts w:ascii="Times New Roman" w:hAnsi="Times New Roman" w:eastAsia="宋体" w:cs="Times New Roman"/>
                      <w:color w:val="auto"/>
                    </w:rPr>
                    <w:t>空间布局约束</w:t>
                  </w:r>
                </w:p>
              </w:tc>
              <w:tc>
                <w:tcPr>
                  <w:tcW w:w="2301" w:type="pct"/>
                  <w:tcBorders>
                    <w:tl2br w:val="nil"/>
                    <w:tr2bl w:val="nil"/>
                  </w:tcBorders>
                  <w:vAlign w:val="center"/>
                </w:tcPr>
                <w:p w14:paraId="31D89350">
                  <w:pPr>
                    <w:pStyle w:val="110"/>
                    <w:rPr>
                      <w:rStyle w:val="132"/>
                      <w:rFonts w:ascii="Times New Roman" w:hAnsi="Times New Roman" w:eastAsia="宋体" w:cs="Times New Roman"/>
                      <w:color w:val="auto"/>
                    </w:rPr>
                  </w:pPr>
                  <w:r>
                    <w:rPr>
                      <w:rStyle w:val="132"/>
                      <w:rFonts w:hint="eastAsia" w:ascii="Times New Roman" w:hAnsi="Times New Roman" w:eastAsia="宋体" w:cs="Times New Roman"/>
                      <w:color w:val="auto"/>
                    </w:rPr>
                    <w:t>1.除干旱地区外，新建城区应全面实行雨污分流，鼓励对初期雨水进行收集、处理和资源化利用。2.大气环境布局敏感重点管控区同时执行</w:t>
                  </w:r>
                  <w:r>
                    <w:rPr>
                      <w:rStyle w:val="132"/>
                      <w:rFonts w:hint="eastAsia" w:cs="Times New Roman"/>
                      <w:color w:val="auto"/>
                      <w:lang w:eastAsia="zh-CN"/>
                    </w:rPr>
                    <w:t>（</w:t>
                  </w:r>
                  <w:r>
                    <w:rPr>
                      <w:rStyle w:val="132"/>
                      <w:rFonts w:hint="eastAsia" w:ascii="Times New Roman" w:hAnsi="Times New Roman" w:eastAsia="宋体" w:cs="Times New Roman"/>
                      <w:color w:val="auto"/>
                    </w:rPr>
                    <w:t>1</w:t>
                  </w:r>
                  <w:r>
                    <w:rPr>
                      <w:rStyle w:val="132"/>
                      <w:rFonts w:hint="eastAsia" w:cs="Times New Roman"/>
                      <w:color w:val="auto"/>
                      <w:lang w:eastAsia="zh-CN"/>
                    </w:rPr>
                    <w:t>）</w:t>
                  </w:r>
                  <w:r>
                    <w:rPr>
                      <w:rStyle w:val="132"/>
                      <w:rFonts w:hint="eastAsia" w:ascii="Times New Roman" w:hAnsi="Times New Roman" w:eastAsia="宋体" w:cs="Times New Roman"/>
                      <w:color w:val="auto"/>
                    </w:rPr>
                    <w:t>严控“两高”行业产能。严格执行钢铁、水泥、平板玻璃等行业产能置换实施办法。</w:t>
                  </w:r>
                  <w:r>
                    <w:rPr>
                      <w:rStyle w:val="132"/>
                      <w:rFonts w:hint="eastAsia" w:cs="Times New Roman"/>
                      <w:color w:val="auto"/>
                      <w:lang w:eastAsia="zh-CN"/>
                    </w:rPr>
                    <w:t>（</w:t>
                  </w:r>
                  <w:r>
                    <w:rPr>
                      <w:rStyle w:val="132"/>
                      <w:rFonts w:hint="eastAsia" w:ascii="Times New Roman" w:hAnsi="Times New Roman" w:eastAsia="宋体" w:cs="Times New Roman"/>
                      <w:color w:val="auto"/>
                    </w:rPr>
                    <w:t>2</w:t>
                  </w:r>
                  <w:r>
                    <w:rPr>
                      <w:rStyle w:val="132"/>
                      <w:rFonts w:hint="eastAsia" w:cs="Times New Roman"/>
                      <w:color w:val="auto"/>
                      <w:lang w:eastAsia="zh-CN"/>
                    </w:rPr>
                    <w:t>）</w:t>
                  </w:r>
                  <w:r>
                    <w:rPr>
                      <w:rStyle w:val="132"/>
                      <w:rFonts w:hint="eastAsia" w:ascii="Times New Roman" w:hAnsi="Times New Roman" w:eastAsia="宋体" w:cs="Times New Roman"/>
                      <w:color w:val="auto"/>
                    </w:rPr>
                    <w:t>利用水泥窑协同处置城市生活垃圾、危险废弃物、电石渣等固废伴生水泥项目，必须依托现有新型干法水泥熟料生产线进行不扩产能改造。</w:t>
                  </w:r>
                </w:p>
              </w:tc>
              <w:tc>
                <w:tcPr>
                  <w:tcW w:w="1580" w:type="pct"/>
                  <w:tcBorders>
                    <w:tl2br w:val="nil"/>
                    <w:tr2bl w:val="nil"/>
                  </w:tcBorders>
                  <w:vAlign w:val="center"/>
                </w:tcPr>
                <w:p w14:paraId="715A1F9B">
                  <w:pPr>
                    <w:pStyle w:val="110"/>
                    <w:rPr>
                      <w:rStyle w:val="132"/>
                      <w:rFonts w:hint="eastAsia" w:ascii="Times New Roman" w:hAnsi="Times New Roman" w:eastAsia="宋体" w:cs="Times New Roman"/>
                      <w:color w:val="auto"/>
                      <w:lang w:val="en-US" w:eastAsia="zh-CN"/>
                    </w:rPr>
                  </w:pPr>
                  <w:r>
                    <w:rPr>
                      <w:rStyle w:val="132"/>
                      <w:rFonts w:hint="eastAsia" w:ascii="Times New Roman" w:hAnsi="Times New Roman" w:eastAsia="宋体" w:cs="Times New Roman"/>
                      <w:color w:val="auto"/>
                      <w:lang w:val="en-US" w:eastAsia="zh-CN"/>
                    </w:rPr>
                    <w:t>本项目建成后初期雨水收集后经</w:t>
                  </w:r>
                  <w:r>
                    <w:rPr>
                      <w:rStyle w:val="132"/>
                      <w:rFonts w:hint="eastAsia" w:cs="Times New Roman"/>
                      <w:color w:val="auto"/>
                      <w:lang w:val="en-US" w:eastAsia="zh-CN"/>
                    </w:rPr>
                    <w:t>油水分离装置</w:t>
                  </w:r>
                  <w:r>
                    <w:rPr>
                      <w:rStyle w:val="132"/>
                      <w:rFonts w:hint="eastAsia" w:ascii="Times New Roman" w:hAnsi="Times New Roman" w:eastAsia="宋体" w:cs="Times New Roman"/>
                      <w:color w:val="auto"/>
                      <w:lang w:val="en-US" w:eastAsia="zh-CN"/>
                    </w:rPr>
                    <w:t>处理后，和锅炉排污水、软化水制备废水和生活污水一同排入市政管网，送入鸡西市鸡冠区污水处理厂，经处理后</w:t>
                  </w:r>
                  <w:r>
                    <w:rPr>
                      <w:rStyle w:val="132"/>
                      <w:rFonts w:hint="eastAsia" w:ascii="Times New Roman" w:hAnsi="Times New Roman" w:eastAsia="宋体" w:cs="Times New Roman"/>
                      <w:color w:val="auto"/>
                    </w:rPr>
                    <w:t>可以达到《城镇污水处理厂污染物排放标准》（GB 18918－2002）中一级A标准</w:t>
                  </w:r>
                  <w:r>
                    <w:rPr>
                      <w:rStyle w:val="132"/>
                      <w:rFonts w:hint="eastAsia" w:ascii="Times New Roman" w:hAnsi="Times New Roman" w:eastAsia="宋体" w:cs="Times New Roman"/>
                      <w:color w:val="auto"/>
                      <w:lang w:eastAsia="zh-CN"/>
                    </w:rPr>
                    <w:t>。</w:t>
                  </w:r>
                  <w:r>
                    <w:rPr>
                      <w:rStyle w:val="132"/>
                      <w:rFonts w:hint="eastAsia" w:ascii="Times New Roman" w:hAnsi="Times New Roman" w:cs="Times New Roman"/>
                      <w:color w:val="auto"/>
                      <w:lang w:val="en-US" w:eastAsia="zh-CN"/>
                    </w:rPr>
                    <w:t>本项目为农机拆解项目不属于“两高”、</w:t>
                  </w:r>
                  <w:r>
                    <w:rPr>
                      <w:rStyle w:val="132"/>
                      <w:rFonts w:hint="eastAsia" w:ascii="Times New Roman" w:hAnsi="Times New Roman" w:eastAsia="宋体" w:cs="Times New Roman"/>
                      <w:color w:val="auto"/>
                    </w:rPr>
                    <w:t>钢铁、水泥、平板玻璃等行业</w:t>
                  </w:r>
                  <w:r>
                    <w:rPr>
                      <w:rStyle w:val="132"/>
                      <w:rFonts w:hint="eastAsia" w:ascii="Times New Roman" w:hAnsi="Times New Roman" w:cs="Times New Roman"/>
                      <w:color w:val="auto"/>
                      <w:lang w:val="en-US" w:eastAsia="zh-CN"/>
                    </w:rPr>
                    <w:t>，不属于</w:t>
                  </w:r>
                  <w:r>
                    <w:rPr>
                      <w:rStyle w:val="132"/>
                      <w:rFonts w:hint="eastAsia" w:ascii="Times New Roman" w:hAnsi="Times New Roman" w:eastAsia="宋体" w:cs="Times New Roman"/>
                      <w:color w:val="auto"/>
                    </w:rPr>
                    <w:t>利用水泥窑协同处置城市生活垃圾、危险废弃物、电石渣等固废伴生水泥项目</w:t>
                  </w:r>
                  <w:r>
                    <w:rPr>
                      <w:rStyle w:val="132"/>
                      <w:rFonts w:hint="eastAsia" w:ascii="Times New Roman" w:hAnsi="Times New Roman" w:cs="Times New Roman"/>
                      <w:color w:val="auto"/>
                      <w:lang w:eastAsia="zh-CN"/>
                    </w:rPr>
                    <w:t>。</w:t>
                  </w:r>
                </w:p>
              </w:tc>
              <w:tc>
                <w:tcPr>
                  <w:tcW w:w="334" w:type="pct"/>
                  <w:tcBorders>
                    <w:tl2br w:val="nil"/>
                    <w:tr2bl w:val="nil"/>
                  </w:tcBorders>
                  <w:vAlign w:val="center"/>
                </w:tcPr>
                <w:p w14:paraId="4D93D93D">
                  <w:pPr>
                    <w:pStyle w:val="110"/>
                    <w:rPr>
                      <w:rStyle w:val="132"/>
                      <w:rFonts w:ascii="Times New Roman" w:hAnsi="Times New Roman" w:eastAsia="宋体" w:cs="Times New Roman"/>
                      <w:color w:val="auto"/>
                    </w:rPr>
                  </w:pPr>
                  <w:r>
                    <w:rPr>
                      <w:rStyle w:val="132"/>
                      <w:rFonts w:hint="eastAsia" w:ascii="Times New Roman" w:hAnsi="Times New Roman" w:eastAsia="宋体" w:cs="Times New Roman"/>
                      <w:color w:val="auto"/>
                    </w:rPr>
                    <w:t>符合</w:t>
                  </w:r>
                </w:p>
              </w:tc>
            </w:tr>
            <w:tr w14:paraId="039F7639">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20" w:hRule="atLeast"/>
                <w:jc w:val="center"/>
              </w:trPr>
              <w:tc>
                <w:tcPr>
                  <w:tcW w:w="308" w:type="pct"/>
                  <w:vMerge w:val="continue"/>
                  <w:tcBorders>
                    <w:tl2br w:val="nil"/>
                    <w:tr2bl w:val="nil"/>
                  </w:tcBorders>
                  <w:vAlign w:val="center"/>
                </w:tcPr>
                <w:p w14:paraId="0A47E2B6">
                  <w:pPr>
                    <w:pStyle w:val="110"/>
                    <w:rPr>
                      <w:rStyle w:val="132"/>
                      <w:rFonts w:ascii="Times New Roman" w:hAnsi="Times New Roman" w:eastAsia="宋体" w:cs="Times New Roman"/>
                      <w:color w:val="auto"/>
                    </w:rPr>
                  </w:pPr>
                </w:p>
              </w:tc>
              <w:tc>
                <w:tcPr>
                  <w:tcW w:w="475" w:type="pct"/>
                  <w:tcBorders>
                    <w:tl2br w:val="nil"/>
                    <w:tr2bl w:val="nil"/>
                  </w:tcBorders>
                  <w:vAlign w:val="center"/>
                </w:tcPr>
                <w:p w14:paraId="5A0E49CC">
                  <w:pPr>
                    <w:pStyle w:val="110"/>
                    <w:rPr>
                      <w:rStyle w:val="132"/>
                      <w:rFonts w:ascii="Times New Roman" w:hAnsi="Times New Roman" w:eastAsia="宋体" w:cs="Times New Roman"/>
                      <w:color w:val="auto"/>
                    </w:rPr>
                  </w:pPr>
                  <w:r>
                    <w:rPr>
                      <w:rStyle w:val="132"/>
                      <w:rFonts w:ascii="Times New Roman" w:hAnsi="Times New Roman" w:eastAsia="宋体" w:cs="Times New Roman"/>
                      <w:color w:val="auto"/>
                    </w:rPr>
                    <w:t>污染物排放管控</w:t>
                  </w:r>
                </w:p>
              </w:tc>
              <w:tc>
                <w:tcPr>
                  <w:tcW w:w="2301" w:type="pct"/>
                  <w:tcBorders>
                    <w:tl2br w:val="nil"/>
                    <w:tr2bl w:val="nil"/>
                  </w:tcBorders>
                  <w:vAlign w:val="center"/>
                </w:tcPr>
                <w:p w14:paraId="5C9FCC3B">
                  <w:pPr>
                    <w:pStyle w:val="110"/>
                    <w:rPr>
                      <w:rStyle w:val="132"/>
                      <w:rFonts w:ascii="Times New Roman" w:hAnsi="Times New Roman" w:eastAsia="宋体" w:cs="Times New Roman"/>
                      <w:color w:val="auto"/>
                    </w:rPr>
                  </w:pPr>
                  <w:r>
                    <w:rPr>
                      <w:rStyle w:val="132"/>
                      <w:rFonts w:hint="eastAsia" w:ascii="Times New Roman" w:hAnsi="Times New Roman" w:eastAsia="宋体" w:cs="Times New Roman"/>
                      <w:color w:val="auto"/>
                    </w:rPr>
                    <w:t>1.同时执行</w:t>
                  </w:r>
                  <w:r>
                    <w:rPr>
                      <w:rStyle w:val="132"/>
                      <w:rFonts w:hint="eastAsia" w:cs="Times New Roman"/>
                      <w:color w:val="auto"/>
                      <w:lang w:eastAsia="zh-CN"/>
                    </w:rPr>
                    <w:t>：（</w:t>
                  </w:r>
                  <w:r>
                    <w:rPr>
                      <w:rStyle w:val="132"/>
                      <w:rFonts w:hint="eastAsia" w:ascii="Times New Roman" w:hAnsi="Times New Roman" w:eastAsia="宋体" w:cs="Times New Roman"/>
                      <w:color w:val="auto"/>
                    </w:rPr>
                    <w:t>1</w:t>
                  </w:r>
                  <w:r>
                    <w:rPr>
                      <w:rStyle w:val="132"/>
                      <w:rFonts w:hint="eastAsia" w:cs="Times New Roman"/>
                      <w:color w:val="auto"/>
                      <w:lang w:eastAsia="zh-CN"/>
                    </w:rPr>
                    <w:t>）</w:t>
                  </w:r>
                  <w:r>
                    <w:rPr>
                      <w:rStyle w:val="132"/>
                      <w:rFonts w:hint="eastAsia" w:ascii="Times New Roman" w:hAnsi="Times New Roman" w:eastAsia="宋体" w:cs="Times New Roman"/>
                      <w:color w:val="auto"/>
                    </w:rPr>
                    <w:t>新区污水管网规划建设应当与城市开发同步推进，除干早地区外均实行</w:t>
                  </w:r>
                  <w:r>
                    <w:rPr>
                      <w:rStyle w:val="132"/>
                      <w:rFonts w:hint="eastAsia" w:cs="Times New Roman"/>
                      <w:color w:val="auto"/>
                      <w:lang w:val="en-US" w:eastAsia="zh-CN"/>
                    </w:rPr>
                    <w:t>雨</w:t>
                  </w:r>
                  <w:r>
                    <w:rPr>
                      <w:rStyle w:val="132"/>
                      <w:rFonts w:hint="eastAsia" w:ascii="Times New Roman" w:hAnsi="Times New Roman" w:eastAsia="宋体" w:cs="Times New Roman"/>
                      <w:color w:val="auto"/>
                    </w:rPr>
                    <w:t>污分流。</w:t>
                  </w:r>
                  <w:r>
                    <w:rPr>
                      <w:rStyle w:val="132"/>
                      <w:rFonts w:hint="eastAsia" w:cs="Times New Roman"/>
                      <w:color w:val="auto"/>
                      <w:lang w:eastAsia="zh-CN"/>
                    </w:rPr>
                    <w:t>（</w:t>
                  </w:r>
                  <w:r>
                    <w:rPr>
                      <w:rStyle w:val="132"/>
                      <w:rFonts w:hint="eastAsia" w:ascii="Times New Roman" w:hAnsi="Times New Roman" w:eastAsia="宋体" w:cs="Times New Roman"/>
                      <w:color w:val="auto"/>
                    </w:rPr>
                    <w:t>2</w:t>
                  </w:r>
                  <w:r>
                    <w:rPr>
                      <w:rStyle w:val="132"/>
                      <w:rFonts w:hint="eastAsia" w:cs="Times New Roman"/>
                      <w:color w:val="auto"/>
                      <w:lang w:eastAsia="zh-CN"/>
                    </w:rPr>
                    <w:t>）</w:t>
                  </w:r>
                  <w:r>
                    <w:rPr>
                      <w:rStyle w:val="132"/>
                      <w:rFonts w:hint="eastAsia" w:ascii="Times New Roman" w:hAnsi="Times New Roman" w:eastAsia="宋体" w:cs="Times New Roman"/>
                      <w:color w:val="auto"/>
                    </w:rPr>
                    <w:t>强化城中村、老旧城区和城乡结合部污水截流、收集。</w:t>
                  </w:r>
                  <w:r>
                    <w:rPr>
                      <w:rStyle w:val="132"/>
                      <w:rFonts w:hint="eastAsia" w:cs="Times New Roman"/>
                      <w:color w:val="auto"/>
                      <w:lang w:eastAsia="zh-CN"/>
                    </w:rPr>
                    <w:t>（</w:t>
                  </w:r>
                  <w:r>
                    <w:rPr>
                      <w:rStyle w:val="132"/>
                      <w:rFonts w:hint="eastAsia" w:ascii="Times New Roman" w:hAnsi="Times New Roman" w:eastAsia="宋体" w:cs="Times New Roman"/>
                      <w:color w:val="auto"/>
                    </w:rPr>
                    <w:t>3</w:t>
                  </w:r>
                  <w:r>
                    <w:rPr>
                      <w:rStyle w:val="132"/>
                      <w:rFonts w:hint="eastAsia" w:cs="Times New Roman"/>
                      <w:color w:val="auto"/>
                      <w:lang w:eastAsia="zh-CN"/>
                    </w:rPr>
                    <w:t>）</w:t>
                  </w:r>
                  <w:r>
                    <w:rPr>
                      <w:rStyle w:val="132"/>
                      <w:rFonts w:hint="eastAsia" w:ascii="Times New Roman" w:hAnsi="Times New Roman" w:eastAsia="宋体" w:cs="Times New Roman"/>
                      <w:color w:val="auto"/>
                    </w:rPr>
                    <w:t>推进合流制排水系统丽污分流改造，难以改造的，应采取截流、调蓄和治理等措施</w:t>
                  </w:r>
                  <w:r>
                    <w:rPr>
                      <w:rStyle w:val="132"/>
                      <w:rFonts w:hint="eastAsia" w:cs="Times New Roman"/>
                      <w:color w:val="auto"/>
                      <w:lang w:eastAsia="zh-CN"/>
                    </w:rPr>
                    <w:t>；</w:t>
                  </w:r>
                  <w:r>
                    <w:rPr>
                      <w:rStyle w:val="132"/>
                      <w:rFonts w:hint="eastAsia" w:ascii="Times New Roman" w:hAnsi="Times New Roman" w:eastAsia="宋体" w:cs="Times New Roman"/>
                      <w:color w:val="auto"/>
                    </w:rPr>
                    <w:t>推进现有污水处理设施配套管网建设</w:t>
                  </w:r>
                  <w:r>
                    <w:rPr>
                      <w:rStyle w:val="132"/>
                      <w:rFonts w:hint="eastAsia" w:cs="Times New Roman"/>
                      <w:color w:val="auto"/>
                      <w:lang w:eastAsia="zh-CN"/>
                    </w:rPr>
                    <w:t>：</w:t>
                  </w:r>
                  <w:r>
                    <w:rPr>
                      <w:rStyle w:val="132"/>
                      <w:rFonts w:hint="eastAsia" w:ascii="Times New Roman" w:hAnsi="Times New Roman" w:eastAsia="宋体" w:cs="Times New Roman"/>
                      <w:color w:val="auto"/>
                    </w:rPr>
                    <w:t>进一步提高城市、县城生活污水收集处理效能。</w:t>
                  </w:r>
                  <w:r>
                    <w:rPr>
                      <w:rStyle w:val="132"/>
                      <w:rFonts w:hint="eastAsia" w:cs="Times New Roman"/>
                      <w:color w:val="auto"/>
                      <w:lang w:eastAsia="zh-CN"/>
                    </w:rPr>
                    <w:t>（</w:t>
                  </w:r>
                  <w:r>
                    <w:rPr>
                      <w:rStyle w:val="132"/>
                      <w:rFonts w:hint="eastAsia" w:ascii="Times New Roman" w:hAnsi="Times New Roman" w:eastAsia="宋体" w:cs="Times New Roman"/>
                      <w:color w:val="auto"/>
                    </w:rPr>
                    <w:t>4</w:t>
                  </w:r>
                  <w:r>
                    <w:rPr>
                      <w:rStyle w:val="132"/>
                      <w:rFonts w:hint="eastAsia" w:cs="Times New Roman"/>
                      <w:color w:val="auto"/>
                      <w:lang w:eastAsia="zh-CN"/>
                    </w:rPr>
                    <w:t>）</w:t>
                  </w:r>
                  <w:r>
                    <w:rPr>
                      <w:rStyle w:val="132"/>
                      <w:rFonts w:hint="eastAsia" w:ascii="Times New Roman" w:hAnsi="Times New Roman" w:eastAsia="宋体" w:cs="Times New Roman"/>
                      <w:color w:val="auto"/>
                    </w:rPr>
                    <w:t>县级以上人民政府应当合理确定城镇排水与污水处理设施建设标准，统筹安排管网、泵站、污水处理厂以及污泥处理处置、再生水利用、雨水调蓄和排放等排水与污水处理设施建设和改造，提高城镇污水收集率和处理率。2.大气环境布局敏感重点管控区同时执行</w:t>
                  </w:r>
                  <w:r>
                    <w:rPr>
                      <w:rStyle w:val="132"/>
                      <w:rFonts w:hint="eastAsia" w:cs="Times New Roman"/>
                      <w:color w:val="auto"/>
                      <w:lang w:eastAsia="zh-CN"/>
                    </w:rPr>
                    <w:t>（</w:t>
                  </w:r>
                  <w:r>
                    <w:rPr>
                      <w:rStyle w:val="132"/>
                      <w:rFonts w:hint="eastAsia" w:ascii="Times New Roman" w:hAnsi="Times New Roman" w:eastAsia="宋体" w:cs="Times New Roman"/>
                      <w:color w:val="auto"/>
                    </w:rPr>
                    <w:t>1</w:t>
                  </w:r>
                  <w:r>
                    <w:rPr>
                      <w:rStyle w:val="132"/>
                      <w:rFonts w:hint="eastAsia" w:cs="Times New Roman"/>
                      <w:color w:val="auto"/>
                      <w:lang w:eastAsia="zh-CN"/>
                    </w:rPr>
                    <w:t>）</w:t>
                  </w:r>
                  <w:r>
                    <w:rPr>
                      <w:rStyle w:val="132"/>
                      <w:rFonts w:hint="eastAsia" w:ascii="Times New Roman" w:hAnsi="Times New Roman" w:eastAsia="宋体" w:cs="Times New Roman"/>
                      <w:color w:val="auto"/>
                    </w:rPr>
                    <w:t>对以煤、石焦油、渣油、重油等为燃料的锅炉和工业炉密，加快使用清洁低碳能源以及工厂余热、电力热力等进行替代。</w:t>
                  </w:r>
                  <w:r>
                    <w:rPr>
                      <w:rStyle w:val="132"/>
                      <w:rFonts w:hint="eastAsia" w:cs="Times New Roman"/>
                      <w:color w:val="auto"/>
                      <w:lang w:eastAsia="zh-CN"/>
                    </w:rPr>
                    <w:t>（</w:t>
                  </w:r>
                  <w:r>
                    <w:rPr>
                      <w:rStyle w:val="132"/>
                      <w:rFonts w:hint="eastAsia" w:ascii="Times New Roman" w:hAnsi="Times New Roman" w:eastAsia="宋体" w:cs="Times New Roman"/>
                      <w:color w:val="auto"/>
                    </w:rPr>
                    <w:t>2</w:t>
                  </w:r>
                  <w:r>
                    <w:rPr>
                      <w:rStyle w:val="132"/>
                      <w:rFonts w:hint="eastAsia" w:cs="Times New Roman"/>
                      <w:color w:val="auto"/>
                      <w:lang w:eastAsia="zh-CN"/>
                    </w:rPr>
                    <w:t>）</w:t>
                  </w:r>
                  <w:r>
                    <w:rPr>
                      <w:rStyle w:val="132"/>
                      <w:rFonts w:hint="eastAsia" w:ascii="Times New Roman" w:hAnsi="Times New Roman" w:eastAsia="宋体" w:cs="Times New Roman"/>
                      <w:color w:val="auto"/>
                    </w:rPr>
                    <w:t>到2025年，在用65蒸吨/小时以上的燃煤锅炉</w:t>
                  </w:r>
                  <w:r>
                    <w:rPr>
                      <w:rStyle w:val="132"/>
                      <w:rFonts w:hint="eastAsia" w:cs="Times New Roman"/>
                      <w:color w:val="auto"/>
                      <w:lang w:eastAsia="zh-CN"/>
                    </w:rPr>
                    <w:t>（</w:t>
                  </w:r>
                  <w:r>
                    <w:rPr>
                      <w:rStyle w:val="132"/>
                      <w:rFonts w:hint="eastAsia" w:ascii="Times New Roman" w:hAnsi="Times New Roman" w:eastAsia="宋体" w:cs="Times New Roman"/>
                      <w:color w:val="auto"/>
                    </w:rPr>
                    <w:t>含电力</w:t>
                  </w:r>
                  <w:r>
                    <w:rPr>
                      <w:rStyle w:val="132"/>
                      <w:rFonts w:hint="eastAsia" w:cs="Times New Roman"/>
                      <w:color w:val="auto"/>
                      <w:lang w:eastAsia="zh-CN"/>
                    </w:rPr>
                    <w:t>）</w:t>
                  </w:r>
                  <w:r>
                    <w:rPr>
                      <w:rStyle w:val="132"/>
                      <w:rFonts w:hint="eastAsia" w:ascii="Times New Roman" w:hAnsi="Times New Roman" w:eastAsia="宋体" w:cs="Times New Roman"/>
                      <w:color w:val="auto"/>
                    </w:rPr>
                    <w:t>实现超低排放，钢铁企业基本实现超低排放。</w:t>
                  </w:r>
                </w:p>
              </w:tc>
              <w:tc>
                <w:tcPr>
                  <w:tcW w:w="1580" w:type="pct"/>
                  <w:tcBorders>
                    <w:tl2br w:val="nil"/>
                    <w:tr2bl w:val="nil"/>
                  </w:tcBorders>
                  <w:vAlign w:val="center"/>
                </w:tcPr>
                <w:p w14:paraId="0DEFA620">
                  <w:pPr>
                    <w:pStyle w:val="110"/>
                    <w:rPr>
                      <w:rStyle w:val="132"/>
                      <w:rFonts w:hint="default" w:ascii="Times New Roman" w:hAnsi="Times New Roman" w:eastAsia="宋体" w:cs="Times New Roman"/>
                      <w:color w:val="auto"/>
                      <w:lang w:val="en-US" w:eastAsia="zh-CN"/>
                    </w:rPr>
                  </w:pPr>
                  <w:r>
                    <w:rPr>
                      <w:rStyle w:val="132"/>
                      <w:rFonts w:hint="eastAsia" w:cs="Times New Roman"/>
                      <w:color w:val="auto"/>
                      <w:lang w:val="en-US" w:eastAsia="zh-CN"/>
                    </w:rPr>
                    <w:t>本项目位于</w:t>
                  </w:r>
                  <w:r>
                    <w:rPr>
                      <w:rFonts w:hint="eastAsia" w:cs="Arial"/>
                      <w:color w:val="auto"/>
                    </w:rPr>
                    <w:t>鸡西市鸡冠区梁家村六组</w:t>
                  </w:r>
                  <w:r>
                    <w:rPr>
                      <w:rFonts w:hint="eastAsia" w:cs="Arial"/>
                      <w:color w:val="auto"/>
                      <w:lang w:eastAsia="zh-CN"/>
                    </w:rPr>
                    <w:t>，</w:t>
                  </w:r>
                  <w:r>
                    <w:rPr>
                      <w:rStyle w:val="132"/>
                      <w:rFonts w:hint="eastAsia" w:ascii="Times New Roman" w:hAnsi="Times New Roman" w:eastAsia="宋体" w:cs="Times New Roman"/>
                      <w:color w:val="auto"/>
                      <w:lang w:val="en-US" w:eastAsia="zh-CN"/>
                    </w:rPr>
                    <w:t>本项目建成后初期雨水收集后经</w:t>
                  </w:r>
                  <w:r>
                    <w:rPr>
                      <w:rStyle w:val="132"/>
                      <w:rFonts w:hint="eastAsia" w:cs="Times New Roman"/>
                      <w:color w:val="auto"/>
                      <w:lang w:val="en-US" w:eastAsia="zh-CN"/>
                    </w:rPr>
                    <w:t>油水分离装置</w:t>
                  </w:r>
                  <w:r>
                    <w:rPr>
                      <w:rStyle w:val="132"/>
                      <w:rFonts w:hint="eastAsia" w:ascii="Times New Roman" w:hAnsi="Times New Roman" w:eastAsia="宋体" w:cs="Times New Roman"/>
                      <w:color w:val="auto"/>
                      <w:lang w:val="en-US" w:eastAsia="zh-CN"/>
                    </w:rPr>
                    <w:t>处理后，和锅炉排污水、软化水制备废水和生活污水一同排入市政管网，送入鸡西市鸡冠区污水处理厂，经处理后</w:t>
                  </w:r>
                  <w:r>
                    <w:rPr>
                      <w:rStyle w:val="132"/>
                      <w:rFonts w:hint="eastAsia" w:ascii="Times New Roman" w:hAnsi="Times New Roman" w:eastAsia="宋体" w:cs="Times New Roman"/>
                      <w:color w:val="auto"/>
                    </w:rPr>
                    <w:t>可以达到《城镇污水处理厂污染物排放标准》（GB 18918－2002）中一级A标准</w:t>
                  </w:r>
                  <w:r>
                    <w:rPr>
                      <w:rStyle w:val="132"/>
                      <w:rFonts w:hint="eastAsia" w:ascii="Times New Roman" w:hAnsi="Times New Roman" w:eastAsia="宋体" w:cs="Times New Roman"/>
                      <w:color w:val="auto"/>
                      <w:lang w:eastAsia="zh-CN"/>
                    </w:rPr>
                    <w:t>。</w:t>
                  </w:r>
                  <w:r>
                    <w:rPr>
                      <w:rStyle w:val="132"/>
                      <w:rFonts w:hint="eastAsia" w:ascii="Times New Roman" w:hAnsi="Times New Roman" w:cs="Times New Roman"/>
                      <w:color w:val="auto"/>
                      <w:lang w:val="en-US" w:eastAsia="zh-CN"/>
                    </w:rPr>
                    <w:t>本项目新建1台2.5t/h燃生物质锅炉，燃料为生物质成型燃料。</w:t>
                  </w:r>
                </w:p>
              </w:tc>
              <w:tc>
                <w:tcPr>
                  <w:tcW w:w="334" w:type="pct"/>
                  <w:tcBorders>
                    <w:tl2br w:val="nil"/>
                    <w:tr2bl w:val="nil"/>
                  </w:tcBorders>
                  <w:vAlign w:val="center"/>
                </w:tcPr>
                <w:p w14:paraId="113ED459">
                  <w:pPr>
                    <w:pStyle w:val="110"/>
                    <w:rPr>
                      <w:rStyle w:val="132"/>
                      <w:rFonts w:ascii="Times New Roman" w:hAnsi="Times New Roman" w:eastAsia="宋体" w:cs="Times New Roman"/>
                      <w:color w:val="auto"/>
                    </w:rPr>
                  </w:pPr>
                  <w:r>
                    <w:rPr>
                      <w:rStyle w:val="132"/>
                      <w:rFonts w:hint="eastAsia" w:ascii="Times New Roman" w:hAnsi="Times New Roman" w:eastAsia="宋体" w:cs="Times New Roman"/>
                      <w:color w:val="auto"/>
                    </w:rPr>
                    <w:t>符合</w:t>
                  </w:r>
                </w:p>
              </w:tc>
            </w:tr>
            <w:tr w14:paraId="3CC51506">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20" w:hRule="atLeast"/>
                <w:jc w:val="center"/>
              </w:trPr>
              <w:tc>
                <w:tcPr>
                  <w:tcW w:w="308" w:type="pct"/>
                  <w:vMerge w:val="continue"/>
                  <w:tcBorders>
                    <w:tl2br w:val="nil"/>
                    <w:tr2bl w:val="nil"/>
                  </w:tcBorders>
                  <w:vAlign w:val="center"/>
                </w:tcPr>
                <w:p w14:paraId="7A0BF654">
                  <w:pPr>
                    <w:pStyle w:val="110"/>
                    <w:rPr>
                      <w:rStyle w:val="132"/>
                      <w:rFonts w:ascii="Times New Roman" w:hAnsi="Times New Roman" w:eastAsia="宋体" w:cs="Times New Roman"/>
                      <w:color w:val="auto"/>
                    </w:rPr>
                  </w:pPr>
                </w:p>
              </w:tc>
              <w:tc>
                <w:tcPr>
                  <w:tcW w:w="475" w:type="pct"/>
                  <w:tcBorders>
                    <w:tl2br w:val="nil"/>
                    <w:tr2bl w:val="nil"/>
                  </w:tcBorders>
                  <w:vAlign w:val="center"/>
                </w:tcPr>
                <w:p w14:paraId="29380E14">
                  <w:pPr>
                    <w:pStyle w:val="110"/>
                    <w:rPr>
                      <w:rStyle w:val="132"/>
                      <w:rFonts w:ascii="Times New Roman" w:hAnsi="Times New Roman" w:eastAsia="宋体" w:cs="Times New Roman"/>
                      <w:color w:val="auto"/>
                    </w:rPr>
                  </w:pPr>
                  <w:r>
                    <w:rPr>
                      <w:rStyle w:val="132"/>
                      <w:rFonts w:ascii="Times New Roman" w:hAnsi="Times New Roman" w:eastAsia="宋体" w:cs="Times New Roman"/>
                      <w:color w:val="auto"/>
                    </w:rPr>
                    <w:t>环境风险防控</w:t>
                  </w:r>
                </w:p>
              </w:tc>
              <w:tc>
                <w:tcPr>
                  <w:tcW w:w="2301" w:type="pct"/>
                  <w:tcBorders>
                    <w:tl2br w:val="nil"/>
                    <w:tr2bl w:val="nil"/>
                  </w:tcBorders>
                  <w:vAlign w:val="center"/>
                </w:tcPr>
                <w:p w14:paraId="34A49EAA">
                  <w:pPr>
                    <w:pStyle w:val="110"/>
                    <w:rPr>
                      <w:rStyle w:val="132"/>
                      <w:rFonts w:ascii="Times New Roman" w:hAnsi="Times New Roman" w:eastAsia="宋体" w:cs="Times New Roman"/>
                      <w:color w:val="auto"/>
                    </w:rPr>
                  </w:pPr>
                  <w:r>
                    <w:rPr>
                      <w:rStyle w:val="132"/>
                      <w:rFonts w:hint="eastAsia" w:ascii="Times New Roman" w:hAnsi="Times New Roman" w:eastAsia="宋体" w:cs="Times New Roman"/>
                      <w:color w:val="auto"/>
                    </w:rPr>
                    <w:t>大气环境布局皱感重点管控区同时执行禁止在居民区、学校、医疗和养老机构等周边新建有色金属冶炼、焦化等行业企业。</w:t>
                  </w:r>
                </w:p>
              </w:tc>
              <w:tc>
                <w:tcPr>
                  <w:tcW w:w="1580" w:type="pct"/>
                  <w:tcBorders>
                    <w:tl2br w:val="nil"/>
                    <w:tr2bl w:val="nil"/>
                  </w:tcBorders>
                  <w:vAlign w:val="center"/>
                </w:tcPr>
                <w:p w14:paraId="16066787">
                  <w:pPr>
                    <w:pStyle w:val="110"/>
                    <w:rPr>
                      <w:rStyle w:val="132"/>
                      <w:rFonts w:hint="eastAsia" w:ascii="Times New Roman" w:hAnsi="Times New Roman" w:eastAsia="宋体" w:cs="Times New Roman"/>
                      <w:color w:val="auto"/>
                      <w:lang w:val="en-US" w:eastAsia="zh-CN"/>
                    </w:rPr>
                  </w:pPr>
                  <w:r>
                    <w:rPr>
                      <w:rStyle w:val="132"/>
                      <w:rFonts w:hint="eastAsia" w:cs="Times New Roman"/>
                      <w:color w:val="auto"/>
                      <w:lang w:val="en-US" w:eastAsia="zh-CN"/>
                    </w:rPr>
                    <w:t>本项目为农机拆解项目，不属于</w:t>
                  </w:r>
                  <w:r>
                    <w:rPr>
                      <w:rStyle w:val="132"/>
                      <w:rFonts w:hint="eastAsia" w:ascii="Times New Roman" w:hAnsi="Times New Roman" w:eastAsia="宋体" w:cs="Times New Roman"/>
                      <w:color w:val="auto"/>
                    </w:rPr>
                    <w:t>有色金属冶炼、焦化等行业</w:t>
                  </w:r>
                  <w:r>
                    <w:rPr>
                      <w:rStyle w:val="132"/>
                      <w:rFonts w:hint="eastAsia" w:ascii="Times New Roman" w:hAnsi="Times New Roman" w:cs="Times New Roman"/>
                      <w:color w:val="auto"/>
                      <w:lang w:eastAsia="zh-CN"/>
                    </w:rPr>
                    <w:t>。</w:t>
                  </w:r>
                </w:p>
              </w:tc>
              <w:tc>
                <w:tcPr>
                  <w:tcW w:w="334" w:type="pct"/>
                  <w:tcBorders>
                    <w:tl2br w:val="nil"/>
                    <w:tr2bl w:val="nil"/>
                  </w:tcBorders>
                  <w:vAlign w:val="center"/>
                </w:tcPr>
                <w:p w14:paraId="12FC7C0F">
                  <w:pPr>
                    <w:pStyle w:val="110"/>
                    <w:rPr>
                      <w:rStyle w:val="132"/>
                      <w:rFonts w:ascii="Times New Roman" w:hAnsi="Times New Roman" w:eastAsia="宋体" w:cs="Times New Roman"/>
                      <w:color w:val="auto"/>
                    </w:rPr>
                  </w:pPr>
                  <w:r>
                    <w:rPr>
                      <w:rStyle w:val="132"/>
                      <w:rFonts w:hint="eastAsia" w:ascii="Times New Roman" w:hAnsi="Times New Roman" w:eastAsia="宋体" w:cs="Times New Roman"/>
                      <w:color w:val="auto"/>
                    </w:rPr>
                    <w:t>符合</w:t>
                  </w:r>
                </w:p>
              </w:tc>
            </w:tr>
          </w:tbl>
          <w:p w14:paraId="25DC9ABC">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根据</w:t>
            </w:r>
            <w:r>
              <w:rPr>
                <w:rFonts w:hint="eastAsia" w:ascii="Times New Roman" w:hAnsi="Times New Roman" w:eastAsia="宋体" w:cs="Times New Roman"/>
                <w:color w:val="auto"/>
                <w:kern w:val="0"/>
                <w:sz w:val="24"/>
                <w:szCs w:val="24"/>
                <w:highlight w:val="none"/>
                <w:lang w:val="en-US" w:eastAsia="zh-CN" w:bidi="ar-SA"/>
              </w:rPr>
              <w:t>上述</w:t>
            </w:r>
            <w:r>
              <w:rPr>
                <w:rFonts w:hint="default" w:ascii="Times New Roman" w:hAnsi="Times New Roman" w:eastAsia="宋体" w:cs="Times New Roman"/>
                <w:color w:val="auto"/>
                <w:kern w:val="0"/>
                <w:sz w:val="24"/>
                <w:szCs w:val="24"/>
                <w:highlight w:val="none"/>
                <w:lang w:val="en-US" w:eastAsia="zh-CN" w:bidi="ar-SA"/>
              </w:rPr>
              <w:t>分析，本项目建设符合</w:t>
            </w:r>
            <w:r>
              <w:rPr>
                <w:rFonts w:hint="eastAsia" w:ascii="Times New Roman" w:hAnsi="Times New Roman" w:eastAsia="宋体" w:cs="Times New Roman"/>
                <w:color w:val="auto"/>
                <w:spacing w:val="4"/>
                <w:sz w:val="24"/>
                <w:highlight w:val="none"/>
                <w:lang w:eastAsia="zh-CN"/>
              </w:rPr>
              <w:t>《</w:t>
            </w:r>
            <w:r>
              <w:rPr>
                <w:rFonts w:hint="eastAsia" w:ascii="Times New Roman" w:hAnsi="Times New Roman" w:eastAsia="宋体" w:cs="Times New Roman"/>
                <w:color w:val="auto"/>
                <w:spacing w:val="4"/>
                <w:sz w:val="24"/>
                <w:highlight w:val="none"/>
              </w:rPr>
              <w:t>鸡西市木森商贸有限责任公司农机拆解项目</w:t>
            </w:r>
            <w:r>
              <w:rPr>
                <w:rFonts w:hint="eastAsia" w:ascii="Times New Roman" w:hAnsi="Times New Roman" w:eastAsia="宋体" w:cs="Times New Roman"/>
                <w:color w:val="auto"/>
                <w:spacing w:val="4"/>
                <w:sz w:val="24"/>
                <w:highlight w:val="none"/>
                <w:lang w:val="en-US" w:eastAsia="zh-CN"/>
              </w:rPr>
              <w:t>生态环境分</w:t>
            </w:r>
            <w:r>
              <w:rPr>
                <w:rFonts w:hint="eastAsia"/>
                <w:color w:val="auto"/>
                <w:szCs w:val="24"/>
                <w:lang w:val="en-US" w:eastAsia="zh-CN"/>
              </w:rPr>
              <w:t>区管控分析报告</w:t>
            </w:r>
            <w:r>
              <w:rPr>
                <w:rFonts w:hint="eastAsia"/>
                <w:color w:val="auto"/>
                <w:szCs w:val="24"/>
                <w:lang w:eastAsia="zh-CN"/>
              </w:rPr>
              <w:t>》</w:t>
            </w:r>
            <w:r>
              <w:rPr>
                <w:rFonts w:hint="eastAsia"/>
                <w:color w:val="auto"/>
                <w:szCs w:val="24"/>
                <w:lang w:val="en-US" w:eastAsia="zh-CN"/>
              </w:rPr>
              <w:t>相关</w:t>
            </w:r>
            <w:r>
              <w:rPr>
                <w:rFonts w:hint="eastAsia" w:ascii="Times New Roman" w:hAnsi="Times New Roman" w:eastAsia="宋体" w:cs="Times New Roman"/>
                <w:color w:val="auto"/>
                <w:kern w:val="0"/>
                <w:sz w:val="24"/>
                <w:szCs w:val="24"/>
                <w:highlight w:val="none"/>
                <w:lang w:val="en-US" w:eastAsia="zh-CN" w:bidi="ar-SA"/>
              </w:rPr>
              <w:t>要求</w:t>
            </w:r>
            <w:r>
              <w:rPr>
                <w:rFonts w:hint="default" w:ascii="Times New Roman" w:hAnsi="Times New Roman" w:eastAsia="宋体" w:cs="Times New Roman"/>
                <w:color w:val="auto"/>
                <w:kern w:val="0"/>
                <w:sz w:val="24"/>
                <w:szCs w:val="24"/>
                <w:highlight w:val="none"/>
                <w:lang w:val="en-US" w:eastAsia="zh-CN" w:bidi="ar-SA"/>
              </w:rPr>
              <w:t>。</w:t>
            </w:r>
          </w:p>
          <w:p w14:paraId="26A30045">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3、本项目与《报废农业机械回收拆解技术规范》符合性分析</w:t>
            </w:r>
          </w:p>
          <w:p w14:paraId="3DD21DE1">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本项目与《报废农业机械回收拆解技术规范》</w:t>
            </w:r>
            <w:r>
              <w:rPr>
                <w:rFonts w:hint="eastAsia" w:cs="Times New Roman"/>
                <w:color w:val="auto"/>
                <w:kern w:val="0"/>
                <w:sz w:val="24"/>
                <w:szCs w:val="24"/>
                <w:highlight w:val="none"/>
                <w:lang w:val="en-US" w:eastAsia="zh-CN" w:bidi="ar-SA"/>
              </w:rPr>
              <w:t>的</w:t>
            </w:r>
            <w:r>
              <w:rPr>
                <w:rFonts w:hint="eastAsia" w:ascii="Times New Roman" w:hAnsi="Times New Roman" w:eastAsia="宋体" w:cs="Times New Roman"/>
                <w:color w:val="auto"/>
                <w:kern w:val="0"/>
                <w:sz w:val="24"/>
                <w:szCs w:val="24"/>
                <w:highlight w:val="none"/>
                <w:lang w:val="en-US" w:eastAsia="zh-CN" w:bidi="ar-SA"/>
              </w:rPr>
              <w:t>符合性分析</w:t>
            </w:r>
            <w:r>
              <w:rPr>
                <w:rFonts w:hint="eastAsia" w:cs="Times New Roman"/>
                <w:color w:val="auto"/>
                <w:kern w:val="0"/>
                <w:sz w:val="24"/>
                <w:szCs w:val="24"/>
                <w:highlight w:val="none"/>
                <w:lang w:val="en-US" w:eastAsia="zh-CN" w:bidi="ar-SA"/>
              </w:rPr>
              <w:t>见表1-3。</w:t>
            </w:r>
          </w:p>
          <w:p w14:paraId="430FD6E8">
            <w:pPr>
              <w:widowControl/>
              <w:jc w:val="center"/>
              <w:rPr>
                <w:rFonts w:hint="eastAsia" w:eastAsia="宋体"/>
                <w:b/>
                <w:bCs/>
                <w:color w:val="auto"/>
                <w:kern w:val="0"/>
                <w:szCs w:val="21"/>
                <w:lang w:val="en-US" w:eastAsia="zh-CN" w:bidi="ar"/>
              </w:rPr>
            </w:pPr>
            <w:r>
              <w:rPr>
                <w:rFonts w:hint="eastAsia"/>
                <w:b/>
                <w:bCs/>
                <w:color w:val="auto"/>
                <w:kern w:val="0"/>
                <w:szCs w:val="21"/>
                <w:lang w:bidi="ar"/>
              </w:rPr>
              <w:t>表1-</w:t>
            </w:r>
            <w:r>
              <w:rPr>
                <w:rFonts w:hint="eastAsia"/>
                <w:b/>
                <w:bCs/>
                <w:color w:val="auto"/>
                <w:kern w:val="0"/>
                <w:szCs w:val="21"/>
                <w:lang w:val="en-US" w:eastAsia="zh-CN" w:bidi="ar"/>
              </w:rPr>
              <w:t>3</w:t>
            </w:r>
            <w:r>
              <w:rPr>
                <w:rFonts w:hint="eastAsia"/>
                <w:b/>
                <w:bCs/>
                <w:color w:val="auto"/>
                <w:kern w:val="0"/>
                <w:szCs w:val="21"/>
                <w:lang w:bidi="ar"/>
              </w:rPr>
              <w:t xml:space="preserve">  </w:t>
            </w:r>
            <w:r>
              <w:rPr>
                <w:rFonts w:hint="eastAsia"/>
                <w:b/>
                <w:bCs/>
                <w:color w:val="auto"/>
                <w:kern w:val="0"/>
                <w:szCs w:val="21"/>
                <w:lang w:val="en-US" w:eastAsia="zh-CN" w:bidi="ar"/>
              </w:rPr>
              <w:t>与《报废农业机械回收拆解技术规范》</w:t>
            </w:r>
            <w:r>
              <w:rPr>
                <w:rFonts w:hint="eastAsia"/>
                <w:b/>
                <w:bCs/>
                <w:color w:val="auto"/>
                <w:kern w:val="0"/>
                <w:szCs w:val="21"/>
                <w:lang w:bidi="ar"/>
              </w:rPr>
              <w:t>符合性分析</w:t>
            </w:r>
            <w:r>
              <w:rPr>
                <w:rFonts w:hint="eastAsia"/>
                <w:b/>
                <w:bCs/>
                <w:color w:val="auto"/>
                <w:kern w:val="0"/>
                <w:szCs w:val="21"/>
                <w:lang w:val="en-US" w:eastAsia="zh-CN" w:bidi="ar"/>
              </w:rPr>
              <w:t>一览表</w:t>
            </w:r>
          </w:p>
          <w:tbl>
            <w:tblPr>
              <w:tblStyle w:val="32"/>
              <w:tblW w:w="772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7"/>
              <w:gridCol w:w="3615"/>
              <w:gridCol w:w="2490"/>
              <w:gridCol w:w="892"/>
            </w:tblGrid>
            <w:tr w14:paraId="0F0550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tcBorders>
                    <w:tl2br w:val="nil"/>
                    <w:tr2bl w:val="nil"/>
                  </w:tcBorders>
                  <w:vAlign w:val="center"/>
                </w:tcPr>
                <w:p w14:paraId="599DA624">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序号</w:t>
                  </w:r>
                </w:p>
              </w:tc>
              <w:tc>
                <w:tcPr>
                  <w:tcW w:w="3615" w:type="dxa"/>
                  <w:tcBorders>
                    <w:tl2br w:val="nil"/>
                    <w:tr2bl w:val="nil"/>
                  </w:tcBorders>
                  <w:vAlign w:val="center"/>
                </w:tcPr>
                <w:p w14:paraId="450E6001">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规范要求</w:t>
                  </w:r>
                </w:p>
              </w:tc>
              <w:tc>
                <w:tcPr>
                  <w:tcW w:w="2490" w:type="dxa"/>
                  <w:tcBorders>
                    <w:tl2br w:val="nil"/>
                    <w:tr2bl w:val="nil"/>
                  </w:tcBorders>
                  <w:vAlign w:val="center"/>
                </w:tcPr>
                <w:p w14:paraId="07EBD63E">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本项目</w:t>
                  </w:r>
                </w:p>
              </w:tc>
              <w:tc>
                <w:tcPr>
                  <w:tcW w:w="892" w:type="dxa"/>
                  <w:tcBorders>
                    <w:tl2br w:val="nil"/>
                    <w:tr2bl w:val="nil"/>
                  </w:tcBorders>
                  <w:vAlign w:val="center"/>
                </w:tcPr>
                <w:p w14:paraId="1E75B16B">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符合性</w:t>
                  </w:r>
                </w:p>
              </w:tc>
            </w:tr>
            <w:tr w14:paraId="784D4C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tcBorders>
                    <w:tl2br w:val="nil"/>
                    <w:tr2bl w:val="nil"/>
                  </w:tcBorders>
                  <w:vAlign w:val="center"/>
                </w:tcPr>
                <w:p w14:paraId="49D34776">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1</w:t>
                  </w:r>
                </w:p>
              </w:tc>
              <w:tc>
                <w:tcPr>
                  <w:tcW w:w="3615" w:type="dxa"/>
                  <w:tcBorders>
                    <w:tl2br w:val="nil"/>
                    <w:tr2bl w:val="nil"/>
                  </w:tcBorders>
                  <w:vAlign w:val="center"/>
                </w:tcPr>
                <w:p w14:paraId="37288FD9">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报废农业机械回收拆解应严格遵循安全环保和循环利用的原则进行。回收拆解报废农业机械应按检查和登记→拆解前存储→拆解→拆解后存储和处置的流程作业。</w:t>
                  </w:r>
                </w:p>
              </w:tc>
              <w:tc>
                <w:tcPr>
                  <w:tcW w:w="2490" w:type="dxa"/>
                  <w:tcBorders>
                    <w:tl2br w:val="nil"/>
                    <w:tr2bl w:val="nil"/>
                  </w:tcBorders>
                  <w:vAlign w:val="center"/>
                </w:tcPr>
                <w:p w14:paraId="62F99C6F">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项目报废农机拆解按检查和登记→拆解前存储一拆解→拆解后存储和处置的流程作业。</w:t>
                  </w:r>
                </w:p>
              </w:tc>
              <w:tc>
                <w:tcPr>
                  <w:tcW w:w="892" w:type="dxa"/>
                  <w:tcBorders>
                    <w:tl2br w:val="nil"/>
                    <w:tr2bl w:val="nil"/>
                  </w:tcBorders>
                  <w:vAlign w:val="center"/>
                </w:tcPr>
                <w:p w14:paraId="2B1C09CA">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722015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tcBorders>
                    <w:tl2br w:val="nil"/>
                    <w:tr2bl w:val="nil"/>
                  </w:tcBorders>
                  <w:vAlign w:val="center"/>
                </w:tcPr>
                <w:p w14:paraId="39F1EDC3">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2</w:t>
                  </w:r>
                </w:p>
              </w:tc>
              <w:tc>
                <w:tcPr>
                  <w:tcW w:w="3615" w:type="dxa"/>
                  <w:tcBorders>
                    <w:tl2br w:val="nil"/>
                    <w:tr2bl w:val="nil"/>
                  </w:tcBorders>
                  <w:vAlign w:val="center"/>
                </w:tcPr>
                <w:p w14:paraId="54665CDE">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报废农业机械拆解操作人员应能达到规范拆解、环保作业、安全操作</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含危险物质收集存储、运输</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等相应要求。国家相关法规有持证上岗规定的，相关岗位的操作人员应遵守规定持证上岗。</w:t>
                  </w:r>
                </w:p>
              </w:tc>
              <w:tc>
                <w:tcPr>
                  <w:tcW w:w="2490" w:type="dxa"/>
                  <w:tcBorders>
                    <w:tl2br w:val="nil"/>
                    <w:tr2bl w:val="nil"/>
                  </w:tcBorders>
                  <w:vAlign w:val="center"/>
                </w:tcPr>
                <w:p w14:paraId="1F4A123B">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本工程专业技术人员</w:t>
                  </w:r>
                  <w:r>
                    <w:rPr>
                      <w:rFonts w:hint="eastAsia" w:cs="Times New Roman"/>
                      <w:color w:val="auto"/>
                      <w:kern w:val="0"/>
                      <w:sz w:val="21"/>
                      <w:szCs w:val="21"/>
                      <w:highlight w:val="none"/>
                      <w:vertAlign w:val="baseline"/>
                      <w:lang w:val="en-US" w:eastAsia="zh-CN" w:bidi="ar-SA"/>
                    </w:rPr>
                    <w:t>5</w:t>
                  </w:r>
                  <w:r>
                    <w:rPr>
                      <w:rFonts w:hint="eastAsia" w:ascii="Times New Roman" w:hAnsi="Times New Roman" w:eastAsia="宋体" w:cs="Times New Roman"/>
                      <w:color w:val="auto"/>
                      <w:kern w:val="0"/>
                      <w:sz w:val="21"/>
                      <w:szCs w:val="21"/>
                      <w:highlight w:val="none"/>
                      <w:vertAlign w:val="baseline"/>
                      <w:lang w:val="en-US" w:eastAsia="zh-CN" w:bidi="ar-SA"/>
                    </w:rPr>
                    <w:t>人，其专业技能均能满足规范拆解、环保作业、安全操作等要求，持证上岗。</w:t>
                  </w:r>
                </w:p>
              </w:tc>
              <w:tc>
                <w:tcPr>
                  <w:tcW w:w="892" w:type="dxa"/>
                  <w:tcBorders>
                    <w:tl2br w:val="nil"/>
                    <w:tr2bl w:val="nil"/>
                  </w:tcBorders>
                  <w:vAlign w:val="center"/>
                </w:tcPr>
                <w:p w14:paraId="22E3A5A5">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71868A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tcBorders>
                    <w:tl2br w:val="nil"/>
                    <w:tr2bl w:val="nil"/>
                  </w:tcBorders>
                  <w:vAlign w:val="center"/>
                </w:tcPr>
                <w:p w14:paraId="07E6812D">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3</w:t>
                  </w:r>
                </w:p>
              </w:tc>
              <w:tc>
                <w:tcPr>
                  <w:tcW w:w="3615" w:type="dxa"/>
                  <w:tcBorders>
                    <w:tl2br w:val="nil"/>
                    <w:tr2bl w:val="nil"/>
                  </w:tcBorders>
                  <w:vAlign w:val="center"/>
                </w:tcPr>
                <w:p w14:paraId="411799AD">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报废农业机械拆解作业场地</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包括拆解和存储场地</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面积不低于300m</w:t>
                  </w:r>
                  <w:r>
                    <w:rPr>
                      <w:rFonts w:hint="eastAsia" w:cs="Times New Roman"/>
                      <w:color w:val="auto"/>
                      <w:kern w:val="0"/>
                      <w:sz w:val="21"/>
                      <w:szCs w:val="21"/>
                      <w:highlight w:val="none"/>
                      <w:vertAlign w:val="superscript"/>
                      <w:lang w:val="en-US" w:eastAsia="zh-CN" w:bidi="ar-SA"/>
                    </w:rPr>
                    <w:t>2</w:t>
                  </w:r>
                  <w:r>
                    <w:rPr>
                      <w:rFonts w:hint="eastAsia" w:ascii="Times New Roman" w:hAnsi="Times New Roman" w:eastAsia="宋体" w:cs="Times New Roman"/>
                      <w:color w:val="auto"/>
                      <w:kern w:val="0"/>
                      <w:sz w:val="21"/>
                      <w:szCs w:val="21"/>
                      <w:highlight w:val="none"/>
                      <w:vertAlign w:val="baseline"/>
                      <w:lang w:val="en-US" w:eastAsia="zh-CN" w:bidi="ar-SA"/>
                    </w:rPr>
                    <w:t>拆解车间应为封闭或半封闭车间，通风、光线良好，地面硬化且防渗漏，安全防范设施齐全</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存储场地</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包括临时存储</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的地面要硬化并防渗漏。</w:t>
                  </w:r>
                </w:p>
              </w:tc>
              <w:tc>
                <w:tcPr>
                  <w:tcW w:w="2490" w:type="dxa"/>
                  <w:tcBorders>
                    <w:tl2br w:val="nil"/>
                    <w:tr2bl w:val="nil"/>
                  </w:tcBorders>
                  <w:vAlign w:val="center"/>
                </w:tcPr>
                <w:p w14:paraId="264E1130">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本项目拆解车间面积约为</w:t>
                  </w:r>
                  <w:r>
                    <w:rPr>
                      <w:rFonts w:hint="eastAsia" w:cs="Times New Roman"/>
                      <w:color w:val="auto"/>
                      <w:kern w:val="0"/>
                      <w:sz w:val="21"/>
                      <w:szCs w:val="21"/>
                      <w:highlight w:val="none"/>
                      <w:vertAlign w:val="baseline"/>
                      <w:lang w:val="en-US" w:eastAsia="zh-CN" w:bidi="ar-SA"/>
                    </w:rPr>
                    <w:t>4</w:t>
                  </w:r>
                  <w:r>
                    <w:rPr>
                      <w:rFonts w:hint="eastAsia" w:ascii="Times New Roman" w:hAnsi="Times New Roman" w:eastAsia="宋体" w:cs="Times New Roman"/>
                      <w:color w:val="auto"/>
                      <w:kern w:val="0"/>
                      <w:sz w:val="21"/>
                      <w:szCs w:val="21"/>
                      <w:highlight w:val="none"/>
                      <w:vertAlign w:val="baseline"/>
                      <w:lang w:val="en-US" w:eastAsia="zh-CN" w:bidi="ar-SA"/>
                    </w:rPr>
                    <w:t>00m</w:t>
                  </w:r>
                  <w:r>
                    <w:rPr>
                      <w:rFonts w:hint="eastAsia" w:cs="Times New Roman"/>
                      <w:color w:val="auto"/>
                      <w:kern w:val="0"/>
                      <w:sz w:val="21"/>
                      <w:szCs w:val="21"/>
                      <w:highlight w:val="none"/>
                      <w:vertAlign w:val="superscript"/>
                      <w:lang w:val="en-US" w:eastAsia="zh-CN" w:bidi="ar-SA"/>
                    </w:rPr>
                    <w:t>2</w:t>
                  </w:r>
                  <w:r>
                    <w:rPr>
                      <w:rFonts w:hint="eastAsia" w:cs="Times New Roman"/>
                      <w:color w:val="auto"/>
                      <w:kern w:val="0"/>
                      <w:sz w:val="21"/>
                      <w:szCs w:val="21"/>
                      <w:highlight w:val="none"/>
                      <w:vertAlign w:val="baseline"/>
                      <w:lang w:val="en-US" w:eastAsia="zh-CN" w:bidi="ar-SA"/>
                    </w:rPr>
                    <w:t>零部件贮存区</w:t>
                  </w:r>
                  <w:r>
                    <w:rPr>
                      <w:rFonts w:hint="eastAsia" w:ascii="Times New Roman" w:hAnsi="Times New Roman" w:eastAsia="宋体" w:cs="Times New Roman"/>
                      <w:color w:val="auto"/>
                      <w:kern w:val="0"/>
                      <w:sz w:val="21"/>
                      <w:szCs w:val="21"/>
                      <w:highlight w:val="none"/>
                      <w:vertAlign w:val="baseline"/>
                      <w:lang w:val="en-US" w:eastAsia="zh-CN" w:bidi="ar-SA"/>
                    </w:rPr>
                    <w:t>面积</w:t>
                  </w:r>
                  <w:r>
                    <w:rPr>
                      <w:rFonts w:hint="eastAsia" w:cs="Times New Roman"/>
                      <w:color w:val="auto"/>
                      <w:kern w:val="0"/>
                      <w:sz w:val="21"/>
                      <w:szCs w:val="21"/>
                      <w:highlight w:val="none"/>
                      <w:vertAlign w:val="baseline"/>
                      <w:lang w:val="en-US" w:eastAsia="zh-CN" w:bidi="ar-SA"/>
                    </w:rPr>
                    <w:t>100</w:t>
                  </w:r>
                  <w:r>
                    <w:rPr>
                      <w:rFonts w:hint="eastAsia" w:ascii="Times New Roman" w:hAnsi="Times New Roman" w:eastAsia="宋体" w:cs="Times New Roman"/>
                      <w:color w:val="auto"/>
                      <w:kern w:val="0"/>
                      <w:sz w:val="21"/>
                      <w:szCs w:val="21"/>
                      <w:highlight w:val="none"/>
                      <w:vertAlign w:val="baseline"/>
                      <w:lang w:val="en-US" w:eastAsia="zh-CN" w:bidi="ar-SA"/>
                    </w:rPr>
                    <w:t>m</w:t>
                  </w:r>
                  <w:r>
                    <w:rPr>
                      <w:rFonts w:hint="eastAsia" w:cs="Times New Roman"/>
                      <w:color w:val="auto"/>
                      <w:kern w:val="0"/>
                      <w:sz w:val="21"/>
                      <w:szCs w:val="21"/>
                      <w:highlight w:val="none"/>
                      <w:vertAlign w:val="superscript"/>
                      <w:lang w:val="en-US" w:eastAsia="zh-CN" w:bidi="ar-SA"/>
                    </w:rPr>
                    <w:t>2</w:t>
                  </w:r>
                  <w:r>
                    <w:rPr>
                      <w:rFonts w:hint="eastAsia" w:ascii="Times New Roman" w:hAnsi="Times New Roman" w:eastAsia="宋体" w:cs="Times New Roman"/>
                      <w:color w:val="auto"/>
                      <w:kern w:val="0"/>
                      <w:sz w:val="21"/>
                      <w:szCs w:val="21"/>
                      <w:highlight w:val="none"/>
                      <w:vertAlign w:val="baseline"/>
                      <w:lang w:val="en-US" w:eastAsia="zh-CN" w:bidi="ar-SA"/>
                    </w:rPr>
                    <w:t>，拆解在封闭</w:t>
                  </w:r>
                  <w:r>
                    <w:rPr>
                      <w:rFonts w:hint="eastAsia" w:cs="Times New Roman"/>
                      <w:color w:val="auto"/>
                      <w:kern w:val="0"/>
                      <w:sz w:val="21"/>
                      <w:szCs w:val="21"/>
                      <w:highlight w:val="none"/>
                      <w:vertAlign w:val="baseline"/>
                      <w:lang w:val="en-US" w:eastAsia="zh-CN" w:bidi="ar-SA"/>
                    </w:rPr>
                    <w:t>车间</w:t>
                  </w:r>
                  <w:r>
                    <w:rPr>
                      <w:rFonts w:hint="eastAsia" w:ascii="Times New Roman" w:hAnsi="Times New Roman" w:eastAsia="宋体" w:cs="Times New Roman"/>
                      <w:color w:val="auto"/>
                      <w:kern w:val="0"/>
                      <w:sz w:val="21"/>
                      <w:szCs w:val="21"/>
                      <w:highlight w:val="none"/>
                      <w:vertAlign w:val="baseline"/>
                      <w:lang w:val="en-US" w:eastAsia="zh-CN" w:bidi="ar-SA"/>
                    </w:rPr>
                    <w:t>内进行</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进行了地面硬化，并做了防渗漏处理。</w:t>
                  </w:r>
                </w:p>
              </w:tc>
              <w:tc>
                <w:tcPr>
                  <w:tcW w:w="892" w:type="dxa"/>
                  <w:tcBorders>
                    <w:tl2br w:val="nil"/>
                    <w:tr2bl w:val="nil"/>
                  </w:tcBorders>
                  <w:vAlign w:val="center"/>
                </w:tcPr>
                <w:p w14:paraId="4EDF7913">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049266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tcBorders>
                    <w:tl2br w:val="nil"/>
                    <w:tr2bl w:val="nil"/>
                  </w:tcBorders>
                  <w:vAlign w:val="center"/>
                </w:tcPr>
                <w:p w14:paraId="764F0721">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4</w:t>
                  </w:r>
                </w:p>
              </w:tc>
              <w:tc>
                <w:tcPr>
                  <w:tcW w:w="3615" w:type="dxa"/>
                  <w:tcBorders>
                    <w:tl2br w:val="nil"/>
                    <w:tr2bl w:val="nil"/>
                  </w:tcBorders>
                  <w:vAlign w:val="center"/>
                </w:tcPr>
                <w:p w14:paraId="75D6F007">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报废农业机械拆解企业应具备必要的设备，包括但不限于农业机械称重设备、起重运输设备、剪断设备、切割设备、专业容器等，在排空易燃易爆及有毒有害液体、气体物品时，应使用专用设备处理且工作环境安全可靠。</w:t>
                  </w:r>
                </w:p>
              </w:tc>
              <w:tc>
                <w:tcPr>
                  <w:tcW w:w="2490" w:type="dxa"/>
                  <w:tcBorders>
                    <w:tl2br w:val="nil"/>
                    <w:tr2bl w:val="nil"/>
                  </w:tcBorders>
                  <w:vAlign w:val="center"/>
                </w:tcPr>
                <w:p w14:paraId="62C4BBFB">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根据建设项目生产设备可知本项目配备有必要的拆解设备。</w:t>
                  </w:r>
                </w:p>
              </w:tc>
              <w:tc>
                <w:tcPr>
                  <w:tcW w:w="892" w:type="dxa"/>
                  <w:tcBorders>
                    <w:tl2br w:val="nil"/>
                    <w:tr2bl w:val="nil"/>
                  </w:tcBorders>
                  <w:vAlign w:val="center"/>
                </w:tcPr>
                <w:p w14:paraId="2846938F">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6C2D07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tcBorders>
                    <w:tl2br w:val="nil"/>
                    <w:tr2bl w:val="nil"/>
                  </w:tcBorders>
                  <w:vAlign w:val="center"/>
                </w:tcPr>
                <w:p w14:paraId="0C76EFD0">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5</w:t>
                  </w:r>
                </w:p>
              </w:tc>
              <w:tc>
                <w:tcPr>
                  <w:tcW w:w="3615" w:type="dxa"/>
                  <w:tcBorders>
                    <w:tl2br w:val="nil"/>
                    <w:tr2bl w:val="nil"/>
                  </w:tcBorders>
                  <w:vAlign w:val="center"/>
                </w:tcPr>
                <w:p w14:paraId="7B0F6718">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应按照农业机械生产企业所提供的拆解信息或拆解手册进行合理拆解</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没有拆解手册的，可参照同类农业机械规定拆解，尽可能保证零部件可再利用性及材料可回收利用性。</w:t>
                  </w:r>
                </w:p>
              </w:tc>
              <w:tc>
                <w:tcPr>
                  <w:tcW w:w="2490" w:type="dxa"/>
                  <w:tcBorders>
                    <w:tl2br w:val="nil"/>
                    <w:tr2bl w:val="nil"/>
                  </w:tcBorders>
                  <w:vAlign w:val="center"/>
                </w:tcPr>
                <w:p w14:paraId="1B290D2A">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本项目将按照农业机械生产企业所提供的拆解信息或拆解手册进行合理拆解。</w:t>
                  </w:r>
                </w:p>
              </w:tc>
              <w:tc>
                <w:tcPr>
                  <w:tcW w:w="892" w:type="dxa"/>
                  <w:tcBorders>
                    <w:tl2br w:val="nil"/>
                    <w:tr2bl w:val="nil"/>
                  </w:tcBorders>
                  <w:vAlign w:val="center"/>
                </w:tcPr>
                <w:p w14:paraId="2BEE558E">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2C5AB3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tcBorders>
                    <w:tl2br w:val="nil"/>
                    <w:tr2bl w:val="nil"/>
                  </w:tcBorders>
                  <w:vAlign w:val="center"/>
                </w:tcPr>
                <w:p w14:paraId="45E50C9B">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6</w:t>
                  </w:r>
                </w:p>
              </w:tc>
              <w:tc>
                <w:tcPr>
                  <w:tcW w:w="3615" w:type="dxa"/>
                  <w:tcBorders>
                    <w:tl2br w:val="nil"/>
                    <w:tr2bl w:val="nil"/>
                  </w:tcBorders>
                  <w:vAlign w:val="center"/>
                </w:tcPr>
                <w:p w14:paraId="3A4CBE56">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应解体销毁的发动机、变速箱、转向器、前后桥、机架和工作装置等主要总成，应确保拆解后不可修复。</w:t>
                  </w:r>
                </w:p>
              </w:tc>
              <w:tc>
                <w:tcPr>
                  <w:tcW w:w="2490" w:type="dxa"/>
                  <w:tcBorders>
                    <w:tl2br w:val="nil"/>
                    <w:tr2bl w:val="nil"/>
                  </w:tcBorders>
                  <w:vAlign w:val="center"/>
                </w:tcPr>
                <w:p w14:paraId="609E2CD8">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本项目发动机和变速箱进行总成拆解</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不使用切割机械</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，并按《报废农业机械回收办法》对以上总成进行毁形</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留证</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解体。</w:t>
                  </w:r>
                </w:p>
              </w:tc>
              <w:tc>
                <w:tcPr>
                  <w:tcW w:w="892" w:type="dxa"/>
                  <w:tcBorders>
                    <w:tl2br w:val="nil"/>
                    <w:tr2bl w:val="nil"/>
                  </w:tcBorders>
                  <w:vAlign w:val="center"/>
                </w:tcPr>
                <w:p w14:paraId="65C3388B">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10DF6B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tcBorders>
                    <w:tl2br w:val="nil"/>
                    <w:tr2bl w:val="nil"/>
                  </w:tcBorders>
                  <w:vAlign w:val="center"/>
                </w:tcPr>
                <w:p w14:paraId="7CF10AB0">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7</w:t>
                  </w:r>
                </w:p>
              </w:tc>
              <w:tc>
                <w:tcPr>
                  <w:tcW w:w="3615" w:type="dxa"/>
                  <w:tcBorders>
                    <w:tl2br w:val="nil"/>
                    <w:tr2bl w:val="nil"/>
                  </w:tcBorders>
                  <w:vAlign w:val="center"/>
                </w:tcPr>
                <w:p w14:paraId="3BB2ADB9">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其他零部件和材料都应以恰当的方式拆除和隔离。拆解时应避免损伤或污染再利用零件和可回收利用材料。</w:t>
                  </w:r>
                </w:p>
              </w:tc>
              <w:tc>
                <w:tcPr>
                  <w:tcW w:w="2490" w:type="dxa"/>
                  <w:tcBorders>
                    <w:tl2br w:val="nil"/>
                    <w:tr2bl w:val="nil"/>
                  </w:tcBorders>
                  <w:vAlign w:val="center"/>
                </w:tcPr>
                <w:p w14:paraId="3BDD3AE8">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企业将配备专业人员对报废农机进行拆解，对其他零部件和材料以恰当的方式拆除和隔离。</w:t>
                  </w:r>
                </w:p>
              </w:tc>
              <w:tc>
                <w:tcPr>
                  <w:tcW w:w="892" w:type="dxa"/>
                  <w:tcBorders>
                    <w:tl2br w:val="nil"/>
                    <w:tr2bl w:val="nil"/>
                  </w:tcBorders>
                  <w:vAlign w:val="center"/>
                </w:tcPr>
                <w:p w14:paraId="5A5AFFCF">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326C3B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tcBorders>
                    <w:tl2br w:val="nil"/>
                    <w:tr2bl w:val="nil"/>
                  </w:tcBorders>
                  <w:vAlign w:val="center"/>
                </w:tcPr>
                <w:p w14:paraId="1597AD9D">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8</w:t>
                  </w:r>
                </w:p>
              </w:tc>
              <w:tc>
                <w:tcPr>
                  <w:tcW w:w="3615" w:type="dxa"/>
                  <w:tcBorders>
                    <w:tl2br w:val="nil"/>
                    <w:tr2bl w:val="nil"/>
                  </w:tcBorders>
                  <w:vAlign w:val="center"/>
                </w:tcPr>
                <w:p w14:paraId="1CB3E08F">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在报废农业机械拆解及主要总成解体销毁过程中，每个环节保留10s以上的视频资料或解体销毁前、中、后各照片1张</w:t>
                  </w:r>
                  <w:r>
                    <w:rPr>
                      <w:rFonts w:hint="eastAsia" w:cs="Times New Roman"/>
                      <w:color w:val="auto"/>
                      <w:kern w:val="0"/>
                      <w:sz w:val="21"/>
                      <w:szCs w:val="21"/>
                      <w:highlight w:val="none"/>
                      <w:vertAlign w:val="baseline"/>
                      <w:lang w:val="en-US" w:eastAsia="zh-CN" w:bidi="ar-SA"/>
                    </w:rPr>
                    <w:t>。</w:t>
                  </w:r>
                </w:p>
              </w:tc>
              <w:tc>
                <w:tcPr>
                  <w:tcW w:w="2490" w:type="dxa"/>
                  <w:tcBorders>
                    <w:tl2br w:val="nil"/>
                    <w:tr2bl w:val="nil"/>
                  </w:tcBorders>
                  <w:vAlign w:val="center"/>
                </w:tcPr>
                <w:p w14:paraId="0DDB8C82">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企业设置有电脑、拍照设备等设施设备装置</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对拆解过程进行拍摄</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并</w:t>
                  </w:r>
                </w:p>
                <w:p w14:paraId="1693D9EA">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保存存档。</w:t>
                  </w:r>
                </w:p>
              </w:tc>
              <w:tc>
                <w:tcPr>
                  <w:tcW w:w="892" w:type="dxa"/>
                  <w:tcBorders>
                    <w:tl2br w:val="nil"/>
                    <w:tr2bl w:val="nil"/>
                  </w:tcBorders>
                  <w:vAlign w:val="center"/>
                </w:tcPr>
                <w:p w14:paraId="36A072DA">
                  <w:pPr>
                    <w:keepNext w:val="0"/>
                    <w:keepLines w:val="0"/>
                    <w:pageBreakBefore w:val="0"/>
                    <w:widowControl/>
                    <w:kinsoku/>
                    <w:wordWrap/>
                    <w:overflowPunct/>
                    <w:topLinePunct w:val="0"/>
                    <w:autoSpaceDE w:val="0"/>
                    <w:autoSpaceDN/>
                    <w:bidi w:val="0"/>
                    <w:adjustRightInd/>
                    <w:snapToGrid/>
                    <w:spacing w:beforeAutospacing="0" w:afterAutospacing="0" w:line="240" w:lineRule="auto"/>
                    <w:ind w:right="0" w:rightChars="0"/>
                    <w:jc w:val="center"/>
                    <w:textAlignment w:val="auto"/>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bl>
          <w:p w14:paraId="10A3BFA0">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综上，本项目符合</w:t>
            </w:r>
            <w:r>
              <w:rPr>
                <w:rFonts w:hint="eastAsia" w:ascii="Times New Roman" w:hAnsi="Times New Roman" w:eastAsia="宋体" w:cs="Times New Roman"/>
                <w:color w:val="auto"/>
                <w:kern w:val="0"/>
                <w:sz w:val="24"/>
                <w:szCs w:val="24"/>
                <w:highlight w:val="none"/>
                <w:lang w:val="en-US" w:eastAsia="zh-CN" w:bidi="ar-SA"/>
              </w:rPr>
              <w:t>《报废农业机械回收拆解技术规范》</w:t>
            </w:r>
            <w:r>
              <w:rPr>
                <w:rFonts w:hint="eastAsia" w:cs="Times New Roman"/>
                <w:color w:val="auto"/>
                <w:kern w:val="0"/>
                <w:sz w:val="24"/>
                <w:szCs w:val="24"/>
                <w:highlight w:val="none"/>
                <w:lang w:val="en-US" w:eastAsia="zh-CN" w:bidi="ar-SA"/>
              </w:rPr>
              <w:t>相关要求。</w:t>
            </w:r>
          </w:p>
          <w:p w14:paraId="0B9B302E">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4、与《黑龙江省城乡固体废物分类治理布局规划（</w:t>
            </w:r>
            <w:r>
              <w:rPr>
                <w:rFonts w:hint="default" w:cs="Times New Roman"/>
                <w:color w:val="auto"/>
                <w:kern w:val="0"/>
                <w:sz w:val="24"/>
                <w:szCs w:val="24"/>
                <w:highlight w:val="none"/>
                <w:lang w:val="en-US" w:eastAsia="zh-CN" w:bidi="ar-SA"/>
              </w:rPr>
              <w:t xml:space="preserve">2019-2035 </w:t>
            </w:r>
            <w:r>
              <w:rPr>
                <w:rFonts w:hint="eastAsia" w:cs="Times New Roman"/>
                <w:color w:val="auto"/>
                <w:kern w:val="0"/>
                <w:sz w:val="24"/>
                <w:szCs w:val="24"/>
                <w:highlight w:val="none"/>
                <w:lang w:val="en-US" w:eastAsia="zh-CN" w:bidi="ar-SA"/>
              </w:rPr>
              <w:t>年）》（</w:t>
            </w:r>
            <w:r>
              <w:rPr>
                <w:rFonts w:hint="default" w:cs="Times New Roman"/>
                <w:color w:val="auto"/>
                <w:kern w:val="0"/>
                <w:sz w:val="24"/>
                <w:szCs w:val="24"/>
                <w:highlight w:val="none"/>
                <w:lang w:val="en-US" w:eastAsia="zh-CN" w:bidi="ar-SA"/>
              </w:rPr>
              <w:t>2021</w:t>
            </w:r>
            <w:r>
              <w:rPr>
                <w:rFonts w:hint="eastAsia" w:cs="Times New Roman"/>
                <w:color w:val="auto"/>
                <w:kern w:val="0"/>
                <w:sz w:val="24"/>
                <w:szCs w:val="24"/>
                <w:highlight w:val="none"/>
                <w:lang w:val="en-US" w:eastAsia="zh-CN" w:bidi="ar-SA"/>
              </w:rPr>
              <w:t>年修订）的符合性分析</w:t>
            </w:r>
          </w:p>
          <w:p w14:paraId="0214DD14">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《黑龙江省城乡固体废物分类治理布局规划（</w:t>
            </w:r>
            <w:r>
              <w:rPr>
                <w:rFonts w:hint="default" w:cs="Times New Roman"/>
                <w:color w:val="auto"/>
                <w:kern w:val="0"/>
                <w:sz w:val="24"/>
                <w:szCs w:val="24"/>
                <w:highlight w:val="none"/>
                <w:lang w:val="en-US" w:eastAsia="zh-CN" w:bidi="ar-SA"/>
              </w:rPr>
              <w:t>2019-2035</w:t>
            </w:r>
            <w:r>
              <w:rPr>
                <w:rFonts w:hint="eastAsia" w:cs="Times New Roman"/>
                <w:color w:val="auto"/>
                <w:kern w:val="0"/>
                <w:sz w:val="24"/>
                <w:szCs w:val="24"/>
                <w:highlight w:val="none"/>
                <w:lang w:val="en-US" w:eastAsia="zh-CN" w:bidi="ar-SA"/>
              </w:rPr>
              <w:t>年）》于</w:t>
            </w:r>
            <w:r>
              <w:rPr>
                <w:rFonts w:hint="default" w:cs="Times New Roman"/>
                <w:color w:val="auto"/>
                <w:kern w:val="0"/>
                <w:sz w:val="24"/>
                <w:szCs w:val="24"/>
                <w:highlight w:val="none"/>
                <w:lang w:val="en-US" w:eastAsia="zh-CN" w:bidi="ar-SA"/>
              </w:rPr>
              <w:t>2019</w:t>
            </w:r>
            <w:r>
              <w:rPr>
                <w:rFonts w:hint="eastAsia" w:cs="Times New Roman"/>
                <w:color w:val="auto"/>
                <w:kern w:val="0"/>
                <w:sz w:val="24"/>
                <w:szCs w:val="24"/>
                <w:highlight w:val="none"/>
                <w:lang w:val="en-US" w:eastAsia="zh-CN" w:bidi="ar-SA"/>
              </w:rPr>
              <w:t>年</w:t>
            </w:r>
            <w:r>
              <w:rPr>
                <w:rFonts w:hint="default" w:cs="Times New Roman"/>
                <w:color w:val="auto"/>
                <w:kern w:val="0"/>
                <w:sz w:val="24"/>
                <w:szCs w:val="24"/>
                <w:highlight w:val="none"/>
                <w:lang w:val="en-US" w:eastAsia="zh-CN" w:bidi="ar-SA"/>
              </w:rPr>
              <w:t>4</w:t>
            </w:r>
            <w:r>
              <w:rPr>
                <w:rFonts w:hint="eastAsia" w:cs="Times New Roman"/>
                <w:color w:val="auto"/>
                <w:kern w:val="0"/>
                <w:sz w:val="24"/>
                <w:szCs w:val="24"/>
                <w:highlight w:val="none"/>
                <w:lang w:val="en-US" w:eastAsia="zh-CN" w:bidi="ar-SA"/>
              </w:rPr>
              <w:t>月由省住建厅以黑建函</w:t>
            </w:r>
            <w:r>
              <w:rPr>
                <w:rFonts w:hint="default" w:cs="Times New Roman"/>
                <w:color w:val="auto"/>
                <w:kern w:val="0"/>
                <w:sz w:val="24"/>
                <w:szCs w:val="24"/>
                <w:highlight w:val="none"/>
                <w:lang w:val="en-US" w:eastAsia="zh-CN" w:bidi="ar-SA"/>
              </w:rPr>
              <w:t>[2019]111</w:t>
            </w:r>
            <w:r>
              <w:rPr>
                <w:rFonts w:hint="eastAsia" w:cs="Times New Roman"/>
                <w:color w:val="auto"/>
                <w:kern w:val="0"/>
                <w:sz w:val="24"/>
                <w:szCs w:val="24"/>
                <w:highlight w:val="none"/>
                <w:lang w:val="en-US" w:eastAsia="zh-CN" w:bidi="ar-SA"/>
              </w:rPr>
              <w:t>号文件正式印发并在</w:t>
            </w:r>
            <w:r>
              <w:rPr>
                <w:rFonts w:hint="default" w:cs="Times New Roman"/>
                <w:color w:val="auto"/>
                <w:kern w:val="0"/>
                <w:sz w:val="24"/>
                <w:szCs w:val="24"/>
                <w:highlight w:val="none"/>
                <w:lang w:val="en-US" w:eastAsia="zh-CN" w:bidi="ar-SA"/>
              </w:rPr>
              <w:t>2021</w:t>
            </w:r>
            <w:r>
              <w:rPr>
                <w:rFonts w:hint="eastAsia" w:cs="Times New Roman"/>
                <w:color w:val="auto"/>
                <w:kern w:val="0"/>
                <w:sz w:val="24"/>
                <w:szCs w:val="24"/>
                <w:highlight w:val="none"/>
                <w:lang w:val="en-US" w:eastAsia="zh-CN" w:bidi="ar-SA"/>
              </w:rPr>
              <w:t>进行修订。关于一般工业治理布局规划，规划提出一般工业固体废物实现源头大幅减量，充分资源化利用和安全处置。实现工业绿色生产，推动大宗工业固体废物贮存处置总量趋零增长；非法转移倾倒固体废物事件零发生；全过程规范化管理，构建全过程信息化监管体系。近期一般工业固体综合利用率近期达到</w:t>
            </w:r>
            <w:r>
              <w:rPr>
                <w:rFonts w:hint="default" w:cs="Times New Roman"/>
                <w:color w:val="auto"/>
                <w:kern w:val="0"/>
                <w:sz w:val="24"/>
                <w:szCs w:val="24"/>
                <w:highlight w:val="none"/>
                <w:lang w:val="en-US" w:eastAsia="zh-CN" w:bidi="ar-SA"/>
              </w:rPr>
              <w:t>73%</w:t>
            </w:r>
            <w:r>
              <w:rPr>
                <w:rFonts w:hint="eastAsia" w:cs="Times New Roman"/>
                <w:color w:val="auto"/>
                <w:kern w:val="0"/>
                <w:sz w:val="24"/>
                <w:szCs w:val="24"/>
                <w:highlight w:val="none"/>
                <w:lang w:val="en-US" w:eastAsia="zh-CN" w:bidi="ar-SA"/>
              </w:rPr>
              <w:t>，中期达到</w:t>
            </w:r>
            <w:r>
              <w:rPr>
                <w:rFonts w:hint="default" w:cs="Times New Roman"/>
                <w:color w:val="auto"/>
                <w:kern w:val="0"/>
                <w:sz w:val="24"/>
                <w:szCs w:val="24"/>
                <w:highlight w:val="none"/>
                <w:lang w:val="en-US" w:eastAsia="zh-CN" w:bidi="ar-SA"/>
              </w:rPr>
              <w:t>79%</w:t>
            </w:r>
            <w:r>
              <w:rPr>
                <w:rFonts w:hint="eastAsia" w:cs="Times New Roman"/>
                <w:color w:val="auto"/>
                <w:kern w:val="0"/>
                <w:sz w:val="24"/>
                <w:szCs w:val="24"/>
                <w:highlight w:val="none"/>
                <w:lang w:val="en-US" w:eastAsia="zh-CN" w:bidi="ar-SA"/>
              </w:rPr>
              <w:t>，远期达到</w:t>
            </w:r>
            <w:r>
              <w:rPr>
                <w:rFonts w:hint="default" w:cs="Times New Roman"/>
                <w:color w:val="auto"/>
                <w:kern w:val="0"/>
                <w:sz w:val="24"/>
                <w:szCs w:val="24"/>
                <w:highlight w:val="none"/>
                <w:lang w:val="en-US" w:eastAsia="zh-CN" w:bidi="ar-SA"/>
              </w:rPr>
              <w:t>90%</w:t>
            </w:r>
            <w:r>
              <w:rPr>
                <w:rFonts w:hint="eastAsia" w:cs="Times New Roman"/>
                <w:color w:val="auto"/>
                <w:kern w:val="0"/>
                <w:sz w:val="24"/>
                <w:szCs w:val="24"/>
                <w:highlight w:val="none"/>
                <w:lang w:val="en-US" w:eastAsia="zh-CN" w:bidi="ar-SA"/>
              </w:rPr>
              <w:t>。规划中提出“一般工业固体废物应优先采用资源化循环利用治理方案，进行循环回收资源再利用和综合利用处理，达到综合利用目标要求。其余进行分类处置，达到环保标准要求”，“全省建立起较为完善的危险废物收集、贮存、运输、利用和处置体系，危险废物利用处置设施布局趋于合理，危险废物规范化管理水平、环境监管能力明显提升，基本实现全省危险废物的安全利用和处置”。</w:t>
            </w:r>
          </w:p>
          <w:p w14:paraId="20F122CB">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本项目主要将报废农机进行回收拆解利用，通过拆解，切割等工艺 将报废农机拆解成各零部件材料，将拆解产物中一般工业固体废物分类 回收利用，危险废物分类暂存，委托具有相关资质的单位回收处理。本 项目的建设可以满足废旧资源的综合利用的要求，符合规划中提出的“一般工业固体废物应优先采用资源化循环利用治理方案，进行循环回收资源再利用和综合利用处理，达到综合利用目标要求。其余进行分类处置，达到环保标准要求”，本项目建设符合《黑龙江省城乡固体废物分类治理布局规划（</w:t>
            </w:r>
            <w:r>
              <w:rPr>
                <w:rFonts w:hint="default" w:cs="Times New Roman"/>
                <w:color w:val="auto"/>
                <w:kern w:val="0"/>
                <w:sz w:val="24"/>
                <w:szCs w:val="24"/>
                <w:highlight w:val="none"/>
                <w:lang w:val="en-US" w:eastAsia="zh-CN" w:bidi="ar-SA"/>
              </w:rPr>
              <w:t>2019-2035</w:t>
            </w:r>
            <w:r>
              <w:rPr>
                <w:rFonts w:hint="eastAsia" w:cs="Times New Roman"/>
                <w:color w:val="auto"/>
                <w:kern w:val="0"/>
                <w:sz w:val="24"/>
                <w:szCs w:val="24"/>
                <w:highlight w:val="none"/>
                <w:lang w:val="en-US" w:eastAsia="zh-CN" w:bidi="ar-SA"/>
              </w:rPr>
              <w:t>年）》（</w:t>
            </w:r>
            <w:r>
              <w:rPr>
                <w:rFonts w:hint="default" w:cs="Times New Roman"/>
                <w:color w:val="auto"/>
                <w:kern w:val="0"/>
                <w:sz w:val="24"/>
                <w:szCs w:val="24"/>
                <w:highlight w:val="none"/>
                <w:lang w:val="en-US" w:eastAsia="zh-CN" w:bidi="ar-SA"/>
              </w:rPr>
              <w:t>2021</w:t>
            </w:r>
            <w:r>
              <w:rPr>
                <w:rFonts w:hint="eastAsia" w:cs="Times New Roman"/>
                <w:color w:val="auto"/>
                <w:kern w:val="0"/>
                <w:sz w:val="24"/>
                <w:szCs w:val="24"/>
                <w:highlight w:val="none"/>
                <w:lang w:val="en-US" w:eastAsia="zh-CN" w:bidi="ar-SA"/>
              </w:rPr>
              <w:t>年修订）要求。</w:t>
            </w:r>
          </w:p>
          <w:p w14:paraId="4B10CB9D">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5、与《黑龙江省鸡西市城乡固体废物分类治理专项规划（</w:t>
            </w:r>
            <w:r>
              <w:rPr>
                <w:rFonts w:hint="default" w:cs="Times New Roman"/>
                <w:color w:val="auto"/>
                <w:kern w:val="0"/>
                <w:sz w:val="24"/>
                <w:szCs w:val="24"/>
                <w:highlight w:val="none"/>
                <w:lang w:val="en-US" w:eastAsia="zh-CN" w:bidi="ar-SA"/>
              </w:rPr>
              <w:t xml:space="preserve">2019-2035 </w:t>
            </w:r>
            <w:r>
              <w:rPr>
                <w:rFonts w:hint="eastAsia" w:cs="Times New Roman"/>
                <w:color w:val="auto"/>
                <w:kern w:val="0"/>
                <w:sz w:val="24"/>
                <w:szCs w:val="24"/>
                <w:highlight w:val="none"/>
                <w:lang w:val="en-US" w:eastAsia="zh-CN" w:bidi="ar-SA"/>
              </w:rPr>
              <w:t>年）》的符合性分析</w:t>
            </w:r>
          </w:p>
          <w:p w14:paraId="3E74F8FC">
            <w:pPr>
              <w:pStyle w:val="42"/>
              <w:spacing w:line="360" w:lineRule="auto"/>
              <w:ind w:firstLine="480" w:firstLineChars="200"/>
              <w:jc w:val="both"/>
              <w:rPr>
                <w:rFonts w:hint="default" w:ascii="Times New Roman" w:hAnsi="Times New Roman" w:cs="Times New Roman"/>
                <w:color w:val="auto"/>
              </w:rPr>
            </w:pPr>
            <w:r>
              <w:rPr>
                <w:rFonts w:hint="default" w:ascii="Times New Roman" w:hAnsi="Times New Roman" w:cs="Times New Roman"/>
                <w:color w:val="auto"/>
              </w:rPr>
              <w:t>根据《黑龙江省鸡西市城乡固体废物分类治理布局规划（2019-2035年）》中</w:t>
            </w:r>
            <w:r>
              <w:rPr>
                <w:rFonts w:hint="eastAsia" w:ascii="Times New Roman" w:hAnsi="Times New Roman" w:cs="Times New Roman"/>
                <w:color w:val="auto"/>
                <w:lang w:eastAsia="zh-CN"/>
              </w:rPr>
              <w:t>“</w:t>
            </w:r>
            <w:r>
              <w:rPr>
                <w:rFonts w:hint="default" w:ascii="Times New Roman" w:hAnsi="Times New Roman" w:cs="Times New Roman"/>
                <w:color w:val="auto"/>
              </w:rPr>
              <w:t>七、一般工业固体废物治理设施专项规划</w:t>
            </w:r>
            <w:r>
              <w:rPr>
                <w:rFonts w:hint="eastAsia" w:ascii="Times New Roman" w:hAnsi="Times New Roman" w:cs="Times New Roman"/>
                <w:color w:val="auto"/>
                <w:lang w:eastAsia="zh-CN"/>
              </w:rPr>
              <w:t>”</w:t>
            </w:r>
            <w:r>
              <w:rPr>
                <w:rFonts w:hint="default" w:ascii="Times New Roman" w:hAnsi="Times New Roman" w:cs="Times New Roman"/>
                <w:color w:val="auto"/>
              </w:rPr>
              <w:t>一般工业固体废物实现源头大幅减量，充分资源化利用和安全处置。实现工业绿色生产，推大宗工业固体废物贮存处置总量趋零增长；非法转移倾倒固体废物事件零发生；全过程规范化管理，构建全过程信息化监管体系。规划近期：综合利用率73%，处置率达到92%；规划中期：综合利用率79%，处置率达到95%；规划远期：综合利用率90%，处置率达到95%。本项目为废弃资源综合利用业，对报废机动车进行处置并对可再生物质进行分类回收，可实现废物的无害化、减量化和资源化。</w:t>
            </w:r>
          </w:p>
          <w:p w14:paraId="4B8A6E60">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cs="Times New Roman"/>
                <w:color w:val="auto"/>
                <w:kern w:val="0"/>
                <w:sz w:val="24"/>
                <w:szCs w:val="24"/>
                <w:highlight w:val="none"/>
                <w:lang w:val="en-US" w:eastAsia="zh-CN" w:bidi="ar-SA"/>
              </w:rPr>
            </w:pPr>
            <w:r>
              <w:rPr>
                <w:rFonts w:hint="default" w:ascii="Times New Roman" w:hAnsi="Times New Roman" w:cs="Times New Roman"/>
                <w:color w:val="auto"/>
                <w:kern w:val="2"/>
                <w:sz w:val="24"/>
                <w:szCs w:val="24"/>
              </w:rPr>
              <w:t>本项目拆解后可回收物资约为</w:t>
            </w:r>
            <w:r>
              <w:rPr>
                <w:rFonts w:hint="eastAsia" w:ascii="Times New Roman" w:hAnsi="Times New Roman" w:cs="Times New Roman"/>
                <w:color w:val="auto"/>
                <w:kern w:val="2"/>
                <w:sz w:val="24"/>
                <w:szCs w:val="24"/>
                <w:lang w:val="en-US" w:eastAsia="zh-CN"/>
              </w:rPr>
              <w:t>4675.592</w:t>
            </w:r>
            <w:r>
              <w:rPr>
                <w:rFonts w:hint="default" w:ascii="Times New Roman" w:hAnsi="Times New Roman" w:cs="Times New Roman"/>
                <w:color w:val="auto"/>
                <w:kern w:val="2"/>
                <w:sz w:val="24"/>
                <w:szCs w:val="24"/>
              </w:rPr>
              <w:t>t，占总质量的</w:t>
            </w:r>
            <w:r>
              <w:rPr>
                <w:rFonts w:hint="eastAsia" w:ascii="Times New Roman" w:hAnsi="Times New Roman" w:cs="Times New Roman"/>
                <w:color w:val="auto"/>
                <w:kern w:val="2"/>
                <w:sz w:val="24"/>
                <w:szCs w:val="24"/>
                <w:lang w:val="en-US" w:eastAsia="zh-CN"/>
              </w:rPr>
              <w:t>98.33</w:t>
            </w:r>
            <w:r>
              <w:rPr>
                <w:rFonts w:hint="default" w:ascii="Times New Roman" w:hAnsi="Times New Roman" w:cs="Times New Roman"/>
                <w:color w:val="auto"/>
                <w:kern w:val="2"/>
                <w:sz w:val="24"/>
                <w:szCs w:val="24"/>
              </w:rPr>
              <w:t>%，最大限度保障了物料的回收及循环。因此，本项目符合《黑龙江省鸡西市城乡固体废物分类治理专项规划（2019-2035年）》相关规划要求。</w:t>
            </w:r>
          </w:p>
          <w:p w14:paraId="4E69C3F8">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default"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6、</w:t>
            </w:r>
            <w:r>
              <w:rPr>
                <w:rFonts w:hint="default" w:cs="Times New Roman"/>
                <w:color w:val="auto"/>
                <w:kern w:val="0"/>
                <w:sz w:val="24"/>
                <w:szCs w:val="24"/>
                <w:highlight w:val="none"/>
                <w:lang w:val="en-US" w:eastAsia="zh-CN" w:bidi="ar-SA"/>
              </w:rPr>
              <w:t>与《报废机动车拆解企业污染控制技术规范》（HJ348-2022）的符合性分析</w:t>
            </w:r>
          </w:p>
          <w:p w14:paraId="04897771">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default"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本项目</w:t>
            </w:r>
            <w:r>
              <w:rPr>
                <w:rFonts w:hint="default" w:cs="Times New Roman"/>
                <w:color w:val="auto"/>
                <w:kern w:val="0"/>
                <w:sz w:val="24"/>
                <w:szCs w:val="24"/>
                <w:highlight w:val="none"/>
                <w:lang w:val="en-US" w:eastAsia="zh-CN" w:bidi="ar-SA"/>
              </w:rPr>
              <w:t>与《报废机动车拆解企业污染控制技术规范》（HJ348-2022）的符合性</w:t>
            </w:r>
            <w:r>
              <w:rPr>
                <w:rFonts w:hint="eastAsia" w:cs="Times New Roman"/>
                <w:color w:val="auto"/>
                <w:kern w:val="0"/>
                <w:sz w:val="24"/>
                <w:szCs w:val="24"/>
                <w:highlight w:val="none"/>
                <w:lang w:val="en-US" w:eastAsia="zh-CN" w:bidi="ar-SA"/>
              </w:rPr>
              <w:t>见表1-4。</w:t>
            </w:r>
          </w:p>
          <w:p w14:paraId="2713CAA8">
            <w:pPr>
              <w:widowControl/>
              <w:jc w:val="center"/>
              <w:rPr>
                <w:rFonts w:hint="eastAsia" w:eastAsia="宋体"/>
                <w:b/>
                <w:bCs/>
                <w:color w:val="auto"/>
                <w:kern w:val="0"/>
                <w:szCs w:val="21"/>
                <w:lang w:val="en-US" w:eastAsia="zh-CN" w:bidi="ar"/>
              </w:rPr>
            </w:pPr>
            <w:r>
              <w:rPr>
                <w:rFonts w:hint="eastAsia"/>
                <w:b/>
                <w:bCs/>
                <w:color w:val="auto"/>
                <w:kern w:val="0"/>
                <w:szCs w:val="21"/>
                <w:lang w:bidi="ar"/>
              </w:rPr>
              <w:t>表1-</w:t>
            </w:r>
            <w:r>
              <w:rPr>
                <w:rFonts w:hint="eastAsia"/>
                <w:b/>
                <w:bCs/>
                <w:color w:val="auto"/>
                <w:kern w:val="0"/>
                <w:szCs w:val="21"/>
                <w:lang w:val="en-US" w:eastAsia="zh-CN" w:bidi="ar"/>
              </w:rPr>
              <w:t>4</w:t>
            </w:r>
            <w:r>
              <w:rPr>
                <w:rFonts w:hint="eastAsia"/>
                <w:b/>
                <w:bCs/>
                <w:color w:val="auto"/>
                <w:kern w:val="0"/>
                <w:szCs w:val="21"/>
                <w:lang w:bidi="ar"/>
              </w:rPr>
              <w:t xml:space="preserve">  </w:t>
            </w:r>
            <w:r>
              <w:rPr>
                <w:rFonts w:hint="eastAsia"/>
                <w:b/>
                <w:bCs/>
                <w:color w:val="auto"/>
                <w:kern w:val="0"/>
                <w:szCs w:val="21"/>
                <w:lang w:val="en-US" w:eastAsia="zh-CN" w:bidi="ar"/>
              </w:rPr>
              <w:t>与</w:t>
            </w:r>
            <w:r>
              <w:rPr>
                <w:rFonts w:hint="default"/>
                <w:b/>
                <w:bCs/>
                <w:color w:val="auto"/>
                <w:kern w:val="0"/>
                <w:szCs w:val="21"/>
                <w:lang w:val="en-US" w:eastAsia="zh-CN" w:bidi="ar"/>
              </w:rPr>
              <w:t>《报废机动车拆解企业污染控制技术规范》</w:t>
            </w:r>
            <w:r>
              <w:rPr>
                <w:rFonts w:hint="eastAsia"/>
                <w:b/>
                <w:bCs/>
                <w:color w:val="auto"/>
                <w:kern w:val="0"/>
                <w:szCs w:val="21"/>
                <w:lang w:bidi="ar"/>
              </w:rPr>
              <w:t>符合性分析</w:t>
            </w:r>
            <w:r>
              <w:rPr>
                <w:rFonts w:hint="eastAsia"/>
                <w:b/>
                <w:bCs/>
                <w:color w:val="auto"/>
                <w:kern w:val="0"/>
                <w:szCs w:val="21"/>
                <w:lang w:val="en-US" w:eastAsia="zh-CN" w:bidi="ar"/>
              </w:rPr>
              <w:t>一览表</w:t>
            </w:r>
          </w:p>
          <w:tbl>
            <w:tblPr>
              <w:tblStyle w:val="32"/>
              <w:tblW w:w="7724"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7"/>
              <w:gridCol w:w="3195"/>
              <w:gridCol w:w="2970"/>
              <w:gridCol w:w="892"/>
            </w:tblGrid>
            <w:tr w14:paraId="15C407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7" w:type="dxa"/>
                  <w:tcBorders>
                    <w:tl2br w:val="nil"/>
                    <w:tr2bl w:val="nil"/>
                  </w:tcBorders>
                  <w:vAlign w:val="center"/>
                </w:tcPr>
                <w:p w14:paraId="6ACF0556">
                  <w:pPr>
                    <w:keepLines w:val="0"/>
                    <w:pageBreakBefore w:val="0"/>
                    <w:widowControl/>
                    <w:topLinePunct w:val="0"/>
                    <w:autoSpaceDE w:val="0"/>
                    <w:bidi w:val="0"/>
                    <w:spacing w:beforeAutospacing="0" w:afterAutospacing="0" w:line="240" w:lineRule="auto"/>
                    <w:ind w:right="0" w:rightChars="0"/>
                    <w:jc w:val="center"/>
                    <w:rPr>
                      <w:rFonts w:hint="default"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序号</w:t>
                  </w:r>
                </w:p>
              </w:tc>
              <w:tc>
                <w:tcPr>
                  <w:tcW w:w="3195" w:type="dxa"/>
                  <w:tcBorders>
                    <w:tl2br w:val="nil"/>
                    <w:tr2bl w:val="nil"/>
                  </w:tcBorders>
                  <w:vAlign w:val="center"/>
                </w:tcPr>
                <w:p w14:paraId="293EE93E">
                  <w:pPr>
                    <w:keepLines w:val="0"/>
                    <w:pageBreakBefore w:val="0"/>
                    <w:widowControl/>
                    <w:topLinePunct w:val="0"/>
                    <w:autoSpaceDE w:val="0"/>
                    <w:bidi w:val="0"/>
                    <w:spacing w:beforeAutospacing="0" w:afterAutospacing="0" w:line="240" w:lineRule="auto"/>
                    <w:ind w:right="0" w:rightChars="0"/>
                    <w:jc w:val="center"/>
                    <w:rPr>
                      <w:rFonts w:hint="default"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规范要求</w:t>
                  </w:r>
                </w:p>
              </w:tc>
              <w:tc>
                <w:tcPr>
                  <w:tcW w:w="2970" w:type="dxa"/>
                  <w:tcBorders>
                    <w:tl2br w:val="nil"/>
                    <w:tr2bl w:val="nil"/>
                  </w:tcBorders>
                  <w:vAlign w:val="center"/>
                </w:tcPr>
                <w:p w14:paraId="412ECB35">
                  <w:pPr>
                    <w:keepLines w:val="0"/>
                    <w:pageBreakBefore w:val="0"/>
                    <w:widowControl/>
                    <w:topLinePunct w:val="0"/>
                    <w:autoSpaceDE w:val="0"/>
                    <w:bidi w:val="0"/>
                    <w:spacing w:beforeAutospacing="0" w:afterAutospacing="0" w:line="240" w:lineRule="auto"/>
                    <w:ind w:right="0" w:rightChars="0"/>
                    <w:jc w:val="center"/>
                    <w:rPr>
                      <w:rFonts w:hint="default"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本项目</w:t>
                  </w:r>
                </w:p>
              </w:tc>
              <w:tc>
                <w:tcPr>
                  <w:tcW w:w="892" w:type="dxa"/>
                  <w:tcBorders>
                    <w:tl2br w:val="nil"/>
                    <w:tr2bl w:val="nil"/>
                  </w:tcBorders>
                  <w:vAlign w:val="center"/>
                </w:tcPr>
                <w:p w14:paraId="6C3D6BF4">
                  <w:pPr>
                    <w:keepLines w:val="0"/>
                    <w:pageBreakBefore w:val="0"/>
                    <w:widowControl/>
                    <w:topLinePunct w:val="0"/>
                    <w:autoSpaceDE w:val="0"/>
                    <w:bidi w:val="0"/>
                    <w:spacing w:beforeAutospacing="0" w:afterAutospacing="0" w:line="240" w:lineRule="auto"/>
                    <w:ind w:right="0" w:rightChars="0"/>
                    <w:jc w:val="center"/>
                    <w:rPr>
                      <w:rFonts w:hint="default"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符合性</w:t>
                  </w:r>
                </w:p>
              </w:tc>
            </w:tr>
            <w:tr w14:paraId="2B32C5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7" w:type="dxa"/>
                  <w:tcBorders>
                    <w:tl2br w:val="nil"/>
                    <w:tr2bl w:val="nil"/>
                  </w:tcBorders>
                  <w:vAlign w:val="center"/>
                </w:tcPr>
                <w:p w14:paraId="66535657">
                  <w:pPr>
                    <w:keepLines w:val="0"/>
                    <w:pageBreakBefore w:val="0"/>
                    <w:widowControl/>
                    <w:topLinePunct w:val="0"/>
                    <w:autoSpaceDE w:val="0"/>
                    <w:bidi w:val="0"/>
                    <w:spacing w:beforeAutospacing="0" w:afterAutospacing="0" w:line="240" w:lineRule="auto"/>
                    <w:ind w:right="0" w:rightChars="0"/>
                    <w:jc w:val="center"/>
                    <w:rPr>
                      <w:rFonts w:hint="default"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1</w:t>
                  </w:r>
                </w:p>
              </w:tc>
              <w:tc>
                <w:tcPr>
                  <w:tcW w:w="3195" w:type="dxa"/>
                  <w:tcBorders>
                    <w:tl2br w:val="nil"/>
                    <w:tr2bl w:val="nil"/>
                  </w:tcBorders>
                  <w:vAlign w:val="center"/>
                </w:tcPr>
                <w:p w14:paraId="421E878F">
                  <w:pPr>
                    <w:keepLines w:val="0"/>
                    <w:pageBreakBefore w:val="0"/>
                    <w:widowControl/>
                    <w:topLinePunct w:val="0"/>
                    <w:autoSpaceDE w:val="0"/>
                    <w:bidi w:val="0"/>
                    <w:spacing w:beforeAutospacing="0" w:afterAutospacing="0" w:line="240" w:lineRule="auto"/>
                    <w:ind w:right="0" w:rightChars="0"/>
                    <w:jc w:val="center"/>
                    <w:rPr>
                      <w:rFonts w:hint="eastAsia"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报废机动车的拆解应遵循减量化、资源化和无害化的原则。报废机动车回收拆解企业应优先采用资源回收率高、污染物排放量少的工艺和设备，防范二次污染，实现减污降碳协同增效。</w:t>
                  </w:r>
                </w:p>
              </w:tc>
              <w:tc>
                <w:tcPr>
                  <w:tcW w:w="2970" w:type="dxa"/>
                  <w:tcBorders>
                    <w:tl2br w:val="nil"/>
                    <w:tr2bl w:val="nil"/>
                  </w:tcBorders>
                  <w:vAlign w:val="center"/>
                </w:tcPr>
                <w:p w14:paraId="0C084AA1">
                  <w:pPr>
                    <w:keepLines w:val="0"/>
                    <w:pageBreakBefore w:val="0"/>
                    <w:widowControl/>
                    <w:topLinePunct w:val="0"/>
                    <w:autoSpaceDE w:val="0"/>
                    <w:bidi w:val="0"/>
                    <w:spacing w:beforeAutospacing="0" w:afterAutospacing="0" w:line="240" w:lineRule="auto"/>
                    <w:ind w:right="0" w:rightChars="0"/>
                    <w:jc w:val="center"/>
                    <w:rPr>
                      <w:rFonts w:hint="eastAsia"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本项目拆解后产污均能回收利用，回收率高、污染物排放量少。</w:t>
                  </w:r>
                </w:p>
              </w:tc>
              <w:tc>
                <w:tcPr>
                  <w:tcW w:w="892" w:type="dxa"/>
                  <w:tcBorders>
                    <w:tl2br w:val="nil"/>
                    <w:tr2bl w:val="nil"/>
                  </w:tcBorders>
                  <w:vAlign w:val="center"/>
                </w:tcPr>
                <w:p w14:paraId="5A0D209F">
                  <w:pPr>
                    <w:keepLines w:val="0"/>
                    <w:pageBreakBefore w:val="0"/>
                    <w:widowControl/>
                    <w:topLinePunct w:val="0"/>
                    <w:autoSpaceDE w:val="0"/>
                    <w:bidi w:val="0"/>
                    <w:spacing w:beforeAutospacing="0" w:afterAutospacing="0" w:line="240" w:lineRule="auto"/>
                    <w:ind w:right="0" w:rightChars="0"/>
                    <w:jc w:val="center"/>
                    <w:rPr>
                      <w:rFonts w:hint="default"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1C8FDA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7" w:type="dxa"/>
                  <w:tcBorders>
                    <w:tl2br w:val="nil"/>
                    <w:tr2bl w:val="nil"/>
                  </w:tcBorders>
                  <w:vAlign w:val="center"/>
                </w:tcPr>
                <w:p w14:paraId="67715191">
                  <w:pPr>
                    <w:keepLines w:val="0"/>
                    <w:pageBreakBefore w:val="0"/>
                    <w:widowControl/>
                    <w:topLinePunct w:val="0"/>
                    <w:autoSpaceDE w:val="0"/>
                    <w:bidi w:val="0"/>
                    <w:spacing w:beforeAutospacing="0" w:afterAutospacing="0" w:line="240" w:lineRule="auto"/>
                    <w:ind w:right="0" w:rightChars="0"/>
                    <w:jc w:val="center"/>
                    <w:rPr>
                      <w:rFonts w:hint="default"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2</w:t>
                  </w:r>
                </w:p>
              </w:tc>
              <w:tc>
                <w:tcPr>
                  <w:tcW w:w="3195" w:type="dxa"/>
                  <w:tcBorders>
                    <w:tl2br w:val="nil"/>
                    <w:tr2bl w:val="nil"/>
                  </w:tcBorders>
                  <w:vAlign w:val="center"/>
                </w:tcPr>
                <w:p w14:paraId="420D4E8E">
                  <w:pPr>
                    <w:keepLines w:val="0"/>
                    <w:pageBreakBefore w:val="0"/>
                    <w:widowControl/>
                    <w:topLinePunct w:val="0"/>
                    <w:autoSpaceDE w:val="0"/>
                    <w:bidi w:val="0"/>
                    <w:spacing w:beforeAutospacing="0" w:afterAutospacing="0" w:line="240" w:lineRule="auto"/>
                    <w:ind w:right="0" w:rightChars="0"/>
                    <w:jc w:val="center"/>
                    <w:rPr>
                      <w:rFonts w:hint="eastAsia"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报废机动车拆解建设项目选址不应位于国务院和国务院有关主管部门及省、自治区、直辖市人民政府划定的生态保护红线区域、永久基本农田和其他需要特别保护的区域内。</w:t>
                  </w:r>
                </w:p>
              </w:tc>
              <w:tc>
                <w:tcPr>
                  <w:tcW w:w="2970" w:type="dxa"/>
                  <w:tcBorders>
                    <w:tl2br w:val="nil"/>
                    <w:tr2bl w:val="nil"/>
                  </w:tcBorders>
                  <w:vAlign w:val="center"/>
                </w:tcPr>
                <w:p w14:paraId="58157DAB">
                  <w:pPr>
                    <w:keepLines w:val="0"/>
                    <w:pageBreakBefore w:val="0"/>
                    <w:widowControl/>
                    <w:topLinePunct w:val="0"/>
                    <w:autoSpaceDE w:val="0"/>
                    <w:bidi w:val="0"/>
                    <w:spacing w:beforeAutospacing="0" w:afterAutospacing="0" w:line="240" w:lineRule="auto"/>
                    <w:ind w:right="0" w:rightChars="0"/>
                    <w:jc w:val="center"/>
                    <w:rPr>
                      <w:rFonts w:hint="eastAsia"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项目不在生态保护红线区域、永久基本农田和其他需要特别保护的区域内。</w:t>
                  </w:r>
                </w:p>
              </w:tc>
              <w:tc>
                <w:tcPr>
                  <w:tcW w:w="892" w:type="dxa"/>
                  <w:tcBorders>
                    <w:tl2br w:val="nil"/>
                    <w:tr2bl w:val="nil"/>
                  </w:tcBorders>
                  <w:vAlign w:val="center"/>
                </w:tcPr>
                <w:p w14:paraId="401AB021">
                  <w:pPr>
                    <w:keepLines w:val="0"/>
                    <w:pageBreakBefore w:val="0"/>
                    <w:widowControl/>
                    <w:topLinePunct w:val="0"/>
                    <w:autoSpaceDE w:val="0"/>
                    <w:bidi w:val="0"/>
                    <w:spacing w:beforeAutospacing="0" w:afterAutospacing="0" w:line="240" w:lineRule="auto"/>
                    <w:ind w:right="0" w:rightChars="0"/>
                    <w:jc w:val="center"/>
                    <w:rPr>
                      <w:rFonts w:hint="eastAsia"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5DF656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7" w:type="dxa"/>
                  <w:tcBorders>
                    <w:tl2br w:val="nil"/>
                    <w:tr2bl w:val="nil"/>
                  </w:tcBorders>
                  <w:vAlign w:val="center"/>
                </w:tcPr>
                <w:p w14:paraId="378CB287">
                  <w:pPr>
                    <w:keepLines w:val="0"/>
                    <w:pageBreakBefore w:val="0"/>
                    <w:widowControl/>
                    <w:topLinePunct w:val="0"/>
                    <w:autoSpaceDE w:val="0"/>
                    <w:bidi w:val="0"/>
                    <w:spacing w:beforeAutospacing="0" w:afterAutospacing="0" w:line="240" w:lineRule="auto"/>
                    <w:ind w:right="0" w:rightChars="0"/>
                    <w:jc w:val="center"/>
                    <w:rPr>
                      <w:rFonts w:hint="default"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3</w:t>
                  </w:r>
                </w:p>
              </w:tc>
              <w:tc>
                <w:tcPr>
                  <w:tcW w:w="3195" w:type="dxa"/>
                  <w:tcBorders>
                    <w:tl2br w:val="nil"/>
                    <w:tr2bl w:val="nil"/>
                  </w:tcBorders>
                  <w:vAlign w:val="center"/>
                </w:tcPr>
                <w:p w14:paraId="0FB2BAF6">
                  <w:pPr>
                    <w:keepLines w:val="0"/>
                    <w:pageBreakBefore w:val="0"/>
                    <w:widowControl/>
                    <w:topLinePunct w:val="0"/>
                    <w:autoSpaceDE w:val="0"/>
                    <w:bidi w:val="0"/>
                    <w:spacing w:beforeAutospacing="0" w:afterAutospacing="0" w:line="240" w:lineRule="auto"/>
                    <w:ind w:right="0" w:rightChars="0"/>
                    <w:jc w:val="center"/>
                    <w:rPr>
                      <w:rFonts w:hint="eastAsia"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报废机动车回收拆解企业应具集中的运营场地并实行封闭式规范管理</w:t>
                  </w:r>
                </w:p>
              </w:tc>
              <w:tc>
                <w:tcPr>
                  <w:tcW w:w="2970" w:type="dxa"/>
                  <w:tcBorders>
                    <w:tl2br w:val="nil"/>
                    <w:tr2bl w:val="nil"/>
                  </w:tcBorders>
                  <w:vAlign w:val="center"/>
                </w:tcPr>
                <w:p w14:paraId="3E0BF3D0">
                  <w:pPr>
                    <w:keepLines w:val="0"/>
                    <w:pageBreakBefore w:val="0"/>
                    <w:widowControl/>
                    <w:topLinePunct w:val="0"/>
                    <w:autoSpaceDE w:val="0"/>
                    <w:bidi w:val="0"/>
                    <w:spacing w:beforeAutospacing="0" w:afterAutospacing="0" w:line="240" w:lineRule="auto"/>
                    <w:ind w:right="0" w:rightChars="0"/>
                    <w:jc w:val="center"/>
                    <w:rPr>
                      <w:rFonts w:hint="eastAsia"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项目具备运营场地，实行封闭式规范管理。</w:t>
                  </w:r>
                </w:p>
              </w:tc>
              <w:tc>
                <w:tcPr>
                  <w:tcW w:w="892" w:type="dxa"/>
                  <w:tcBorders>
                    <w:tl2br w:val="nil"/>
                    <w:tr2bl w:val="nil"/>
                  </w:tcBorders>
                  <w:vAlign w:val="center"/>
                </w:tcPr>
                <w:p w14:paraId="463CB590">
                  <w:pPr>
                    <w:keepLines w:val="0"/>
                    <w:pageBreakBefore w:val="0"/>
                    <w:widowControl/>
                    <w:topLinePunct w:val="0"/>
                    <w:autoSpaceDE w:val="0"/>
                    <w:bidi w:val="0"/>
                    <w:spacing w:beforeAutospacing="0" w:afterAutospacing="0" w:line="240" w:lineRule="auto"/>
                    <w:ind w:right="0" w:rightChars="0"/>
                    <w:jc w:val="center"/>
                    <w:rPr>
                      <w:rFonts w:hint="eastAsia"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7C4948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7" w:type="dxa"/>
                  <w:tcBorders>
                    <w:tl2br w:val="nil"/>
                    <w:tr2bl w:val="nil"/>
                  </w:tcBorders>
                  <w:vAlign w:val="center"/>
                </w:tcPr>
                <w:p w14:paraId="41C3B10F">
                  <w:pPr>
                    <w:keepLines w:val="0"/>
                    <w:pageBreakBefore w:val="0"/>
                    <w:widowControl/>
                    <w:topLinePunct w:val="0"/>
                    <w:autoSpaceDE w:val="0"/>
                    <w:bidi w:val="0"/>
                    <w:spacing w:beforeAutospacing="0" w:afterAutospacing="0" w:line="240" w:lineRule="auto"/>
                    <w:ind w:right="0" w:rightChars="0"/>
                    <w:jc w:val="center"/>
                    <w:rPr>
                      <w:rFonts w:hint="default"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4</w:t>
                  </w:r>
                </w:p>
              </w:tc>
              <w:tc>
                <w:tcPr>
                  <w:tcW w:w="3195" w:type="dxa"/>
                  <w:tcBorders>
                    <w:tl2br w:val="nil"/>
                    <w:tr2bl w:val="nil"/>
                  </w:tcBorders>
                  <w:vAlign w:val="center"/>
                </w:tcPr>
                <w:p w14:paraId="7739E310">
                  <w:pPr>
                    <w:keepLines w:val="0"/>
                    <w:pageBreakBefore w:val="0"/>
                    <w:widowControl/>
                    <w:topLinePunct w:val="0"/>
                    <w:autoSpaceDE w:val="0"/>
                    <w:bidi w:val="0"/>
                    <w:spacing w:beforeAutospacing="0" w:afterAutospacing="0" w:line="240" w:lineRule="auto"/>
                    <w:ind w:right="0" w:rightChars="0"/>
                    <w:jc w:val="center"/>
                    <w:rPr>
                      <w:rFonts w:hint="eastAsia"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报废机动车回收拆解企业应根据HJ1034、HJ1200等规定取得排污许可证，并按照排污许可证管理要求进行规范排污。产生的废气、废水噪声、固体废物等排放应满足国家和地方的污染物排放标准与排污许可要求，产生的固体废物应按照国家有关环境保护规定和标准要求妥善贮存、利用和处置。</w:t>
                  </w:r>
                </w:p>
              </w:tc>
              <w:tc>
                <w:tcPr>
                  <w:tcW w:w="2970" w:type="dxa"/>
                  <w:tcBorders>
                    <w:tl2br w:val="nil"/>
                    <w:tr2bl w:val="nil"/>
                  </w:tcBorders>
                  <w:vAlign w:val="center"/>
                </w:tcPr>
                <w:p w14:paraId="5CBB2A11">
                  <w:pPr>
                    <w:keepLines w:val="0"/>
                    <w:pageBreakBefore w:val="0"/>
                    <w:widowControl/>
                    <w:topLinePunct w:val="0"/>
                    <w:autoSpaceDE w:val="0"/>
                    <w:bidi w:val="0"/>
                    <w:spacing w:beforeAutospacing="0" w:afterAutospacing="0" w:line="240" w:lineRule="auto"/>
                    <w:ind w:right="0" w:rightChars="0"/>
                    <w:jc w:val="center"/>
                    <w:rPr>
                      <w:rFonts w:hint="eastAsia"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采取措施后，项目产生的废气、废水、噪声、固体废物等排放应满足国家和地方的污染物排放标准与排污许可要求，产生的固体废物应按照国家有关环境保护规定和标准要求妥善贮存，利用和处置。</w:t>
                  </w:r>
                </w:p>
              </w:tc>
              <w:tc>
                <w:tcPr>
                  <w:tcW w:w="892" w:type="dxa"/>
                  <w:tcBorders>
                    <w:tl2br w:val="nil"/>
                    <w:tr2bl w:val="nil"/>
                  </w:tcBorders>
                  <w:vAlign w:val="center"/>
                </w:tcPr>
                <w:p w14:paraId="6533AA67">
                  <w:pPr>
                    <w:keepLines w:val="0"/>
                    <w:pageBreakBefore w:val="0"/>
                    <w:widowControl/>
                    <w:topLinePunct w:val="0"/>
                    <w:autoSpaceDE w:val="0"/>
                    <w:bidi w:val="0"/>
                    <w:spacing w:beforeAutospacing="0" w:afterAutospacing="0" w:line="240" w:lineRule="auto"/>
                    <w:ind w:right="0" w:rightChars="0"/>
                    <w:jc w:val="center"/>
                    <w:rPr>
                      <w:rFonts w:hint="eastAsia"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66229E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7" w:type="dxa"/>
                  <w:tcBorders>
                    <w:tl2br w:val="nil"/>
                    <w:tr2bl w:val="nil"/>
                  </w:tcBorders>
                  <w:vAlign w:val="center"/>
                </w:tcPr>
                <w:p w14:paraId="1F3B57AC">
                  <w:pPr>
                    <w:keepLines w:val="0"/>
                    <w:pageBreakBefore w:val="0"/>
                    <w:widowControl/>
                    <w:topLinePunct w:val="0"/>
                    <w:autoSpaceDE w:val="0"/>
                    <w:bidi w:val="0"/>
                    <w:spacing w:beforeAutospacing="0" w:afterAutospacing="0" w:line="240" w:lineRule="auto"/>
                    <w:ind w:right="0" w:rightChars="0"/>
                    <w:jc w:val="center"/>
                    <w:rPr>
                      <w:rFonts w:hint="default"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5</w:t>
                  </w:r>
                </w:p>
              </w:tc>
              <w:tc>
                <w:tcPr>
                  <w:tcW w:w="3195" w:type="dxa"/>
                  <w:tcBorders>
                    <w:tl2br w:val="nil"/>
                    <w:tr2bl w:val="nil"/>
                  </w:tcBorders>
                  <w:vAlign w:val="center"/>
                </w:tcPr>
                <w:p w14:paraId="12E34C14">
                  <w:pPr>
                    <w:keepLines w:val="0"/>
                    <w:pageBreakBefore w:val="0"/>
                    <w:widowControl/>
                    <w:topLinePunct w:val="0"/>
                    <w:autoSpaceDE w:val="0"/>
                    <w:bidi w:val="0"/>
                    <w:spacing w:beforeAutospacing="0" w:afterAutospacing="0" w:line="240" w:lineRule="auto"/>
                    <w:ind w:right="0" w:rightChars="0"/>
                    <w:jc w:val="center"/>
                    <w:rPr>
                      <w:rFonts w:hint="eastAsia"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报废机动车回收拆解企业应依照《报废机动车回收管理办法实施细则》等相关要求向机动车生产企业获取报废机动车拆解指导手册等相关技术信息，依规开展报废机动车拆解工作。</w:t>
                  </w:r>
                </w:p>
              </w:tc>
              <w:tc>
                <w:tcPr>
                  <w:tcW w:w="2970" w:type="dxa"/>
                  <w:tcBorders>
                    <w:tl2br w:val="nil"/>
                    <w:tr2bl w:val="nil"/>
                  </w:tcBorders>
                  <w:vAlign w:val="center"/>
                </w:tcPr>
                <w:p w14:paraId="36B0B018">
                  <w:pPr>
                    <w:keepLines w:val="0"/>
                    <w:pageBreakBefore w:val="0"/>
                    <w:widowControl/>
                    <w:topLinePunct w:val="0"/>
                    <w:autoSpaceDE w:val="0"/>
                    <w:bidi w:val="0"/>
                    <w:spacing w:beforeAutospacing="0" w:afterAutospacing="0" w:line="240" w:lineRule="auto"/>
                    <w:ind w:right="0" w:rightChars="0"/>
                    <w:jc w:val="center"/>
                    <w:rPr>
                      <w:rFonts w:hint="eastAsia"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项目属于农机拆解，不适用《报废机动车回收管理办法实施细则》。</w:t>
                  </w:r>
                </w:p>
              </w:tc>
              <w:tc>
                <w:tcPr>
                  <w:tcW w:w="892" w:type="dxa"/>
                  <w:tcBorders>
                    <w:tl2br w:val="nil"/>
                    <w:tr2bl w:val="nil"/>
                  </w:tcBorders>
                  <w:vAlign w:val="center"/>
                </w:tcPr>
                <w:p w14:paraId="5556BA97">
                  <w:pPr>
                    <w:keepLines w:val="0"/>
                    <w:pageBreakBefore w:val="0"/>
                    <w:widowControl/>
                    <w:topLinePunct w:val="0"/>
                    <w:autoSpaceDE w:val="0"/>
                    <w:bidi w:val="0"/>
                    <w:spacing w:beforeAutospacing="0" w:afterAutospacing="0" w:line="240" w:lineRule="auto"/>
                    <w:ind w:right="0" w:rightChars="0"/>
                    <w:jc w:val="center"/>
                    <w:rPr>
                      <w:rFonts w:hint="eastAsia"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0085C4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7" w:type="dxa"/>
                  <w:tcBorders>
                    <w:tl2br w:val="nil"/>
                    <w:tr2bl w:val="nil"/>
                  </w:tcBorders>
                  <w:vAlign w:val="center"/>
                </w:tcPr>
                <w:p w14:paraId="4E097D98">
                  <w:pPr>
                    <w:keepLines w:val="0"/>
                    <w:pageBreakBefore w:val="0"/>
                    <w:widowControl/>
                    <w:topLinePunct w:val="0"/>
                    <w:autoSpaceDE w:val="0"/>
                    <w:bidi w:val="0"/>
                    <w:spacing w:beforeAutospacing="0" w:afterAutospacing="0" w:line="240" w:lineRule="auto"/>
                    <w:ind w:right="0" w:rightChars="0"/>
                    <w:jc w:val="center"/>
                    <w:rPr>
                      <w:rFonts w:hint="default"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6</w:t>
                  </w:r>
                </w:p>
              </w:tc>
              <w:tc>
                <w:tcPr>
                  <w:tcW w:w="3195" w:type="dxa"/>
                  <w:tcBorders>
                    <w:tl2br w:val="nil"/>
                    <w:tr2bl w:val="nil"/>
                  </w:tcBorders>
                  <w:vAlign w:val="center"/>
                </w:tcPr>
                <w:p w14:paraId="64DC3E6E">
                  <w:pPr>
                    <w:keepLines w:val="0"/>
                    <w:pageBreakBefore w:val="0"/>
                    <w:widowControl/>
                    <w:topLinePunct w:val="0"/>
                    <w:autoSpaceDE w:val="0"/>
                    <w:bidi w:val="0"/>
                    <w:spacing w:beforeAutospacing="0" w:afterAutospacing="0" w:line="240" w:lineRule="auto"/>
                    <w:ind w:right="0" w:rightChars="0"/>
                    <w:jc w:val="center"/>
                    <w:rPr>
                      <w:rFonts w:hint="eastAsia"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报废机动车回收拆解企业应依据GB22128等相关规定开展拆解作业。不应露天拆解报废机动车，拆解产物不应露天堆放，不应对大气、土壤、地表水和地下水造成污染。</w:t>
                  </w:r>
                </w:p>
              </w:tc>
              <w:tc>
                <w:tcPr>
                  <w:tcW w:w="2970" w:type="dxa"/>
                  <w:tcBorders>
                    <w:tl2br w:val="nil"/>
                    <w:tr2bl w:val="nil"/>
                  </w:tcBorders>
                  <w:vAlign w:val="center"/>
                </w:tcPr>
                <w:p w14:paraId="05D31111">
                  <w:pPr>
                    <w:keepLines w:val="0"/>
                    <w:pageBreakBefore w:val="0"/>
                    <w:widowControl/>
                    <w:topLinePunct w:val="0"/>
                    <w:autoSpaceDE w:val="0"/>
                    <w:bidi w:val="0"/>
                    <w:spacing w:beforeAutospacing="0" w:afterAutospacing="0" w:line="240" w:lineRule="auto"/>
                    <w:ind w:right="0" w:rightChars="0"/>
                    <w:jc w:val="center"/>
                    <w:rPr>
                      <w:rFonts w:hint="eastAsia"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项目不露天拆解报废机动车及拆解产物，不会对大气、土壤、地表水和地下水造成污染。</w:t>
                  </w:r>
                </w:p>
              </w:tc>
              <w:tc>
                <w:tcPr>
                  <w:tcW w:w="892" w:type="dxa"/>
                  <w:tcBorders>
                    <w:tl2br w:val="nil"/>
                    <w:tr2bl w:val="nil"/>
                  </w:tcBorders>
                  <w:vAlign w:val="center"/>
                </w:tcPr>
                <w:p w14:paraId="58C16391">
                  <w:pPr>
                    <w:keepLines w:val="0"/>
                    <w:pageBreakBefore w:val="0"/>
                    <w:widowControl/>
                    <w:topLinePunct w:val="0"/>
                    <w:autoSpaceDE w:val="0"/>
                    <w:bidi w:val="0"/>
                    <w:spacing w:beforeAutospacing="0" w:afterAutospacing="0" w:line="240" w:lineRule="auto"/>
                    <w:ind w:right="0" w:rightChars="0"/>
                    <w:jc w:val="center"/>
                    <w:rPr>
                      <w:rFonts w:hint="eastAsia"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28939F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7" w:type="dxa"/>
                  <w:tcBorders>
                    <w:tl2br w:val="nil"/>
                    <w:tr2bl w:val="nil"/>
                  </w:tcBorders>
                  <w:vAlign w:val="center"/>
                </w:tcPr>
                <w:p w14:paraId="099D1DBA">
                  <w:pPr>
                    <w:keepLines w:val="0"/>
                    <w:pageBreakBefore w:val="0"/>
                    <w:widowControl/>
                    <w:topLinePunct w:val="0"/>
                    <w:autoSpaceDE w:val="0"/>
                    <w:bidi w:val="0"/>
                    <w:spacing w:beforeAutospacing="0" w:afterAutospacing="0" w:line="240" w:lineRule="auto"/>
                    <w:ind w:right="0" w:rightChars="0"/>
                    <w:jc w:val="center"/>
                    <w:rPr>
                      <w:rFonts w:hint="default"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7</w:t>
                  </w:r>
                </w:p>
              </w:tc>
              <w:tc>
                <w:tcPr>
                  <w:tcW w:w="3195" w:type="dxa"/>
                  <w:tcBorders>
                    <w:tl2br w:val="nil"/>
                    <w:tr2bl w:val="nil"/>
                  </w:tcBorders>
                  <w:vAlign w:val="center"/>
                </w:tcPr>
                <w:p w14:paraId="005A557F">
                  <w:pPr>
                    <w:keepLines w:val="0"/>
                    <w:pageBreakBefore w:val="0"/>
                    <w:widowControl/>
                    <w:topLinePunct w:val="0"/>
                    <w:autoSpaceDE w:val="0"/>
                    <w:bidi w:val="0"/>
                    <w:spacing w:beforeAutospacing="0" w:afterAutospacing="0" w:line="240" w:lineRule="auto"/>
                    <w:ind w:right="0" w:rightChars="0"/>
                    <w:jc w:val="center"/>
                    <w:rPr>
                      <w:rFonts w:hint="eastAsia"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报废机动车回收拆解企业应具备与生产规模相匹配的环境保护设施，环境保护设施的设计、施工与运行应遵守“三同时”环境管理制度。</w:t>
                  </w:r>
                </w:p>
              </w:tc>
              <w:tc>
                <w:tcPr>
                  <w:tcW w:w="2970" w:type="dxa"/>
                  <w:tcBorders>
                    <w:tl2br w:val="nil"/>
                    <w:tr2bl w:val="nil"/>
                  </w:tcBorders>
                  <w:vAlign w:val="center"/>
                </w:tcPr>
                <w:p w14:paraId="2CD0D0E5">
                  <w:pPr>
                    <w:keepLines w:val="0"/>
                    <w:pageBreakBefore w:val="0"/>
                    <w:widowControl/>
                    <w:topLinePunct w:val="0"/>
                    <w:autoSpaceDE w:val="0"/>
                    <w:bidi w:val="0"/>
                    <w:spacing w:beforeAutospacing="0" w:afterAutospacing="0" w:line="240" w:lineRule="auto"/>
                    <w:ind w:right="0" w:rightChars="0"/>
                    <w:jc w:val="center"/>
                    <w:rPr>
                      <w:rFonts w:hint="eastAsia"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企业应具备与生产规模相匹配的环境保护设施，遵守“三同时”环境管理制度</w:t>
                  </w:r>
                </w:p>
              </w:tc>
              <w:tc>
                <w:tcPr>
                  <w:tcW w:w="892" w:type="dxa"/>
                  <w:tcBorders>
                    <w:tl2br w:val="nil"/>
                    <w:tr2bl w:val="nil"/>
                  </w:tcBorders>
                  <w:vAlign w:val="center"/>
                </w:tcPr>
                <w:p w14:paraId="13F2CDC6">
                  <w:pPr>
                    <w:keepLines w:val="0"/>
                    <w:pageBreakBefore w:val="0"/>
                    <w:widowControl/>
                    <w:topLinePunct w:val="0"/>
                    <w:autoSpaceDE w:val="0"/>
                    <w:bidi w:val="0"/>
                    <w:spacing w:beforeAutospacing="0" w:afterAutospacing="0" w:line="240" w:lineRule="auto"/>
                    <w:ind w:right="0" w:rightChars="0"/>
                    <w:jc w:val="center"/>
                    <w:rPr>
                      <w:rFonts w:hint="eastAsia"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bl>
          <w:p w14:paraId="673739C6">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7</w:t>
            </w:r>
            <w:r>
              <w:rPr>
                <w:rFonts w:hint="eastAsia" w:ascii="Times New Roman" w:hAnsi="Times New Roman" w:eastAsia="宋体" w:cs="Times New Roman"/>
                <w:color w:val="auto"/>
                <w:kern w:val="0"/>
                <w:sz w:val="24"/>
                <w:szCs w:val="24"/>
                <w:highlight w:val="none"/>
                <w:lang w:val="en-US" w:eastAsia="zh-CN" w:bidi="ar-SA"/>
              </w:rPr>
              <w:t>、与《报废机动车回收拆解企业技术规范》（</w:t>
            </w:r>
            <w:r>
              <w:rPr>
                <w:rFonts w:hint="default" w:ascii="Times New Roman" w:hAnsi="Times New Roman" w:eastAsia="宋体" w:cs="Times New Roman"/>
                <w:color w:val="auto"/>
                <w:kern w:val="0"/>
                <w:sz w:val="24"/>
                <w:szCs w:val="24"/>
                <w:highlight w:val="none"/>
                <w:lang w:val="en-US" w:eastAsia="zh-CN" w:bidi="ar-SA"/>
              </w:rPr>
              <w:t>GB22128-2019</w:t>
            </w:r>
            <w:r>
              <w:rPr>
                <w:rFonts w:hint="eastAsia" w:ascii="Times New Roman" w:hAnsi="Times New Roman" w:eastAsia="宋体" w:cs="Times New Roman"/>
                <w:color w:val="auto"/>
                <w:kern w:val="0"/>
                <w:sz w:val="24"/>
                <w:szCs w:val="24"/>
                <w:highlight w:val="none"/>
                <w:lang w:val="en-US" w:eastAsia="zh-CN" w:bidi="ar-SA"/>
              </w:rPr>
              <w:t>）的符合性分析</w:t>
            </w:r>
          </w:p>
          <w:p w14:paraId="151316DC">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根据《报废机动车回收拆解企业技术规范》（GB22128-2019）前言中要求，该标准的第4.2.1a）条、第4.2.1b）条、第4.2.3条、第4.2.4条，第4.2.6条、第4.2.7条、第4.3.1b）条、第4.3.1c）条、第4.3.2 条、第4.3.3条、第4.3.6条、第4.4条、第4.5.1b）条、第4.6条、第4.7 条、第5章、第6.1条、第6.2条、第6.4条、第7.1.3条、第7.2.1条、第7.3.2条、第8章为强制性的，其余为推荐性的，因此本次评价针对强制性条款进行分析，与其符合性分析见下表。</w:t>
            </w:r>
          </w:p>
          <w:p w14:paraId="46C98C53">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default"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本项目</w:t>
            </w:r>
            <w:r>
              <w:rPr>
                <w:rFonts w:hint="default" w:cs="Times New Roman"/>
                <w:color w:val="auto"/>
                <w:kern w:val="0"/>
                <w:sz w:val="24"/>
                <w:szCs w:val="24"/>
                <w:highlight w:val="none"/>
                <w:lang w:val="en-US" w:eastAsia="zh-CN" w:bidi="ar-SA"/>
              </w:rPr>
              <w:t>与</w:t>
            </w:r>
            <w:r>
              <w:rPr>
                <w:rFonts w:hint="default" w:ascii="Times New Roman" w:hAnsi="Times New Roman" w:eastAsia="宋体" w:cs="Times New Roman"/>
                <w:color w:val="auto"/>
                <w:kern w:val="0"/>
                <w:sz w:val="24"/>
                <w:szCs w:val="24"/>
                <w:highlight w:val="none"/>
                <w:lang w:val="en-US" w:eastAsia="zh-CN" w:bidi="ar-SA"/>
              </w:rPr>
              <w:t>《报废机动车回收拆解企业技术规范》（GB22128-2019）</w:t>
            </w:r>
            <w:r>
              <w:rPr>
                <w:rFonts w:hint="default" w:cs="Times New Roman"/>
                <w:color w:val="auto"/>
                <w:kern w:val="0"/>
                <w:sz w:val="24"/>
                <w:szCs w:val="24"/>
                <w:highlight w:val="none"/>
                <w:lang w:val="en-US" w:eastAsia="zh-CN" w:bidi="ar-SA"/>
              </w:rPr>
              <w:t>的符合性</w:t>
            </w:r>
            <w:r>
              <w:rPr>
                <w:rFonts w:hint="eastAsia" w:cs="Times New Roman"/>
                <w:color w:val="auto"/>
                <w:kern w:val="0"/>
                <w:sz w:val="24"/>
                <w:szCs w:val="24"/>
                <w:highlight w:val="none"/>
                <w:lang w:val="en-US" w:eastAsia="zh-CN" w:bidi="ar-SA"/>
              </w:rPr>
              <w:t>见表1-5。</w:t>
            </w:r>
          </w:p>
          <w:p w14:paraId="1C3CFF36">
            <w:pPr>
              <w:widowControl/>
              <w:jc w:val="center"/>
              <w:rPr>
                <w:rFonts w:hint="default" w:ascii="Times New Roman" w:hAnsi="Times New Roman" w:eastAsia="宋体" w:cs="Times New Roman"/>
                <w:color w:val="auto"/>
                <w:kern w:val="0"/>
                <w:sz w:val="24"/>
                <w:szCs w:val="24"/>
                <w:highlight w:val="none"/>
                <w:lang w:val="en-US" w:eastAsia="zh-CN" w:bidi="ar-SA"/>
              </w:rPr>
            </w:pPr>
            <w:r>
              <w:rPr>
                <w:rFonts w:hint="eastAsia"/>
                <w:b/>
                <w:bCs/>
                <w:color w:val="auto"/>
                <w:kern w:val="0"/>
                <w:szCs w:val="21"/>
                <w:lang w:bidi="ar"/>
              </w:rPr>
              <w:t>表1-</w:t>
            </w:r>
            <w:r>
              <w:rPr>
                <w:rFonts w:hint="eastAsia"/>
                <w:b/>
                <w:bCs/>
                <w:color w:val="auto"/>
                <w:kern w:val="0"/>
                <w:szCs w:val="21"/>
                <w:lang w:val="en-US" w:eastAsia="zh-CN" w:bidi="ar"/>
              </w:rPr>
              <w:t>5</w:t>
            </w:r>
            <w:r>
              <w:rPr>
                <w:rFonts w:hint="eastAsia"/>
                <w:b/>
                <w:bCs/>
                <w:color w:val="auto"/>
                <w:kern w:val="0"/>
                <w:szCs w:val="21"/>
                <w:lang w:bidi="ar"/>
              </w:rPr>
              <w:t xml:space="preserve">  </w:t>
            </w:r>
            <w:r>
              <w:rPr>
                <w:rFonts w:hint="eastAsia"/>
                <w:b/>
                <w:bCs/>
                <w:color w:val="auto"/>
                <w:kern w:val="0"/>
                <w:szCs w:val="21"/>
                <w:lang w:val="en-US" w:eastAsia="zh-CN" w:bidi="ar"/>
              </w:rPr>
              <w:t>与</w:t>
            </w:r>
            <w:r>
              <w:rPr>
                <w:rFonts w:hint="default"/>
                <w:b/>
                <w:bCs/>
                <w:color w:val="auto"/>
                <w:kern w:val="0"/>
                <w:szCs w:val="21"/>
                <w:lang w:val="en-US" w:eastAsia="zh-CN" w:bidi="ar"/>
              </w:rPr>
              <w:t>《报废机动车回收拆解企业技术规范》</w:t>
            </w:r>
            <w:r>
              <w:rPr>
                <w:rFonts w:hint="eastAsia"/>
                <w:b/>
                <w:bCs/>
                <w:color w:val="auto"/>
                <w:kern w:val="0"/>
                <w:szCs w:val="21"/>
                <w:lang w:bidi="ar"/>
              </w:rPr>
              <w:t>符合性分析</w:t>
            </w:r>
            <w:r>
              <w:rPr>
                <w:rFonts w:hint="eastAsia"/>
                <w:b/>
                <w:bCs/>
                <w:color w:val="auto"/>
                <w:kern w:val="0"/>
                <w:szCs w:val="21"/>
                <w:lang w:val="en-US" w:eastAsia="zh-CN" w:bidi="ar"/>
              </w:rPr>
              <w:t>一览表</w:t>
            </w:r>
          </w:p>
          <w:tbl>
            <w:tblPr>
              <w:tblStyle w:val="32"/>
              <w:tblW w:w="7724"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1"/>
              <w:gridCol w:w="3235"/>
              <w:gridCol w:w="2810"/>
              <w:gridCol w:w="948"/>
            </w:tblGrid>
            <w:tr w14:paraId="442A2D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1" w:type="dxa"/>
                  <w:tcBorders>
                    <w:tl2br w:val="nil"/>
                    <w:tr2bl w:val="nil"/>
                  </w:tcBorders>
                  <w:vAlign w:val="center"/>
                </w:tcPr>
                <w:p w14:paraId="5290AF43">
                  <w:pPr>
                    <w:keepLines w:val="0"/>
                    <w:pageBreakBefore w:val="0"/>
                    <w:widowControl/>
                    <w:topLinePunct w:val="0"/>
                    <w:autoSpaceDE w:val="0"/>
                    <w:bidi w:val="0"/>
                    <w:spacing w:beforeAutospacing="0" w:afterAutospacing="0" w:line="240" w:lineRule="auto"/>
                    <w:ind w:right="0" w:rightChars="0"/>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序号</w:t>
                  </w:r>
                </w:p>
              </w:tc>
              <w:tc>
                <w:tcPr>
                  <w:tcW w:w="3235" w:type="dxa"/>
                  <w:tcBorders>
                    <w:tl2br w:val="nil"/>
                    <w:tr2bl w:val="nil"/>
                  </w:tcBorders>
                  <w:vAlign w:val="center"/>
                </w:tcPr>
                <w:p w14:paraId="75F69FAF">
                  <w:pPr>
                    <w:keepLines w:val="0"/>
                    <w:pageBreakBefore w:val="0"/>
                    <w:widowControl/>
                    <w:topLinePunct w:val="0"/>
                    <w:autoSpaceDE w:val="0"/>
                    <w:bidi w:val="0"/>
                    <w:spacing w:beforeAutospacing="0" w:afterAutospacing="0" w:line="240" w:lineRule="auto"/>
                    <w:ind w:right="0" w:rightChars="0"/>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规范要求（节选）</w:t>
                  </w:r>
                </w:p>
              </w:tc>
              <w:tc>
                <w:tcPr>
                  <w:tcW w:w="2810" w:type="dxa"/>
                  <w:tcBorders>
                    <w:tl2br w:val="nil"/>
                    <w:tr2bl w:val="nil"/>
                  </w:tcBorders>
                  <w:vAlign w:val="center"/>
                </w:tcPr>
                <w:p w14:paraId="733E8987">
                  <w:pPr>
                    <w:keepLines w:val="0"/>
                    <w:pageBreakBefore w:val="0"/>
                    <w:widowControl/>
                    <w:topLinePunct w:val="0"/>
                    <w:autoSpaceDE w:val="0"/>
                    <w:bidi w:val="0"/>
                    <w:spacing w:beforeAutospacing="0" w:afterAutospacing="0" w:line="240" w:lineRule="auto"/>
                    <w:ind w:right="0" w:rightChars="0"/>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本项目</w:t>
                  </w:r>
                </w:p>
              </w:tc>
              <w:tc>
                <w:tcPr>
                  <w:tcW w:w="948" w:type="dxa"/>
                  <w:tcBorders>
                    <w:tl2br w:val="nil"/>
                    <w:tr2bl w:val="nil"/>
                  </w:tcBorders>
                  <w:vAlign w:val="center"/>
                </w:tcPr>
                <w:p w14:paraId="6936B947">
                  <w:pPr>
                    <w:keepLines w:val="0"/>
                    <w:pageBreakBefore w:val="0"/>
                    <w:widowControl/>
                    <w:topLinePunct w:val="0"/>
                    <w:autoSpaceDE w:val="0"/>
                    <w:bidi w:val="0"/>
                    <w:spacing w:beforeAutospacing="0" w:afterAutospacing="0" w:line="240" w:lineRule="auto"/>
                    <w:ind w:right="0" w:rightChars="0"/>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符合性</w:t>
                  </w:r>
                </w:p>
              </w:tc>
            </w:tr>
            <w:tr w14:paraId="14314E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1" w:type="dxa"/>
                  <w:tcBorders>
                    <w:tl2br w:val="nil"/>
                    <w:tr2bl w:val="nil"/>
                  </w:tcBorders>
                  <w:vAlign w:val="center"/>
                </w:tcPr>
                <w:p w14:paraId="7CBF84A9">
                  <w:pPr>
                    <w:keepLines w:val="0"/>
                    <w:pageBreakBefore w:val="0"/>
                    <w:widowControl/>
                    <w:topLinePunct w:val="0"/>
                    <w:autoSpaceDE w:val="0"/>
                    <w:bidi w:val="0"/>
                    <w:spacing w:beforeAutospacing="0" w:afterAutospacing="0" w:line="240" w:lineRule="auto"/>
                    <w:ind w:right="0" w:rightChars="0"/>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1</w:t>
                  </w:r>
                </w:p>
              </w:tc>
              <w:tc>
                <w:tcPr>
                  <w:tcW w:w="3235" w:type="dxa"/>
                  <w:tcBorders>
                    <w:tl2br w:val="nil"/>
                    <w:tr2bl w:val="nil"/>
                  </w:tcBorders>
                  <w:vAlign w:val="center"/>
                </w:tcPr>
                <w:p w14:paraId="47FA7F43">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企业建设项目选址应满足</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a符合所在地城市总体规划或国土空间规划</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b符合GB50187、HJ348的选址要求，不得建在城市居民区、商业区、饮用水水源保护区及其他环境敏感区内，且避开受环境威胁的地带、地段和地区</w:t>
                  </w:r>
                  <w:r>
                    <w:rPr>
                      <w:rFonts w:hint="eastAsia" w:cs="Times New Roman"/>
                      <w:color w:val="auto"/>
                      <w:kern w:val="0"/>
                      <w:sz w:val="21"/>
                      <w:szCs w:val="21"/>
                      <w:highlight w:val="none"/>
                      <w:vertAlign w:val="baseline"/>
                      <w:lang w:val="en-US" w:eastAsia="zh-CN" w:bidi="ar-SA"/>
                    </w:rPr>
                    <w:t>。</w:t>
                  </w:r>
                </w:p>
              </w:tc>
              <w:tc>
                <w:tcPr>
                  <w:tcW w:w="2810" w:type="dxa"/>
                  <w:tcBorders>
                    <w:tl2br w:val="nil"/>
                    <w:tr2bl w:val="nil"/>
                  </w:tcBorders>
                  <w:vAlign w:val="center"/>
                </w:tcPr>
                <w:p w14:paraId="06495A02">
                  <w:pPr>
                    <w:keepLines w:val="0"/>
                    <w:pageBreakBefore w:val="0"/>
                    <w:widowControl/>
                    <w:topLinePunct w:val="0"/>
                    <w:autoSpaceDE w:val="0"/>
                    <w:bidi w:val="0"/>
                    <w:spacing w:beforeAutospacing="0" w:afterAutospacing="0" w:line="240" w:lineRule="auto"/>
                    <w:ind w:right="0" w:rightChars="0"/>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本项目选址位于黑龙江省鸡西市鸡冠区梁家村六组，用地性质属于工业用地，符合GB50187、HJ348的选址要求，本项目选址不属于商业区、饮用水水源保护区及其他环境敏感区内，且避开了受环境威胁的地带、地段和地区，本项目车间产生的废气经布袋除尘器+活性炭吸附装置处理后可达标排放，本项目建成后初期雨水收集后经</w:t>
                  </w:r>
                  <w:r>
                    <w:rPr>
                      <w:rFonts w:hint="eastAsia" w:cs="Times New Roman"/>
                      <w:color w:val="auto"/>
                      <w:kern w:val="0"/>
                      <w:sz w:val="21"/>
                      <w:szCs w:val="21"/>
                      <w:highlight w:val="none"/>
                      <w:vertAlign w:val="baseline"/>
                      <w:lang w:val="en-US" w:eastAsia="zh-CN" w:bidi="ar-SA"/>
                    </w:rPr>
                    <w:t>油水分离装置</w:t>
                  </w:r>
                  <w:r>
                    <w:rPr>
                      <w:rFonts w:hint="eastAsia" w:ascii="Times New Roman" w:hAnsi="Times New Roman" w:eastAsia="宋体" w:cs="Times New Roman"/>
                      <w:color w:val="auto"/>
                      <w:kern w:val="0"/>
                      <w:sz w:val="21"/>
                      <w:szCs w:val="21"/>
                      <w:highlight w:val="none"/>
                      <w:vertAlign w:val="baseline"/>
                      <w:lang w:val="en-US" w:eastAsia="zh-CN" w:bidi="ar-SA"/>
                    </w:rPr>
                    <w:t>处理后，和锅炉排污水、软化水制备废水及生活污水一同排入市政管网，送入鸡西市鸡冠区污水处理厂。</w:t>
                  </w:r>
                  <w:r>
                    <w:rPr>
                      <w:rFonts w:hint="default" w:eastAsia="宋体"/>
                      <w:color w:val="auto"/>
                      <w:szCs w:val="21"/>
                      <w:highlight w:val="none"/>
                    </w:rPr>
                    <w:t>本项目建成后，选用低噪声设备，通过减振、隔声、降</w:t>
                  </w:r>
                  <w:r>
                    <w:rPr>
                      <w:rFonts w:hint="default" w:ascii="Times New Roman" w:hAnsi="Times New Roman" w:eastAsia="宋体" w:cs="Times New Roman"/>
                      <w:color w:val="auto"/>
                      <w:kern w:val="0"/>
                      <w:sz w:val="21"/>
                      <w:szCs w:val="21"/>
                      <w:highlight w:val="none"/>
                      <w:vertAlign w:val="baseline"/>
                      <w:lang w:val="en-US" w:eastAsia="zh-CN" w:bidi="ar-SA"/>
                    </w:rPr>
                    <w:t>噪、加强管理和设备合理布局等措施</w:t>
                  </w:r>
                  <w:r>
                    <w:rPr>
                      <w:rFonts w:hint="eastAsia" w:ascii="Times New Roman" w:hAnsi="Times New Roman" w:eastAsia="宋体" w:cs="Times New Roman"/>
                      <w:color w:val="auto"/>
                      <w:kern w:val="0"/>
                      <w:sz w:val="21"/>
                      <w:szCs w:val="21"/>
                      <w:highlight w:val="none"/>
                      <w:vertAlign w:val="baseline"/>
                      <w:lang w:val="en-US" w:eastAsia="zh-CN" w:bidi="ar-SA"/>
                    </w:rPr>
                    <w:t>。本项目固体废物处理率可达100%。</w:t>
                  </w:r>
                  <w:r>
                    <w:rPr>
                      <w:rFonts w:hint="default" w:ascii="Times New Roman" w:hAnsi="Times New Roman" w:eastAsia="宋体" w:cs="Times New Roman"/>
                      <w:color w:val="auto"/>
                      <w:kern w:val="0"/>
                      <w:sz w:val="21"/>
                      <w:szCs w:val="21"/>
                      <w:highlight w:val="none"/>
                      <w:vertAlign w:val="baseline"/>
                      <w:lang w:val="en-US" w:eastAsia="zh-CN" w:bidi="ar-SA"/>
                    </w:rPr>
                    <w:t>通过严格落实本项目提出的各项污染物防治措施，本项目各项污染物均能达标排放，</w:t>
                  </w:r>
                  <w:r>
                    <w:rPr>
                      <w:rFonts w:hint="eastAsia" w:cs="Times New Roman"/>
                      <w:color w:val="auto"/>
                      <w:kern w:val="0"/>
                      <w:sz w:val="21"/>
                      <w:szCs w:val="21"/>
                      <w:highlight w:val="none"/>
                      <w:vertAlign w:val="baseline"/>
                      <w:lang w:val="en-US" w:eastAsia="zh-CN" w:bidi="ar-SA"/>
                    </w:rPr>
                    <w:t>对周边居民区影响较小。</w:t>
                  </w:r>
                </w:p>
              </w:tc>
              <w:tc>
                <w:tcPr>
                  <w:tcW w:w="948" w:type="dxa"/>
                  <w:tcBorders>
                    <w:tl2br w:val="nil"/>
                    <w:tr2bl w:val="nil"/>
                  </w:tcBorders>
                  <w:vAlign w:val="center"/>
                </w:tcPr>
                <w:p w14:paraId="54B5227C">
                  <w:pPr>
                    <w:keepLines w:val="0"/>
                    <w:pageBreakBefore w:val="0"/>
                    <w:widowControl/>
                    <w:topLinePunct w:val="0"/>
                    <w:autoSpaceDE w:val="0"/>
                    <w:bidi w:val="0"/>
                    <w:spacing w:beforeAutospacing="0" w:afterAutospacing="0" w:line="240" w:lineRule="auto"/>
                    <w:ind w:right="0" w:rightChars="0"/>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42F625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1" w:type="dxa"/>
                  <w:tcBorders>
                    <w:tl2br w:val="nil"/>
                    <w:tr2bl w:val="nil"/>
                  </w:tcBorders>
                  <w:vAlign w:val="center"/>
                </w:tcPr>
                <w:p w14:paraId="0CAC028A">
                  <w:pPr>
                    <w:keepLines w:val="0"/>
                    <w:pageBreakBefore w:val="0"/>
                    <w:widowControl/>
                    <w:topLinePunct w:val="0"/>
                    <w:autoSpaceDE w:val="0"/>
                    <w:bidi w:val="0"/>
                    <w:spacing w:beforeAutospacing="0" w:afterAutospacing="0" w:line="240" w:lineRule="auto"/>
                    <w:ind w:right="0" w:rightChars="0"/>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2</w:t>
                  </w:r>
                </w:p>
              </w:tc>
              <w:tc>
                <w:tcPr>
                  <w:tcW w:w="3235" w:type="dxa"/>
                  <w:tcBorders>
                    <w:tl2br w:val="nil"/>
                    <w:tr2bl w:val="nil"/>
                  </w:tcBorders>
                  <w:vAlign w:val="center"/>
                </w:tcPr>
                <w:p w14:paraId="07900C28">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企业应严格执行《工业项目建设用地控制指标》建设用地标准，且场地建设符合HJ348的企业建设环境保护要求。</w:t>
                  </w:r>
                </w:p>
              </w:tc>
              <w:tc>
                <w:tcPr>
                  <w:tcW w:w="2810" w:type="dxa"/>
                  <w:tcBorders>
                    <w:tl2br w:val="nil"/>
                    <w:tr2bl w:val="nil"/>
                  </w:tcBorders>
                  <w:vAlign w:val="center"/>
                </w:tcPr>
                <w:p w14:paraId="2F770FDE">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项目执行《工业项目建设用地控制指标》建设用地标准，且场地建设符合HJ348的企业建设环境保护要求。</w:t>
                  </w:r>
                </w:p>
              </w:tc>
              <w:tc>
                <w:tcPr>
                  <w:tcW w:w="948" w:type="dxa"/>
                  <w:tcBorders>
                    <w:tl2br w:val="nil"/>
                    <w:tr2bl w:val="nil"/>
                  </w:tcBorders>
                  <w:vAlign w:val="center"/>
                </w:tcPr>
                <w:p w14:paraId="7BA617BB">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192CDD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1" w:type="dxa"/>
                  <w:tcBorders>
                    <w:tl2br w:val="nil"/>
                    <w:tr2bl w:val="nil"/>
                  </w:tcBorders>
                  <w:vAlign w:val="center"/>
                </w:tcPr>
                <w:p w14:paraId="563FA6A8">
                  <w:pPr>
                    <w:keepLines w:val="0"/>
                    <w:pageBreakBefore w:val="0"/>
                    <w:widowControl/>
                    <w:topLinePunct w:val="0"/>
                    <w:autoSpaceDE w:val="0"/>
                    <w:bidi w:val="0"/>
                    <w:spacing w:beforeAutospacing="0" w:afterAutospacing="0" w:line="240" w:lineRule="auto"/>
                    <w:ind w:right="0" w:rightChars="0"/>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3</w:t>
                  </w:r>
                </w:p>
              </w:tc>
              <w:tc>
                <w:tcPr>
                  <w:tcW w:w="3235" w:type="dxa"/>
                  <w:tcBorders>
                    <w:tl2br w:val="nil"/>
                    <w:tr2bl w:val="nil"/>
                  </w:tcBorders>
                  <w:vAlign w:val="center"/>
                </w:tcPr>
                <w:p w14:paraId="10543037">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企业场地应具备拆解场地、贮存场地和办公场地。其中，拆解场地和贮存场地的地面应硬化并防渗漏，满足GB50037的防油渗地面要求</w:t>
                  </w:r>
                  <w:r>
                    <w:rPr>
                      <w:rFonts w:hint="eastAsia" w:cs="Times New Roman"/>
                      <w:color w:val="auto"/>
                      <w:kern w:val="0"/>
                      <w:sz w:val="21"/>
                      <w:szCs w:val="21"/>
                      <w:highlight w:val="none"/>
                      <w:vertAlign w:val="baseline"/>
                      <w:lang w:val="en-US" w:eastAsia="zh-CN" w:bidi="ar-SA"/>
                    </w:rPr>
                    <w:t>。</w:t>
                  </w:r>
                </w:p>
              </w:tc>
              <w:tc>
                <w:tcPr>
                  <w:tcW w:w="2810" w:type="dxa"/>
                  <w:tcBorders>
                    <w:tl2br w:val="nil"/>
                    <w:tr2bl w:val="nil"/>
                  </w:tcBorders>
                  <w:vAlign w:val="center"/>
                </w:tcPr>
                <w:p w14:paraId="7E35FEE6">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本项目场地具备拆解场地、贮存场地和办公场地。拆解场地和贮存场地按GB50037防油渗地面要求设计</w:t>
                  </w:r>
                  <w:r>
                    <w:rPr>
                      <w:rFonts w:hint="eastAsia" w:cs="Times New Roman"/>
                      <w:color w:val="auto"/>
                      <w:kern w:val="0"/>
                      <w:sz w:val="21"/>
                      <w:szCs w:val="21"/>
                      <w:highlight w:val="none"/>
                      <w:vertAlign w:val="baseline"/>
                      <w:lang w:val="en-US" w:eastAsia="zh-CN" w:bidi="ar-SA"/>
                    </w:rPr>
                    <w:t>。</w:t>
                  </w:r>
                </w:p>
              </w:tc>
              <w:tc>
                <w:tcPr>
                  <w:tcW w:w="948" w:type="dxa"/>
                  <w:tcBorders>
                    <w:tl2br w:val="nil"/>
                    <w:tr2bl w:val="nil"/>
                  </w:tcBorders>
                  <w:vAlign w:val="center"/>
                </w:tcPr>
                <w:p w14:paraId="2CA38929">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2EF2B0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1" w:type="dxa"/>
                  <w:tcBorders>
                    <w:tl2br w:val="nil"/>
                    <w:tr2bl w:val="nil"/>
                  </w:tcBorders>
                  <w:vAlign w:val="center"/>
                </w:tcPr>
                <w:p w14:paraId="21EE4544">
                  <w:pPr>
                    <w:keepLines w:val="0"/>
                    <w:pageBreakBefore w:val="0"/>
                    <w:widowControl/>
                    <w:topLinePunct w:val="0"/>
                    <w:autoSpaceDE w:val="0"/>
                    <w:bidi w:val="0"/>
                    <w:spacing w:beforeAutospacing="0" w:afterAutospacing="0" w:line="240" w:lineRule="auto"/>
                    <w:ind w:right="0" w:rightChars="0"/>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4</w:t>
                  </w:r>
                </w:p>
              </w:tc>
              <w:tc>
                <w:tcPr>
                  <w:tcW w:w="3235" w:type="dxa"/>
                  <w:tcBorders>
                    <w:tl2br w:val="nil"/>
                    <w:tr2bl w:val="nil"/>
                  </w:tcBorders>
                  <w:vAlign w:val="center"/>
                </w:tcPr>
                <w:p w14:paraId="3E6DD05A">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拆解场地应为封闭或半封闭构建物，应通风、光线良好，安全环保设施设备齐全</w:t>
                  </w:r>
                  <w:r>
                    <w:rPr>
                      <w:rFonts w:hint="eastAsia" w:cs="Times New Roman"/>
                      <w:color w:val="auto"/>
                      <w:kern w:val="0"/>
                      <w:sz w:val="21"/>
                      <w:szCs w:val="21"/>
                      <w:highlight w:val="none"/>
                      <w:vertAlign w:val="baseline"/>
                      <w:lang w:val="en-US" w:eastAsia="zh-CN" w:bidi="ar-SA"/>
                    </w:rPr>
                    <w:t>。</w:t>
                  </w:r>
                </w:p>
              </w:tc>
              <w:tc>
                <w:tcPr>
                  <w:tcW w:w="2810" w:type="dxa"/>
                  <w:tcBorders>
                    <w:tl2br w:val="nil"/>
                    <w:tr2bl w:val="nil"/>
                  </w:tcBorders>
                  <w:vAlign w:val="center"/>
                </w:tcPr>
                <w:p w14:paraId="06420BE1">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拆解场地在拆解车间内进行，进行通风换气，安全环保设施设备齐全</w:t>
                  </w:r>
                  <w:r>
                    <w:rPr>
                      <w:rFonts w:hint="eastAsia" w:cs="Times New Roman"/>
                      <w:color w:val="auto"/>
                      <w:kern w:val="0"/>
                      <w:sz w:val="21"/>
                      <w:szCs w:val="21"/>
                      <w:highlight w:val="none"/>
                      <w:vertAlign w:val="baseline"/>
                      <w:lang w:val="en-US" w:eastAsia="zh-CN" w:bidi="ar-SA"/>
                    </w:rPr>
                    <w:t>。</w:t>
                  </w:r>
                </w:p>
              </w:tc>
              <w:tc>
                <w:tcPr>
                  <w:tcW w:w="948" w:type="dxa"/>
                  <w:tcBorders>
                    <w:tl2br w:val="nil"/>
                    <w:tr2bl w:val="nil"/>
                  </w:tcBorders>
                  <w:vAlign w:val="center"/>
                </w:tcPr>
                <w:p w14:paraId="757F85C1">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6EA835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1" w:type="dxa"/>
                  <w:tcBorders>
                    <w:tl2br w:val="nil"/>
                    <w:tr2bl w:val="nil"/>
                  </w:tcBorders>
                  <w:vAlign w:val="center"/>
                </w:tcPr>
                <w:p w14:paraId="11184C41">
                  <w:pPr>
                    <w:keepLines w:val="0"/>
                    <w:pageBreakBefore w:val="0"/>
                    <w:widowControl/>
                    <w:topLinePunct w:val="0"/>
                    <w:autoSpaceDE w:val="0"/>
                    <w:bidi w:val="0"/>
                    <w:spacing w:beforeAutospacing="0" w:afterAutospacing="0" w:line="240" w:lineRule="auto"/>
                    <w:ind w:right="0" w:rightChars="0"/>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5</w:t>
                  </w:r>
                </w:p>
              </w:tc>
              <w:tc>
                <w:tcPr>
                  <w:tcW w:w="3235" w:type="dxa"/>
                  <w:tcBorders>
                    <w:tl2br w:val="nil"/>
                    <w:tr2bl w:val="nil"/>
                  </w:tcBorders>
                  <w:vAlign w:val="center"/>
                </w:tcPr>
                <w:p w14:paraId="636FD130">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贮存场地应分为报废机动车贮存场地、回用件贮存场地及固体废物贮存场地。固体废物贮存场地应具有满足GB18599要求的一般工业固体废物贮存设施和满足GB18597要求的危险废物贮存设施</w:t>
                  </w:r>
                  <w:r>
                    <w:rPr>
                      <w:rFonts w:hint="eastAsia" w:cs="Times New Roman"/>
                      <w:color w:val="auto"/>
                      <w:kern w:val="0"/>
                      <w:sz w:val="21"/>
                      <w:szCs w:val="21"/>
                      <w:highlight w:val="none"/>
                      <w:vertAlign w:val="baseline"/>
                      <w:lang w:val="en-US" w:eastAsia="zh-CN" w:bidi="ar-SA"/>
                    </w:rPr>
                    <w:t>。</w:t>
                  </w:r>
                </w:p>
              </w:tc>
              <w:tc>
                <w:tcPr>
                  <w:tcW w:w="2810" w:type="dxa"/>
                  <w:tcBorders>
                    <w:tl2br w:val="nil"/>
                    <w:tr2bl w:val="nil"/>
                  </w:tcBorders>
                  <w:vAlign w:val="center"/>
                </w:tcPr>
                <w:p w14:paraId="6A931A19">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项目设置待拆解区、切割区、库房，一般工业固体废物储存于生产车间内的一般固废暂存间，危险废物储存于</w:t>
                  </w:r>
                  <w:r>
                    <w:rPr>
                      <w:rFonts w:hint="eastAsia" w:cs="Times New Roman"/>
                      <w:color w:val="auto"/>
                      <w:kern w:val="0"/>
                      <w:sz w:val="21"/>
                      <w:szCs w:val="21"/>
                      <w:highlight w:val="none"/>
                      <w:vertAlign w:val="baseline"/>
                      <w:lang w:val="en-US" w:eastAsia="zh-CN" w:bidi="ar-SA"/>
                    </w:rPr>
                    <w:t>危废贮存点。</w:t>
                  </w:r>
                </w:p>
              </w:tc>
              <w:tc>
                <w:tcPr>
                  <w:tcW w:w="948" w:type="dxa"/>
                  <w:tcBorders>
                    <w:tl2br w:val="nil"/>
                    <w:tr2bl w:val="nil"/>
                  </w:tcBorders>
                  <w:vAlign w:val="center"/>
                </w:tcPr>
                <w:p w14:paraId="3D841C02">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157DA6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1" w:type="dxa"/>
                  <w:tcBorders>
                    <w:tl2br w:val="nil"/>
                    <w:tr2bl w:val="nil"/>
                  </w:tcBorders>
                  <w:vAlign w:val="center"/>
                </w:tcPr>
                <w:p w14:paraId="7A2AEFD5">
                  <w:pPr>
                    <w:keepLines w:val="0"/>
                    <w:pageBreakBefore w:val="0"/>
                    <w:widowControl/>
                    <w:topLinePunct w:val="0"/>
                    <w:autoSpaceDE w:val="0"/>
                    <w:bidi w:val="0"/>
                    <w:spacing w:beforeAutospacing="0" w:afterAutospacing="0" w:line="240" w:lineRule="auto"/>
                    <w:ind w:right="0" w:rightChars="0"/>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6</w:t>
                  </w:r>
                </w:p>
              </w:tc>
              <w:tc>
                <w:tcPr>
                  <w:tcW w:w="3235" w:type="dxa"/>
                  <w:tcBorders>
                    <w:tl2br w:val="nil"/>
                    <w:tr2bl w:val="nil"/>
                  </w:tcBorders>
                  <w:vAlign w:val="center"/>
                </w:tcPr>
                <w:p w14:paraId="59C33FE7">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拆解电动汽车的企业还应满足</w:t>
                  </w:r>
                  <w:r>
                    <w:rPr>
                      <w:rFonts w:hint="eastAsia" w:cs="Times New Roman"/>
                      <w:color w:val="auto"/>
                      <w:kern w:val="0"/>
                      <w:sz w:val="21"/>
                      <w:szCs w:val="21"/>
                      <w:highlight w:val="none"/>
                      <w:vertAlign w:val="baseline"/>
                      <w:lang w:val="en-US" w:eastAsia="zh-CN" w:bidi="ar-SA"/>
                    </w:rPr>
                    <w:t>以</w:t>
                  </w:r>
                  <w:r>
                    <w:rPr>
                      <w:rFonts w:hint="eastAsia" w:ascii="Times New Roman" w:hAnsi="Times New Roman" w:eastAsia="宋体" w:cs="Times New Roman"/>
                      <w:color w:val="auto"/>
                      <w:kern w:val="0"/>
                      <w:sz w:val="21"/>
                      <w:szCs w:val="21"/>
                      <w:highlight w:val="none"/>
                      <w:vertAlign w:val="baseline"/>
                      <w:lang w:val="en-US" w:eastAsia="zh-CN" w:bidi="ar-SA"/>
                    </w:rPr>
                    <w:t>下场地建设要求</w:t>
                  </w:r>
                  <w:r>
                    <w:rPr>
                      <w:rFonts w:hint="eastAsia" w:cs="Times New Roman"/>
                      <w:color w:val="auto"/>
                      <w:kern w:val="0"/>
                      <w:sz w:val="21"/>
                      <w:szCs w:val="21"/>
                      <w:highlight w:val="none"/>
                      <w:vertAlign w:val="baseline"/>
                      <w:lang w:val="en-US" w:eastAsia="zh-CN" w:bidi="ar-SA"/>
                    </w:rPr>
                    <w:t>：</w:t>
                  </w:r>
                </w:p>
                <w:p w14:paraId="2E5464F3">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a</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具备电动汽车贮存场地、动力蓄电池贮存场地和动力蓄电池拆卸专用场地。场地应设有高压警示、区域隔离及危险识别标志，并具有防腐防渗紧急收集池及专用容器，用于收集动力蓄电池等破损时泄漏出的电解液、冷却液等有毒有害液体。</w:t>
                  </w:r>
                </w:p>
                <w:p w14:paraId="57CD85F2">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b</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电动汽车贮存场地应单独管理，并保持通风。</w:t>
                  </w:r>
                </w:p>
                <w:p w14:paraId="519FA353">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c</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动力蓄电池贮存场地应设在易燃、易爆等危险品仓库及高压输电线路防护区域以外</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并设有烟雾报警器等火灾自动报警设施。</w:t>
                  </w:r>
                </w:p>
                <w:p w14:paraId="05566D5F">
                  <w:pPr>
                    <w:keepLines w:val="0"/>
                    <w:pageBreakBefore w:val="0"/>
                    <w:widowControl/>
                    <w:topLinePunct w:val="0"/>
                    <w:autoSpaceDE w:val="0"/>
                    <w:bidi w:val="0"/>
                    <w:spacing w:beforeAutospacing="0" w:afterAutospacing="0" w:line="240" w:lineRule="auto"/>
                    <w:ind w:right="0" w:rightChars="0"/>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d</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动力蓄电池拆卸专用场地地而应做</w:t>
                  </w:r>
                  <w:r>
                    <w:rPr>
                      <w:rFonts w:hint="eastAsia" w:cs="Times New Roman"/>
                      <w:color w:val="auto"/>
                      <w:kern w:val="0"/>
                      <w:sz w:val="21"/>
                      <w:szCs w:val="21"/>
                      <w:highlight w:val="none"/>
                      <w:vertAlign w:val="baseline"/>
                      <w:lang w:val="en-US" w:eastAsia="zh-CN" w:bidi="ar-SA"/>
                    </w:rPr>
                    <w:t>绝缘处理。</w:t>
                  </w:r>
                </w:p>
              </w:tc>
              <w:tc>
                <w:tcPr>
                  <w:tcW w:w="2810" w:type="dxa"/>
                  <w:tcBorders>
                    <w:tl2br w:val="nil"/>
                    <w:tr2bl w:val="nil"/>
                  </w:tcBorders>
                  <w:vAlign w:val="center"/>
                </w:tcPr>
                <w:p w14:paraId="4FF4A55A">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本项目不拆解电动汽车</w:t>
                  </w:r>
                  <w:r>
                    <w:rPr>
                      <w:rFonts w:hint="eastAsia" w:cs="Times New Roman"/>
                      <w:color w:val="auto"/>
                      <w:kern w:val="0"/>
                      <w:sz w:val="21"/>
                      <w:szCs w:val="21"/>
                      <w:highlight w:val="none"/>
                      <w:vertAlign w:val="baseline"/>
                      <w:lang w:val="en-US" w:eastAsia="zh-CN" w:bidi="ar-SA"/>
                    </w:rPr>
                    <w:t>。</w:t>
                  </w:r>
                </w:p>
              </w:tc>
              <w:tc>
                <w:tcPr>
                  <w:tcW w:w="948" w:type="dxa"/>
                  <w:tcBorders>
                    <w:tl2br w:val="nil"/>
                    <w:tr2bl w:val="nil"/>
                  </w:tcBorders>
                  <w:vAlign w:val="center"/>
                </w:tcPr>
                <w:p w14:paraId="00402188">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226D34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1" w:type="dxa"/>
                  <w:tcBorders>
                    <w:tl2br w:val="nil"/>
                    <w:tr2bl w:val="nil"/>
                  </w:tcBorders>
                  <w:shd w:val="clear" w:color="auto" w:fill="auto"/>
                  <w:vAlign w:val="center"/>
                </w:tcPr>
                <w:p w14:paraId="6E5908A0">
                  <w:pPr>
                    <w:keepLines w:val="0"/>
                    <w:pageBreakBefore w:val="0"/>
                    <w:widowControl/>
                    <w:topLinePunct w:val="0"/>
                    <w:autoSpaceDE w:val="0"/>
                    <w:bidi w:val="0"/>
                    <w:spacing w:beforeAutospacing="0" w:afterAutospacing="0" w:line="240" w:lineRule="auto"/>
                    <w:ind w:right="0" w:rightChars="0"/>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7</w:t>
                  </w:r>
                </w:p>
              </w:tc>
              <w:tc>
                <w:tcPr>
                  <w:tcW w:w="3235" w:type="dxa"/>
                  <w:tcBorders>
                    <w:tl2br w:val="nil"/>
                    <w:tr2bl w:val="nil"/>
                  </w:tcBorders>
                  <w:shd w:val="clear" w:color="auto" w:fill="auto"/>
                  <w:vAlign w:val="center"/>
                </w:tcPr>
                <w:p w14:paraId="4134A8FF">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应具备以下一般拆解设施设备</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b</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室内或有防雨顶棚的拆解预处理平台</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c</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车架</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车身</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剪断、切割设备或压扁设备，不得仅以氧割设备代替</w:t>
                  </w:r>
                  <w:r>
                    <w:rPr>
                      <w:rFonts w:hint="eastAsia" w:cs="Times New Roman"/>
                      <w:color w:val="auto"/>
                      <w:kern w:val="0"/>
                      <w:sz w:val="21"/>
                      <w:szCs w:val="21"/>
                      <w:highlight w:val="none"/>
                      <w:vertAlign w:val="baseline"/>
                      <w:lang w:val="en-US" w:eastAsia="zh-CN" w:bidi="ar-SA"/>
                    </w:rPr>
                    <w:t>。</w:t>
                  </w:r>
                </w:p>
              </w:tc>
              <w:tc>
                <w:tcPr>
                  <w:tcW w:w="2810" w:type="dxa"/>
                  <w:tcBorders>
                    <w:tl2br w:val="nil"/>
                    <w:tr2bl w:val="nil"/>
                  </w:tcBorders>
                  <w:shd w:val="clear" w:color="auto" w:fill="auto"/>
                  <w:vAlign w:val="center"/>
                </w:tcPr>
                <w:p w14:paraId="0CA88020">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本项目设有封闭的拆解车间，采取离子切割方式。</w:t>
                  </w:r>
                </w:p>
              </w:tc>
              <w:tc>
                <w:tcPr>
                  <w:tcW w:w="948" w:type="dxa"/>
                  <w:tcBorders>
                    <w:tl2br w:val="nil"/>
                    <w:tr2bl w:val="nil"/>
                  </w:tcBorders>
                  <w:shd w:val="clear" w:color="auto" w:fill="auto"/>
                  <w:vAlign w:val="center"/>
                </w:tcPr>
                <w:p w14:paraId="108A8AF4">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7358E2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1" w:type="dxa"/>
                  <w:tcBorders>
                    <w:tl2br w:val="nil"/>
                    <w:tr2bl w:val="nil"/>
                  </w:tcBorders>
                  <w:shd w:val="clear" w:color="auto" w:fill="auto"/>
                  <w:vAlign w:val="center"/>
                </w:tcPr>
                <w:p w14:paraId="23444A16">
                  <w:pPr>
                    <w:keepLines w:val="0"/>
                    <w:pageBreakBefore w:val="0"/>
                    <w:widowControl/>
                    <w:topLinePunct w:val="0"/>
                    <w:autoSpaceDE w:val="0"/>
                    <w:bidi w:val="0"/>
                    <w:spacing w:beforeAutospacing="0" w:afterAutospacing="0" w:line="240" w:lineRule="auto"/>
                    <w:ind w:right="0" w:rightChars="0"/>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8</w:t>
                  </w:r>
                </w:p>
              </w:tc>
              <w:tc>
                <w:tcPr>
                  <w:tcW w:w="3235" w:type="dxa"/>
                  <w:tcBorders>
                    <w:tl2br w:val="nil"/>
                    <w:tr2bl w:val="nil"/>
                  </w:tcBorders>
                  <w:shd w:val="clear" w:color="auto" w:fill="auto"/>
                  <w:vAlign w:val="center"/>
                </w:tcPr>
                <w:p w14:paraId="080B0DCA">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应具备以下安全设施设备</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a</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安全气囊直接引爆装置或者拆除贮存、引爆装置</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b</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满足GB50016规定的消防设施设备</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c</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应急救援设备。</w:t>
                  </w:r>
                </w:p>
              </w:tc>
              <w:tc>
                <w:tcPr>
                  <w:tcW w:w="2810" w:type="dxa"/>
                  <w:tcBorders>
                    <w:tl2br w:val="nil"/>
                    <w:tr2bl w:val="nil"/>
                  </w:tcBorders>
                  <w:shd w:val="clear" w:color="auto" w:fill="auto"/>
                  <w:vAlign w:val="center"/>
                </w:tcPr>
                <w:p w14:paraId="3374C178">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本项目不拆解机动车辆</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设置消火栓、灭火器等。</w:t>
                  </w:r>
                </w:p>
              </w:tc>
              <w:tc>
                <w:tcPr>
                  <w:tcW w:w="948" w:type="dxa"/>
                  <w:tcBorders>
                    <w:tl2br w:val="nil"/>
                    <w:tr2bl w:val="nil"/>
                  </w:tcBorders>
                  <w:shd w:val="clear" w:color="auto" w:fill="auto"/>
                  <w:vAlign w:val="center"/>
                </w:tcPr>
                <w:p w14:paraId="46B20D8F">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10CCF1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1" w:type="dxa"/>
                  <w:tcBorders>
                    <w:tl2br w:val="nil"/>
                    <w:tr2bl w:val="nil"/>
                  </w:tcBorders>
                  <w:shd w:val="clear" w:color="auto" w:fill="auto"/>
                  <w:vAlign w:val="center"/>
                </w:tcPr>
                <w:p w14:paraId="0F91643F">
                  <w:pPr>
                    <w:keepLines w:val="0"/>
                    <w:pageBreakBefore w:val="0"/>
                    <w:widowControl/>
                    <w:topLinePunct w:val="0"/>
                    <w:autoSpaceDE w:val="0"/>
                    <w:bidi w:val="0"/>
                    <w:spacing w:beforeAutospacing="0" w:afterAutospacing="0" w:line="240" w:lineRule="auto"/>
                    <w:ind w:right="0" w:rightChars="0"/>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9</w:t>
                  </w:r>
                </w:p>
              </w:tc>
              <w:tc>
                <w:tcPr>
                  <w:tcW w:w="3235" w:type="dxa"/>
                  <w:tcBorders>
                    <w:tl2br w:val="nil"/>
                    <w:tr2bl w:val="nil"/>
                  </w:tcBorders>
                  <w:shd w:val="clear" w:color="auto" w:fill="auto"/>
                  <w:vAlign w:val="center"/>
                </w:tcPr>
                <w:p w14:paraId="01691608">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应具备以下环保设施设备</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满足HJ348要求的油水分离器等企业建设环境保护设备</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配有专用废液收集装置和分类存放各种废液的专用密闭容器</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机动车空调制冷剂收集装置和分类存放各种制冷剂的密闭容器</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分类存放机油滤清器和铅酸蓄电池的容器。</w:t>
                  </w:r>
                </w:p>
              </w:tc>
              <w:tc>
                <w:tcPr>
                  <w:tcW w:w="2810" w:type="dxa"/>
                  <w:tcBorders>
                    <w:tl2br w:val="nil"/>
                    <w:tr2bl w:val="nil"/>
                  </w:tcBorders>
                  <w:shd w:val="clear" w:color="auto" w:fill="auto"/>
                  <w:vAlign w:val="center"/>
                </w:tcPr>
                <w:p w14:paraId="3D03BED0">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项目</w:t>
                  </w:r>
                  <w:r>
                    <w:rPr>
                      <w:rFonts w:hint="eastAsia" w:cs="Times New Roman"/>
                      <w:color w:val="auto"/>
                      <w:kern w:val="0"/>
                      <w:sz w:val="21"/>
                      <w:szCs w:val="21"/>
                      <w:highlight w:val="none"/>
                      <w:vertAlign w:val="baseline"/>
                      <w:lang w:val="en-US" w:eastAsia="zh-CN" w:bidi="ar-SA"/>
                    </w:rPr>
                    <w:t>待拆车辆</w:t>
                  </w:r>
                  <w:r>
                    <w:rPr>
                      <w:rFonts w:hint="eastAsia" w:ascii="Times New Roman" w:hAnsi="Times New Roman" w:eastAsia="宋体" w:cs="Times New Roman"/>
                      <w:color w:val="auto"/>
                      <w:kern w:val="0"/>
                      <w:sz w:val="21"/>
                      <w:szCs w:val="21"/>
                      <w:highlight w:val="none"/>
                      <w:vertAlign w:val="baseline"/>
                      <w:lang w:val="en-US" w:eastAsia="zh-CN" w:bidi="ar-SA"/>
                    </w:rPr>
                    <w:t>露天堆放</w:t>
                  </w:r>
                  <w:r>
                    <w:rPr>
                      <w:rFonts w:hint="eastAsia" w:cs="Times New Roman"/>
                      <w:color w:val="auto"/>
                      <w:kern w:val="0"/>
                      <w:sz w:val="21"/>
                      <w:szCs w:val="21"/>
                      <w:highlight w:val="none"/>
                      <w:vertAlign w:val="baseline"/>
                      <w:lang w:val="en-US" w:eastAsia="zh-CN" w:bidi="ar-SA"/>
                    </w:rPr>
                    <w:t>在待拆车辆暂存区</w:t>
                  </w:r>
                  <w:r>
                    <w:rPr>
                      <w:rFonts w:hint="eastAsia" w:ascii="Times New Roman" w:hAnsi="Times New Roman" w:eastAsia="宋体" w:cs="Times New Roman"/>
                      <w:color w:val="auto"/>
                      <w:kern w:val="0"/>
                      <w:sz w:val="21"/>
                      <w:szCs w:val="21"/>
                      <w:highlight w:val="none"/>
                      <w:vertAlign w:val="baseline"/>
                      <w:lang w:val="en-US" w:eastAsia="zh-CN" w:bidi="ar-SA"/>
                    </w:rPr>
                    <w:t>，</w:t>
                  </w:r>
                  <w:r>
                    <w:rPr>
                      <w:rStyle w:val="132"/>
                      <w:rFonts w:hint="eastAsia" w:ascii="Times New Roman" w:hAnsi="Times New Roman" w:eastAsia="宋体" w:cs="Times New Roman"/>
                      <w:color w:val="auto"/>
                      <w:lang w:val="en-US" w:eastAsia="zh-CN"/>
                    </w:rPr>
                    <w:t>初期雨水收集后经</w:t>
                  </w:r>
                  <w:r>
                    <w:rPr>
                      <w:rStyle w:val="132"/>
                      <w:rFonts w:hint="eastAsia" w:cs="Times New Roman"/>
                      <w:color w:val="auto"/>
                      <w:lang w:val="en-US" w:eastAsia="zh-CN"/>
                    </w:rPr>
                    <w:t>油水分离装置</w:t>
                  </w:r>
                  <w:r>
                    <w:rPr>
                      <w:rStyle w:val="132"/>
                      <w:rFonts w:hint="eastAsia" w:ascii="Times New Roman" w:hAnsi="Times New Roman" w:eastAsia="宋体" w:cs="Times New Roman"/>
                      <w:color w:val="auto"/>
                      <w:lang w:val="en-US" w:eastAsia="zh-CN"/>
                    </w:rPr>
                    <w:t>处理</w:t>
                  </w:r>
                  <w:r>
                    <w:rPr>
                      <w:rFonts w:hint="eastAsia" w:ascii="Times New Roman" w:hAnsi="Times New Roman" w:eastAsia="宋体" w:cs="Times New Roman"/>
                      <w:color w:val="auto"/>
                      <w:kern w:val="0"/>
                      <w:sz w:val="21"/>
                      <w:szCs w:val="21"/>
                      <w:highlight w:val="none"/>
                      <w:vertAlign w:val="baseline"/>
                      <w:lang w:val="en-US" w:eastAsia="zh-CN" w:bidi="ar-SA"/>
                    </w:rPr>
                    <w:t>。项目配有专用废液收集装置和分类存放各种废液的专用密闭容器</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机动车空调制冷剂收集装置和分类存放各种制冷剂的密闭容器</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分类存放机油滤清器和铅酸蓄电池的容器。</w:t>
                  </w:r>
                </w:p>
              </w:tc>
              <w:tc>
                <w:tcPr>
                  <w:tcW w:w="948" w:type="dxa"/>
                  <w:tcBorders>
                    <w:tl2br w:val="nil"/>
                    <w:tr2bl w:val="nil"/>
                  </w:tcBorders>
                  <w:shd w:val="clear" w:color="auto" w:fill="auto"/>
                  <w:vAlign w:val="center"/>
                </w:tcPr>
                <w:p w14:paraId="5E73900E">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6682D1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1" w:type="dxa"/>
                  <w:tcBorders>
                    <w:tl2br w:val="nil"/>
                    <w:tr2bl w:val="nil"/>
                  </w:tcBorders>
                  <w:shd w:val="clear" w:color="auto" w:fill="auto"/>
                  <w:vAlign w:val="center"/>
                </w:tcPr>
                <w:p w14:paraId="190DF6E9">
                  <w:pPr>
                    <w:keepLines w:val="0"/>
                    <w:pageBreakBefore w:val="0"/>
                    <w:widowControl/>
                    <w:topLinePunct w:val="0"/>
                    <w:autoSpaceDE w:val="0"/>
                    <w:bidi w:val="0"/>
                    <w:spacing w:beforeAutospacing="0" w:afterAutospacing="0" w:line="240" w:lineRule="auto"/>
                    <w:ind w:right="0" w:rightChars="0"/>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10</w:t>
                  </w:r>
                </w:p>
              </w:tc>
              <w:tc>
                <w:tcPr>
                  <w:tcW w:w="3235" w:type="dxa"/>
                  <w:tcBorders>
                    <w:tl2br w:val="nil"/>
                    <w:tr2bl w:val="nil"/>
                  </w:tcBorders>
                  <w:shd w:val="clear" w:color="auto" w:fill="auto"/>
                  <w:vAlign w:val="center"/>
                </w:tcPr>
                <w:p w14:paraId="77C6B8CA">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拆解电动汽车的企业还应具备以下设施设备及材料</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绝缘检测设备等安全评估设备</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动力蓄电池断电设备</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吊具、夹臂、机械手和升降工装等动力蓄电池拆卸设备</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防静电废液、空调制冷剂抽排设备</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绝缘工作服等安全防护及救援设备</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绝缘气动工具</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绝缘辅助工具</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动力蓄电池绝缘处理材料</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放电设施设备</w:t>
                  </w:r>
                  <w:r>
                    <w:rPr>
                      <w:rFonts w:hint="eastAsia" w:cs="Times New Roman"/>
                      <w:color w:val="auto"/>
                      <w:kern w:val="0"/>
                      <w:sz w:val="21"/>
                      <w:szCs w:val="21"/>
                      <w:highlight w:val="none"/>
                      <w:vertAlign w:val="baseline"/>
                      <w:lang w:val="en-US" w:eastAsia="zh-CN" w:bidi="ar-SA"/>
                    </w:rPr>
                    <w:t>。</w:t>
                  </w:r>
                </w:p>
              </w:tc>
              <w:tc>
                <w:tcPr>
                  <w:tcW w:w="2810" w:type="dxa"/>
                  <w:tcBorders>
                    <w:tl2br w:val="nil"/>
                    <w:tr2bl w:val="nil"/>
                  </w:tcBorders>
                  <w:shd w:val="clear" w:color="auto" w:fill="auto"/>
                  <w:vAlign w:val="center"/>
                </w:tcPr>
                <w:p w14:paraId="5595B3EA">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项目不回收/拆解报废机动车、不回收及加工废金属</w:t>
                  </w:r>
                  <w:r>
                    <w:rPr>
                      <w:rFonts w:hint="eastAsia" w:cs="Times New Roman"/>
                      <w:color w:val="auto"/>
                      <w:kern w:val="0"/>
                      <w:sz w:val="21"/>
                      <w:szCs w:val="21"/>
                      <w:highlight w:val="none"/>
                      <w:vertAlign w:val="baseline"/>
                      <w:lang w:val="en-US" w:eastAsia="zh-CN" w:bidi="ar-SA"/>
                    </w:rPr>
                    <w:t>。</w:t>
                  </w:r>
                </w:p>
              </w:tc>
              <w:tc>
                <w:tcPr>
                  <w:tcW w:w="948" w:type="dxa"/>
                  <w:tcBorders>
                    <w:tl2br w:val="nil"/>
                    <w:tr2bl w:val="nil"/>
                  </w:tcBorders>
                  <w:shd w:val="clear" w:color="auto" w:fill="auto"/>
                  <w:vAlign w:val="center"/>
                </w:tcPr>
                <w:p w14:paraId="5F5752CE">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350D85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1" w:type="dxa"/>
                  <w:tcBorders>
                    <w:tl2br w:val="nil"/>
                    <w:tr2bl w:val="nil"/>
                  </w:tcBorders>
                  <w:shd w:val="clear" w:color="auto" w:fill="auto"/>
                  <w:vAlign w:val="center"/>
                </w:tcPr>
                <w:p w14:paraId="165C603B">
                  <w:pPr>
                    <w:keepLines w:val="0"/>
                    <w:pageBreakBefore w:val="0"/>
                    <w:widowControl/>
                    <w:topLinePunct w:val="0"/>
                    <w:autoSpaceDE w:val="0"/>
                    <w:bidi w:val="0"/>
                    <w:spacing w:beforeAutospacing="0" w:afterAutospacing="0" w:line="240" w:lineRule="auto"/>
                    <w:ind w:right="0" w:rightChars="0"/>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11</w:t>
                  </w:r>
                </w:p>
              </w:tc>
              <w:tc>
                <w:tcPr>
                  <w:tcW w:w="3235" w:type="dxa"/>
                  <w:tcBorders>
                    <w:tl2br w:val="nil"/>
                    <w:tr2bl w:val="nil"/>
                  </w:tcBorders>
                  <w:shd w:val="clear" w:color="auto" w:fill="auto"/>
                  <w:vAlign w:val="center"/>
                </w:tcPr>
                <w:p w14:paraId="06C61E04">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技术人员要求</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企业技术人员应经过岗前培训，其专业技能应满足规范拆解、环保作业、安全操作等相应要求</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并配备专业安全生产管理人员和环保管理人员，国家有持证上岗规定的，应持证上岗</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具有电动汽车拆解业务的企业应具备动力蓄电池贮存管理人员及2人以上持电工特种作业操作证人员。动力蓄电池贮存管理人员应具有动力蓄电池防火、防泄漏、防短路等相关专业知识。拆解人员应在汽车生产企业提供的拆解信息或手册的指导下进行拆解</w:t>
                  </w:r>
                </w:p>
              </w:tc>
              <w:tc>
                <w:tcPr>
                  <w:tcW w:w="2810" w:type="dxa"/>
                  <w:tcBorders>
                    <w:tl2br w:val="nil"/>
                    <w:tr2bl w:val="nil"/>
                  </w:tcBorders>
                  <w:shd w:val="clear" w:color="auto" w:fill="auto"/>
                  <w:vAlign w:val="center"/>
                </w:tcPr>
                <w:p w14:paraId="4DA36E8D">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本项目技术人员均经过岗前培训，其专业技能应满足规范拆解、环保作业、安全操作等相应要求，配备专业安全生产管理人员和环保管理人员，国家有持证上岗规定的，持证上岗，已满足以上技术人员要求</w:t>
                  </w:r>
                  <w:r>
                    <w:rPr>
                      <w:rFonts w:hint="eastAsia" w:cs="Times New Roman"/>
                      <w:color w:val="auto"/>
                      <w:kern w:val="0"/>
                      <w:sz w:val="21"/>
                      <w:szCs w:val="21"/>
                      <w:highlight w:val="none"/>
                      <w:vertAlign w:val="baseline"/>
                      <w:lang w:val="en-US" w:eastAsia="zh-CN" w:bidi="ar-SA"/>
                    </w:rPr>
                    <w:t>。</w:t>
                  </w:r>
                </w:p>
              </w:tc>
              <w:tc>
                <w:tcPr>
                  <w:tcW w:w="948" w:type="dxa"/>
                  <w:tcBorders>
                    <w:tl2br w:val="nil"/>
                    <w:tr2bl w:val="nil"/>
                  </w:tcBorders>
                  <w:shd w:val="clear" w:color="auto" w:fill="auto"/>
                  <w:vAlign w:val="center"/>
                </w:tcPr>
                <w:p w14:paraId="17A03D86">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621AD7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1" w:type="dxa"/>
                  <w:tcBorders>
                    <w:tl2br w:val="nil"/>
                    <w:tr2bl w:val="nil"/>
                  </w:tcBorders>
                  <w:shd w:val="clear" w:color="auto" w:fill="auto"/>
                  <w:vAlign w:val="center"/>
                </w:tcPr>
                <w:p w14:paraId="3DB5AE94">
                  <w:pPr>
                    <w:keepLines w:val="0"/>
                    <w:pageBreakBefore w:val="0"/>
                    <w:widowControl/>
                    <w:topLinePunct w:val="0"/>
                    <w:autoSpaceDE w:val="0"/>
                    <w:bidi w:val="0"/>
                    <w:spacing w:beforeAutospacing="0" w:afterAutospacing="0" w:line="240" w:lineRule="auto"/>
                    <w:ind w:right="0" w:rightChars="0"/>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12</w:t>
                  </w:r>
                </w:p>
              </w:tc>
              <w:tc>
                <w:tcPr>
                  <w:tcW w:w="3235" w:type="dxa"/>
                  <w:tcBorders>
                    <w:tl2br w:val="nil"/>
                    <w:tr2bl w:val="nil"/>
                  </w:tcBorders>
                  <w:shd w:val="clear" w:color="auto" w:fill="auto"/>
                  <w:vAlign w:val="center"/>
                </w:tcPr>
                <w:p w14:paraId="3F351ADB">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信息管理要求</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将固体废物的来源、种类、产生量、产生时间及处理</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流向</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等数据，录入到“全国固体废物管理信息系统”或省级生态环境主管部门自建与其联网的相关系统，其中危险废物处理</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流向</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信息保存期限为3年。</w:t>
                  </w:r>
                </w:p>
              </w:tc>
              <w:tc>
                <w:tcPr>
                  <w:tcW w:w="2810" w:type="dxa"/>
                  <w:tcBorders>
                    <w:tl2br w:val="nil"/>
                    <w:tr2bl w:val="nil"/>
                  </w:tcBorders>
                  <w:shd w:val="clear" w:color="auto" w:fill="auto"/>
                  <w:vAlign w:val="center"/>
                </w:tcPr>
                <w:p w14:paraId="2DC43DB4">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企业建成后设置专门人员进行固废管理和系统上报工作</w:t>
                  </w:r>
                  <w:r>
                    <w:rPr>
                      <w:rFonts w:hint="eastAsia" w:cs="Times New Roman"/>
                      <w:color w:val="auto"/>
                      <w:kern w:val="0"/>
                      <w:sz w:val="21"/>
                      <w:szCs w:val="21"/>
                      <w:highlight w:val="none"/>
                      <w:vertAlign w:val="baseline"/>
                      <w:lang w:val="en-US" w:eastAsia="zh-CN" w:bidi="ar-SA"/>
                    </w:rPr>
                    <w:t>。</w:t>
                  </w:r>
                </w:p>
              </w:tc>
              <w:tc>
                <w:tcPr>
                  <w:tcW w:w="948" w:type="dxa"/>
                  <w:tcBorders>
                    <w:tl2br w:val="nil"/>
                    <w:tr2bl w:val="nil"/>
                  </w:tcBorders>
                  <w:shd w:val="clear" w:color="auto" w:fill="auto"/>
                  <w:vAlign w:val="center"/>
                </w:tcPr>
                <w:p w14:paraId="79F39717">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65B5BB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1" w:type="dxa"/>
                  <w:tcBorders>
                    <w:tl2br w:val="nil"/>
                    <w:tr2bl w:val="nil"/>
                  </w:tcBorders>
                  <w:shd w:val="clear" w:color="auto" w:fill="auto"/>
                  <w:vAlign w:val="center"/>
                </w:tcPr>
                <w:p w14:paraId="31D07023">
                  <w:pPr>
                    <w:keepLines w:val="0"/>
                    <w:pageBreakBefore w:val="0"/>
                    <w:widowControl/>
                    <w:topLinePunct w:val="0"/>
                    <w:autoSpaceDE w:val="0"/>
                    <w:bidi w:val="0"/>
                    <w:spacing w:beforeAutospacing="0" w:afterAutospacing="0" w:line="240" w:lineRule="auto"/>
                    <w:ind w:right="0" w:rightChars="0"/>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13</w:t>
                  </w:r>
                </w:p>
              </w:tc>
              <w:tc>
                <w:tcPr>
                  <w:tcW w:w="3235" w:type="dxa"/>
                  <w:tcBorders>
                    <w:tl2br w:val="nil"/>
                    <w:tr2bl w:val="nil"/>
                  </w:tcBorders>
                  <w:shd w:val="clear" w:color="auto" w:fill="auto"/>
                  <w:vAlign w:val="center"/>
                </w:tcPr>
                <w:p w14:paraId="3E3506FF">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环保要求</w:t>
                  </w:r>
                </w:p>
                <w:p w14:paraId="2998A97B">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报废机动车拆解过程应满足HJ348中所规定的清污分流、污水达标排放等环境保和污染控制的相关要求。</w:t>
                  </w:r>
                </w:p>
                <w:p w14:paraId="31121B95">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应实施满足危险废物规范化管理要求的环境管理制度，其中对列入《国家危险废物名录》的危险废物应严格按照有关规定进行管理应满足GB12348中所规定的2类声环境功能区工业企业厂界环境噪声排放限值要求。</w:t>
                  </w:r>
                </w:p>
              </w:tc>
              <w:tc>
                <w:tcPr>
                  <w:tcW w:w="2810" w:type="dxa"/>
                  <w:tcBorders>
                    <w:tl2br w:val="nil"/>
                    <w:tr2bl w:val="nil"/>
                  </w:tcBorders>
                  <w:shd w:val="clear" w:color="auto" w:fill="auto"/>
                  <w:vAlign w:val="center"/>
                </w:tcPr>
                <w:p w14:paraId="73A6E6AA">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项目</w:t>
                  </w:r>
                  <w:r>
                    <w:rPr>
                      <w:rFonts w:hint="eastAsia" w:cs="Times New Roman"/>
                      <w:color w:val="auto"/>
                      <w:kern w:val="0"/>
                      <w:sz w:val="21"/>
                      <w:szCs w:val="21"/>
                      <w:highlight w:val="none"/>
                      <w:vertAlign w:val="baseline"/>
                      <w:lang w:val="en-US" w:eastAsia="zh-CN" w:bidi="ar-SA"/>
                    </w:rPr>
                    <w:t>待拆车辆</w:t>
                  </w:r>
                  <w:r>
                    <w:rPr>
                      <w:rFonts w:hint="eastAsia" w:ascii="Times New Roman" w:hAnsi="Times New Roman" w:eastAsia="宋体" w:cs="Times New Roman"/>
                      <w:color w:val="auto"/>
                      <w:kern w:val="0"/>
                      <w:sz w:val="21"/>
                      <w:szCs w:val="21"/>
                      <w:highlight w:val="none"/>
                      <w:vertAlign w:val="baseline"/>
                      <w:lang w:val="en-US" w:eastAsia="zh-CN" w:bidi="ar-SA"/>
                    </w:rPr>
                    <w:t>露天堆放</w:t>
                  </w:r>
                  <w:r>
                    <w:rPr>
                      <w:rFonts w:hint="eastAsia" w:cs="Times New Roman"/>
                      <w:color w:val="auto"/>
                      <w:kern w:val="0"/>
                      <w:sz w:val="21"/>
                      <w:szCs w:val="21"/>
                      <w:highlight w:val="none"/>
                      <w:vertAlign w:val="baseline"/>
                      <w:lang w:val="en-US" w:eastAsia="zh-CN" w:bidi="ar-SA"/>
                    </w:rPr>
                    <w:t>在待拆车辆暂存区</w:t>
                  </w:r>
                  <w:r>
                    <w:rPr>
                      <w:rFonts w:hint="eastAsia" w:ascii="Times New Roman" w:hAnsi="Times New Roman" w:eastAsia="宋体" w:cs="Times New Roman"/>
                      <w:color w:val="auto"/>
                      <w:kern w:val="0"/>
                      <w:sz w:val="21"/>
                      <w:szCs w:val="21"/>
                      <w:highlight w:val="none"/>
                      <w:vertAlign w:val="baseline"/>
                      <w:lang w:val="en-US" w:eastAsia="zh-CN" w:bidi="ar-SA"/>
                    </w:rPr>
                    <w:t>，</w:t>
                  </w:r>
                  <w:r>
                    <w:rPr>
                      <w:rStyle w:val="132"/>
                      <w:rFonts w:hint="eastAsia" w:ascii="Times New Roman" w:hAnsi="Times New Roman" w:eastAsia="宋体" w:cs="Times New Roman"/>
                      <w:color w:val="auto"/>
                      <w:lang w:val="en-US" w:eastAsia="zh-CN"/>
                    </w:rPr>
                    <w:t>初期雨水收集后经</w:t>
                  </w:r>
                  <w:r>
                    <w:rPr>
                      <w:rStyle w:val="132"/>
                      <w:rFonts w:hint="eastAsia" w:cs="Times New Roman"/>
                      <w:color w:val="auto"/>
                      <w:lang w:val="en-US" w:eastAsia="zh-CN"/>
                    </w:rPr>
                    <w:t>油水分离装置</w:t>
                  </w:r>
                  <w:r>
                    <w:rPr>
                      <w:rStyle w:val="132"/>
                      <w:rFonts w:hint="eastAsia" w:ascii="Times New Roman" w:hAnsi="Times New Roman" w:eastAsia="宋体" w:cs="Times New Roman"/>
                      <w:color w:val="auto"/>
                      <w:lang w:val="en-US" w:eastAsia="zh-CN"/>
                    </w:rPr>
                    <w:t>处理后，和锅炉排污水、软化水制备废水和生活污水一同排入市政管网，送入鸡西市鸡冠区污水处理厂</w:t>
                  </w:r>
                  <w:r>
                    <w:rPr>
                      <w:rFonts w:hint="eastAsia" w:ascii="Times New Roman" w:hAnsi="Times New Roman" w:eastAsia="宋体" w:cs="Times New Roman"/>
                      <w:color w:val="auto"/>
                      <w:kern w:val="0"/>
                      <w:sz w:val="21"/>
                      <w:szCs w:val="21"/>
                      <w:highlight w:val="none"/>
                      <w:vertAlign w:val="baseline"/>
                      <w:lang w:val="en-US" w:eastAsia="zh-CN" w:bidi="ar-SA"/>
                    </w:rPr>
                    <w:t>。建设单位应对危险废物规范化管理要求，危险废物委托有资质单位处置。厂界噪声满足GB12348中所规定的2类声环境功能区工业企业厂界环境噪声排放限值要求。</w:t>
                  </w:r>
                </w:p>
              </w:tc>
              <w:tc>
                <w:tcPr>
                  <w:tcW w:w="948" w:type="dxa"/>
                  <w:tcBorders>
                    <w:tl2br w:val="nil"/>
                    <w:tr2bl w:val="nil"/>
                  </w:tcBorders>
                  <w:shd w:val="clear" w:color="auto" w:fill="auto"/>
                  <w:vAlign w:val="center"/>
                </w:tcPr>
                <w:p w14:paraId="68EC7416">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453E86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1" w:type="dxa"/>
                  <w:tcBorders>
                    <w:tl2br w:val="nil"/>
                    <w:tr2bl w:val="nil"/>
                  </w:tcBorders>
                  <w:shd w:val="clear" w:color="auto" w:fill="auto"/>
                  <w:vAlign w:val="center"/>
                </w:tcPr>
                <w:p w14:paraId="2F0CA1A0">
                  <w:pPr>
                    <w:keepLines w:val="0"/>
                    <w:pageBreakBefore w:val="0"/>
                    <w:widowControl/>
                    <w:topLinePunct w:val="0"/>
                    <w:autoSpaceDE w:val="0"/>
                    <w:bidi w:val="0"/>
                    <w:spacing w:beforeAutospacing="0" w:afterAutospacing="0" w:line="240" w:lineRule="auto"/>
                    <w:ind w:right="0" w:rightChars="0"/>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14</w:t>
                  </w:r>
                </w:p>
              </w:tc>
              <w:tc>
                <w:tcPr>
                  <w:tcW w:w="3235" w:type="dxa"/>
                  <w:tcBorders>
                    <w:tl2br w:val="nil"/>
                    <w:tr2bl w:val="nil"/>
                  </w:tcBorders>
                  <w:shd w:val="clear" w:color="auto" w:fill="auto"/>
                  <w:vAlign w:val="center"/>
                </w:tcPr>
                <w:p w14:paraId="77A123A6">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收到报废机动车后，应检查发动机、散热器、变速器、差速器、油箱和燃料罐等总成部件的密封、破损情况。对于出现泄漏的总成部件，应采取适当的方式收集泄漏的液体或封住泄漏处，防止废液渗入地下。</w:t>
                  </w:r>
                </w:p>
                <w:p w14:paraId="2921D30B">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对报废电动汽车，应检查动力蓄电池和驱动电机等部件的密封和破损情况。对于出现动力蓄电池破损、电极头和线束裸露等存在漏电风险的，应采取适当的方式进行绝缘处理。</w:t>
                  </w:r>
                </w:p>
              </w:tc>
              <w:tc>
                <w:tcPr>
                  <w:tcW w:w="2810" w:type="dxa"/>
                  <w:tcBorders>
                    <w:tl2br w:val="nil"/>
                    <w:tr2bl w:val="nil"/>
                  </w:tcBorders>
                  <w:shd w:val="clear" w:color="auto" w:fill="auto"/>
                  <w:vAlign w:val="center"/>
                </w:tcPr>
                <w:p w14:paraId="5F4DCAC4">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项目不回收/拆解报废机动车、不回收及加工废金属。项目采取分区防渗措施。</w:t>
                  </w:r>
                </w:p>
              </w:tc>
              <w:tc>
                <w:tcPr>
                  <w:tcW w:w="948" w:type="dxa"/>
                  <w:tcBorders>
                    <w:tl2br w:val="nil"/>
                    <w:tr2bl w:val="nil"/>
                  </w:tcBorders>
                  <w:shd w:val="clear" w:color="auto" w:fill="auto"/>
                  <w:vAlign w:val="center"/>
                </w:tcPr>
                <w:p w14:paraId="706CE42E">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0282F8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1" w:type="dxa"/>
                  <w:tcBorders>
                    <w:tl2br w:val="nil"/>
                    <w:tr2bl w:val="nil"/>
                  </w:tcBorders>
                  <w:shd w:val="clear" w:color="auto" w:fill="auto"/>
                  <w:vAlign w:val="center"/>
                </w:tcPr>
                <w:p w14:paraId="6937C422">
                  <w:pPr>
                    <w:keepLines w:val="0"/>
                    <w:pageBreakBefore w:val="0"/>
                    <w:widowControl/>
                    <w:topLinePunct w:val="0"/>
                    <w:autoSpaceDE w:val="0"/>
                    <w:bidi w:val="0"/>
                    <w:spacing w:beforeAutospacing="0" w:afterAutospacing="0" w:line="240" w:lineRule="auto"/>
                    <w:ind w:right="0" w:rightChars="0"/>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15</w:t>
                  </w:r>
                </w:p>
              </w:tc>
              <w:tc>
                <w:tcPr>
                  <w:tcW w:w="3235" w:type="dxa"/>
                  <w:tcBorders>
                    <w:tl2br w:val="nil"/>
                    <w:tr2bl w:val="nil"/>
                  </w:tcBorders>
                  <w:shd w:val="clear" w:color="auto" w:fill="auto"/>
                  <w:vAlign w:val="center"/>
                </w:tcPr>
                <w:p w14:paraId="3E84A09D">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报废机动车贮存所有车辆应避免侧放、倒放，电动汽车在动力蓄电池未拆卸前不应叠放机动车如需叠放，应使上下车辆的重心尽量重合，且不应超过3层。2层和3层叠放时</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高度分别不应超过3m和4.5m。大型车辆应单层平置。采用框架结构存放的，要保证安全性，并易于装卸电动汽车在动力蓄电池未拆卸前应单独贮存，并采取防火、防水、绝缘、隔热等安全保障措施。电动汽车中的事故车以及发生动力蓄电池破损的车辆应隔离贮存。</w:t>
                  </w:r>
                </w:p>
              </w:tc>
              <w:tc>
                <w:tcPr>
                  <w:tcW w:w="2810" w:type="dxa"/>
                  <w:tcBorders>
                    <w:tl2br w:val="nil"/>
                    <w:tr2bl w:val="nil"/>
                  </w:tcBorders>
                  <w:shd w:val="clear" w:color="auto" w:fill="auto"/>
                  <w:vAlign w:val="center"/>
                </w:tcPr>
                <w:p w14:paraId="6E681102">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项目不回收/拆解报废机动车。</w:t>
                  </w:r>
                </w:p>
              </w:tc>
              <w:tc>
                <w:tcPr>
                  <w:tcW w:w="948" w:type="dxa"/>
                  <w:tcBorders>
                    <w:tl2br w:val="nil"/>
                    <w:tr2bl w:val="nil"/>
                  </w:tcBorders>
                  <w:shd w:val="clear" w:color="auto" w:fill="auto"/>
                  <w:vAlign w:val="center"/>
                </w:tcPr>
                <w:p w14:paraId="566BC2A3">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06701B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1" w:type="dxa"/>
                  <w:tcBorders>
                    <w:tl2br w:val="nil"/>
                    <w:tr2bl w:val="nil"/>
                  </w:tcBorders>
                  <w:shd w:val="clear" w:color="auto" w:fill="auto"/>
                  <w:vAlign w:val="center"/>
                </w:tcPr>
                <w:p w14:paraId="143956AA">
                  <w:pPr>
                    <w:keepLines w:val="0"/>
                    <w:pageBreakBefore w:val="0"/>
                    <w:widowControl/>
                    <w:topLinePunct w:val="0"/>
                    <w:autoSpaceDE w:val="0"/>
                    <w:bidi w:val="0"/>
                    <w:spacing w:beforeAutospacing="0" w:afterAutospacing="0" w:line="240" w:lineRule="auto"/>
                    <w:ind w:right="0" w:rightChars="0"/>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16</w:t>
                  </w:r>
                </w:p>
              </w:tc>
              <w:tc>
                <w:tcPr>
                  <w:tcW w:w="3235" w:type="dxa"/>
                  <w:tcBorders>
                    <w:tl2br w:val="nil"/>
                    <w:tr2bl w:val="nil"/>
                  </w:tcBorders>
                  <w:shd w:val="clear" w:color="auto" w:fill="auto"/>
                  <w:vAlign w:val="center"/>
                </w:tcPr>
                <w:p w14:paraId="0DB6A31E">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固体废物贮存</w:t>
                  </w:r>
                </w:p>
                <w:p w14:paraId="0D36B765">
                  <w:pPr>
                    <w:keepLines w:val="0"/>
                    <w:pageBreakBefore w:val="0"/>
                    <w:widowControl/>
                    <w:numPr>
                      <w:ilvl w:val="0"/>
                      <w:numId w:val="0"/>
                    </w:numPr>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1.</w:t>
                  </w:r>
                  <w:r>
                    <w:rPr>
                      <w:rFonts w:hint="eastAsia" w:ascii="Times New Roman" w:hAnsi="Times New Roman" w:eastAsia="宋体" w:cs="Times New Roman"/>
                      <w:color w:val="auto"/>
                      <w:kern w:val="0"/>
                      <w:sz w:val="21"/>
                      <w:szCs w:val="21"/>
                      <w:highlight w:val="none"/>
                      <w:vertAlign w:val="baseline"/>
                      <w:lang w:val="en-US" w:eastAsia="zh-CN" w:bidi="ar-SA"/>
                    </w:rPr>
                    <w:t>固体废物的贮存设施建设应符合GB18599、GB18597、HI2025的要求。</w:t>
                  </w:r>
                </w:p>
                <w:p w14:paraId="11F1E23B">
                  <w:pPr>
                    <w:keepLines w:val="0"/>
                    <w:pageBreakBefore w:val="0"/>
                    <w:widowControl/>
                    <w:numPr>
                      <w:ilvl w:val="0"/>
                      <w:numId w:val="0"/>
                    </w:numPr>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2</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一般工业固体废物贮存设施及包装物应按GB15562.2进行标识，危险废物贮存设施及包装物的标志应符合GB18597的要求。所有固体废物避免混合、混放。</w:t>
                  </w:r>
                </w:p>
                <w:p w14:paraId="08260E46">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3</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妥善处置固体废物，不应非法转移倾倒、利用和处置。</w:t>
                  </w:r>
                </w:p>
                <w:p w14:paraId="011D1199">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4</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不同类型的制冷剂应分别回收，使用专门容器单独存放</w:t>
                  </w:r>
                </w:p>
                <w:p w14:paraId="61C0DADE">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5</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废弃电器、铅酸蓄电池贮存场地不得有明火。</w:t>
                  </w:r>
                </w:p>
                <w:p w14:paraId="667DCECA">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6</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容器和装置要防漏和防止酒溅，天引爆安全气囊的贮存装置应防爆，并对其进行日常性检查</w:t>
                  </w:r>
                  <w:r>
                    <w:rPr>
                      <w:rFonts w:hint="eastAsia" w:cs="Times New Roman"/>
                      <w:color w:val="auto"/>
                      <w:kern w:val="0"/>
                      <w:sz w:val="21"/>
                      <w:szCs w:val="21"/>
                      <w:highlight w:val="none"/>
                      <w:vertAlign w:val="baseline"/>
                      <w:lang w:val="en-US" w:eastAsia="zh-CN" w:bidi="ar-SA"/>
                    </w:rPr>
                    <w:t>。</w:t>
                  </w:r>
                </w:p>
                <w:p w14:paraId="496DA6C3">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7对拆解后的所有固体废物分类贮存和标识</w:t>
                  </w:r>
                  <w:r>
                    <w:rPr>
                      <w:rFonts w:hint="eastAsia" w:cs="Times New Roman"/>
                      <w:color w:val="auto"/>
                      <w:kern w:val="0"/>
                      <w:sz w:val="21"/>
                      <w:szCs w:val="21"/>
                      <w:highlight w:val="none"/>
                      <w:vertAlign w:val="baseline"/>
                      <w:lang w:val="en-US" w:eastAsia="zh-CN" w:bidi="ar-SA"/>
                    </w:rPr>
                    <w:t>。</w:t>
                  </w:r>
                </w:p>
                <w:p w14:paraId="1B4D7299">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8报废机动车主要固体废物的贮存方法可参见表B.1。</w:t>
                  </w:r>
                </w:p>
              </w:tc>
              <w:tc>
                <w:tcPr>
                  <w:tcW w:w="2810" w:type="dxa"/>
                  <w:tcBorders>
                    <w:tl2br w:val="nil"/>
                    <w:tr2bl w:val="nil"/>
                  </w:tcBorders>
                  <w:shd w:val="clear" w:color="auto" w:fill="auto"/>
                  <w:vAlign w:val="center"/>
                </w:tcPr>
                <w:p w14:paraId="3C811242">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固体废物的贮存设施建设应符合GB18599、GB18597、HJ2025的要求。</w:t>
                  </w:r>
                </w:p>
                <w:p w14:paraId="7BAC7FDE">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一般工业固体废物贮存设施及包装物应按GB15562.2进行标识，危险废物贮存设施及包装物的标志应符合GB18597的要求。所有固体废物避免混合、混放。</w:t>
                  </w:r>
                </w:p>
                <w:p w14:paraId="12B67098">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妥善处置固体废物，不应非法转移、倾倒、利用和处置。</w:t>
                  </w:r>
                </w:p>
                <w:p w14:paraId="755132B2">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不同类型的制冷剂应分别回收，使用专门容器单独存放废弃电器、铅酸蓄电池贮存场地不得有明火。容器和装置要防漏和防止酒溅，未引爆安全气囊的贮存装置应防爆，并对其进行日常性检查对拆解后的所有固体废物分类贮存和标识项目设置危废</w:t>
                  </w:r>
                  <w:r>
                    <w:rPr>
                      <w:rFonts w:hint="eastAsia" w:cs="Times New Roman"/>
                      <w:color w:val="auto"/>
                      <w:kern w:val="0"/>
                      <w:sz w:val="21"/>
                      <w:szCs w:val="21"/>
                      <w:highlight w:val="none"/>
                      <w:vertAlign w:val="baseline"/>
                      <w:lang w:val="en-US" w:eastAsia="zh-CN" w:bidi="ar-SA"/>
                    </w:rPr>
                    <w:t>贮存点</w:t>
                  </w:r>
                  <w:r>
                    <w:rPr>
                      <w:rFonts w:hint="eastAsia" w:ascii="Times New Roman" w:hAnsi="Times New Roman" w:eastAsia="宋体" w:cs="Times New Roman"/>
                      <w:color w:val="auto"/>
                      <w:kern w:val="0"/>
                      <w:sz w:val="21"/>
                      <w:szCs w:val="21"/>
                      <w:highlight w:val="none"/>
                      <w:vertAlign w:val="baseline"/>
                      <w:lang w:val="en-US" w:eastAsia="zh-CN" w:bidi="ar-SA"/>
                    </w:rPr>
                    <w:t>，各类危险废物分区存放</w:t>
                  </w:r>
                  <w:r>
                    <w:rPr>
                      <w:rFonts w:hint="eastAsia" w:cs="Times New Roman"/>
                      <w:color w:val="auto"/>
                      <w:kern w:val="0"/>
                      <w:sz w:val="21"/>
                      <w:szCs w:val="21"/>
                      <w:highlight w:val="none"/>
                      <w:vertAlign w:val="baseline"/>
                      <w:lang w:val="en-US" w:eastAsia="zh-CN" w:bidi="ar-SA"/>
                    </w:rPr>
                    <w:t>。</w:t>
                  </w:r>
                </w:p>
              </w:tc>
              <w:tc>
                <w:tcPr>
                  <w:tcW w:w="948" w:type="dxa"/>
                  <w:tcBorders>
                    <w:tl2br w:val="nil"/>
                    <w:tr2bl w:val="nil"/>
                  </w:tcBorders>
                  <w:shd w:val="clear" w:color="auto" w:fill="auto"/>
                  <w:vAlign w:val="center"/>
                </w:tcPr>
                <w:p w14:paraId="089A0E56">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37D397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1" w:type="dxa"/>
                  <w:tcBorders>
                    <w:tl2br w:val="nil"/>
                    <w:tr2bl w:val="nil"/>
                  </w:tcBorders>
                  <w:shd w:val="clear" w:color="auto" w:fill="auto"/>
                  <w:vAlign w:val="center"/>
                </w:tcPr>
                <w:p w14:paraId="12CBB8D7">
                  <w:pPr>
                    <w:keepLines w:val="0"/>
                    <w:pageBreakBefore w:val="0"/>
                    <w:widowControl/>
                    <w:topLinePunct w:val="0"/>
                    <w:autoSpaceDE w:val="0"/>
                    <w:bidi w:val="0"/>
                    <w:spacing w:beforeAutospacing="0" w:afterAutospacing="0" w:line="240" w:lineRule="auto"/>
                    <w:ind w:right="0" w:rightChars="0"/>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17</w:t>
                  </w:r>
                </w:p>
              </w:tc>
              <w:tc>
                <w:tcPr>
                  <w:tcW w:w="3235" w:type="dxa"/>
                  <w:tcBorders>
                    <w:tl2br w:val="nil"/>
                    <w:tr2bl w:val="nil"/>
                  </w:tcBorders>
                  <w:shd w:val="clear" w:color="auto" w:fill="auto"/>
                  <w:vAlign w:val="center"/>
                </w:tcPr>
                <w:p w14:paraId="1208864B">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动力蓄电池贮存</w:t>
                  </w:r>
                </w:p>
                <w:p w14:paraId="1659DB3C">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1</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动力蓄电池的贮存应按照WB/T1061的贮存要求执行。</w:t>
                  </w:r>
                </w:p>
                <w:p w14:paraId="58EB10D7">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2</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动力蓄电池多层贮存时应采取框架结构并确保承重安全，且便于存取。</w:t>
                  </w:r>
                </w:p>
                <w:p w14:paraId="7184E16C">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3</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存在漏电、液、破损等安全隐患的动力蓄电池应采取适当方式处理，并隔离存放。</w:t>
                  </w:r>
                </w:p>
              </w:tc>
              <w:tc>
                <w:tcPr>
                  <w:tcW w:w="2810" w:type="dxa"/>
                  <w:tcBorders>
                    <w:tl2br w:val="nil"/>
                    <w:tr2bl w:val="nil"/>
                  </w:tcBorders>
                  <w:shd w:val="clear" w:color="auto" w:fill="auto"/>
                  <w:vAlign w:val="center"/>
                </w:tcPr>
                <w:p w14:paraId="6ADC1740">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本项目拆解下的动力蓄电池存储于危废</w:t>
                  </w:r>
                  <w:r>
                    <w:rPr>
                      <w:rFonts w:hint="eastAsia" w:cs="Times New Roman"/>
                      <w:color w:val="auto"/>
                      <w:kern w:val="0"/>
                      <w:sz w:val="21"/>
                      <w:szCs w:val="21"/>
                      <w:highlight w:val="none"/>
                      <w:vertAlign w:val="baseline"/>
                      <w:lang w:val="en-US" w:eastAsia="zh-CN" w:bidi="ar-SA"/>
                    </w:rPr>
                    <w:t>贮存点</w:t>
                  </w:r>
                  <w:r>
                    <w:rPr>
                      <w:rFonts w:hint="eastAsia" w:ascii="Times New Roman" w:hAnsi="Times New Roman" w:eastAsia="宋体" w:cs="Times New Roman"/>
                      <w:color w:val="auto"/>
                      <w:kern w:val="0"/>
                      <w:sz w:val="21"/>
                      <w:szCs w:val="21"/>
                      <w:highlight w:val="none"/>
                      <w:vertAlign w:val="baseline"/>
                      <w:lang w:val="en-US" w:eastAsia="zh-CN" w:bidi="ar-SA"/>
                    </w:rPr>
                    <w:t>，分区存放，应符合动力蓄电池存储要求</w:t>
                  </w:r>
                  <w:r>
                    <w:rPr>
                      <w:rFonts w:hint="eastAsia" w:cs="Times New Roman"/>
                      <w:color w:val="auto"/>
                      <w:kern w:val="0"/>
                      <w:sz w:val="21"/>
                      <w:szCs w:val="21"/>
                      <w:highlight w:val="none"/>
                      <w:vertAlign w:val="baseline"/>
                      <w:lang w:val="en-US" w:eastAsia="zh-CN" w:bidi="ar-SA"/>
                    </w:rPr>
                    <w:t>。</w:t>
                  </w:r>
                </w:p>
              </w:tc>
              <w:tc>
                <w:tcPr>
                  <w:tcW w:w="948" w:type="dxa"/>
                  <w:tcBorders>
                    <w:tl2br w:val="nil"/>
                    <w:tr2bl w:val="nil"/>
                  </w:tcBorders>
                  <w:shd w:val="clear" w:color="auto" w:fill="auto"/>
                  <w:vAlign w:val="center"/>
                </w:tcPr>
                <w:p w14:paraId="6C37F7B9">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104F96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1" w:type="dxa"/>
                  <w:tcBorders>
                    <w:tl2br w:val="nil"/>
                    <w:tr2bl w:val="nil"/>
                  </w:tcBorders>
                  <w:shd w:val="clear" w:color="auto" w:fill="auto"/>
                  <w:vAlign w:val="center"/>
                </w:tcPr>
                <w:p w14:paraId="1F884AD7">
                  <w:pPr>
                    <w:keepLines w:val="0"/>
                    <w:pageBreakBefore w:val="0"/>
                    <w:widowControl/>
                    <w:topLinePunct w:val="0"/>
                    <w:autoSpaceDE w:val="0"/>
                    <w:bidi w:val="0"/>
                    <w:spacing w:beforeAutospacing="0" w:afterAutospacing="0" w:line="240" w:lineRule="auto"/>
                    <w:ind w:right="0" w:rightChars="0"/>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18</w:t>
                  </w:r>
                </w:p>
              </w:tc>
              <w:tc>
                <w:tcPr>
                  <w:tcW w:w="3235" w:type="dxa"/>
                  <w:tcBorders>
                    <w:tl2br w:val="nil"/>
                    <w:tr2bl w:val="nil"/>
                  </w:tcBorders>
                  <w:shd w:val="clear" w:color="auto" w:fill="auto"/>
                  <w:vAlign w:val="center"/>
                </w:tcPr>
                <w:p w14:paraId="19C16289">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拆解电动汽车的企业，应接受汽车生产企业的技术指导，根据汽车生产企业提供的拆解信息或手册制定拆解作业程序或作业指导书，配备相应安全技术人员。应将从报废电动汽车上拆卸下来的动力蓄电池包</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组</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交售给电动汽车生产企业建立的动力蓄电池回收服务网点或从事废旧动力蓄电池综合利用的企业处理，不应拆解。</w:t>
                  </w:r>
                </w:p>
              </w:tc>
              <w:tc>
                <w:tcPr>
                  <w:tcW w:w="2810" w:type="dxa"/>
                  <w:tcBorders>
                    <w:tl2br w:val="nil"/>
                    <w:tr2bl w:val="nil"/>
                  </w:tcBorders>
                  <w:shd w:val="clear" w:color="auto" w:fill="auto"/>
                  <w:vAlign w:val="center"/>
                </w:tcPr>
                <w:p w14:paraId="419B7456">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项目不回收/拆解报废机动车。</w:t>
                  </w:r>
                </w:p>
              </w:tc>
              <w:tc>
                <w:tcPr>
                  <w:tcW w:w="948" w:type="dxa"/>
                  <w:tcBorders>
                    <w:tl2br w:val="nil"/>
                    <w:tr2bl w:val="nil"/>
                  </w:tcBorders>
                  <w:shd w:val="clear" w:color="auto" w:fill="auto"/>
                  <w:vAlign w:val="center"/>
                </w:tcPr>
                <w:p w14:paraId="22262ED1">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307823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1" w:type="dxa"/>
                  <w:tcBorders>
                    <w:tl2br w:val="nil"/>
                    <w:tr2bl w:val="nil"/>
                  </w:tcBorders>
                  <w:shd w:val="clear" w:color="auto" w:fill="auto"/>
                  <w:vAlign w:val="center"/>
                </w:tcPr>
                <w:p w14:paraId="46981F9F">
                  <w:pPr>
                    <w:keepLines w:val="0"/>
                    <w:pageBreakBefore w:val="0"/>
                    <w:widowControl/>
                    <w:topLinePunct w:val="0"/>
                    <w:autoSpaceDE w:val="0"/>
                    <w:bidi w:val="0"/>
                    <w:spacing w:beforeAutospacing="0" w:afterAutospacing="0" w:line="240" w:lineRule="auto"/>
                    <w:ind w:right="0" w:rightChars="0"/>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19</w:t>
                  </w:r>
                </w:p>
              </w:tc>
              <w:tc>
                <w:tcPr>
                  <w:tcW w:w="3235" w:type="dxa"/>
                  <w:tcBorders>
                    <w:tl2br w:val="nil"/>
                    <w:tr2bl w:val="nil"/>
                  </w:tcBorders>
                  <w:shd w:val="clear" w:color="auto" w:fill="auto"/>
                  <w:vAlign w:val="center"/>
                </w:tcPr>
                <w:p w14:paraId="1D480463">
                  <w:pPr>
                    <w:keepLines w:val="0"/>
                    <w:pageBreakBefore w:val="0"/>
                    <w:widowControl/>
                    <w:topLinePunct w:val="0"/>
                    <w:autoSpaceDE w:val="0"/>
                    <w:bidi w:val="0"/>
                    <w:spacing w:beforeAutospacing="0" w:afterAutospacing="0" w:line="240" w:lineRule="auto"/>
                    <w:ind w:right="0" w:rightChars="0"/>
                    <w:jc w:val="center"/>
                    <w:rPr>
                      <w:rFonts w:hint="eastAsia"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拆解预处理技术要求</w:t>
                  </w:r>
                  <w:r>
                    <w:rPr>
                      <w:rFonts w:hint="eastAsia" w:cs="Times New Roman"/>
                      <w:color w:val="auto"/>
                      <w:kern w:val="0"/>
                      <w:sz w:val="21"/>
                      <w:szCs w:val="21"/>
                      <w:highlight w:val="none"/>
                      <w:vertAlign w:val="baseline"/>
                      <w:lang w:val="en-US" w:eastAsia="zh-CN" w:bidi="ar-SA"/>
                    </w:rPr>
                    <w:t>：</w:t>
                  </w:r>
                </w:p>
                <w:p w14:paraId="4812941F">
                  <w:pPr>
                    <w:keepLines w:val="0"/>
                    <w:pageBreakBefore w:val="0"/>
                    <w:widowControl/>
                    <w:numPr>
                      <w:ilvl w:val="0"/>
                      <w:numId w:val="2"/>
                    </w:numPr>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在室内或有防雨顶棚的拆解预处理平台上使用专用工具排空存留在车内的废液，并使用专用容器分类回收</w:t>
                  </w:r>
                  <w:r>
                    <w:rPr>
                      <w:rFonts w:hint="eastAsia" w:cs="Times New Roman"/>
                      <w:color w:val="auto"/>
                      <w:kern w:val="0"/>
                      <w:sz w:val="21"/>
                      <w:szCs w:val="21"/>
                      <w:highlight w:val="none"/>
                      <w:vertAlign w:val="baseline"/>
                      <w:lang w:val="en-US" w:eastAsia="zh-CN" w:bidi="ar-SA"/>
                    </w:rPr>
                    <w:t>；</w:t>
                  </w:r>
                </w:p>
                <w:p w14:paraId="6AC97118">
                  <w:pPr>
                    <w:keepLines w:val="0"/>
                    <w:pageBreakBefore w:val="0"/>
                    <w:widowControl/>
                    <w:numPr>
                      <w:ilvl w:val="0"/>
                      <w:numId w:val="2"/>
                    </w:numPr>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拆除铅酸蓄电池</w:t>
                  </w:r>
                  <w:r>
                    <w:rPr>
                      <w:rFonts w:hint="eastAsia" w:cs="Times New Roman"/>
                      <w:color w:val="auto"/>
                      <w:kern w:val="0"/>
                      <w:sz w:val="21"/>
                      <w:szCs w:val="21"/>
                      <w:highlight w:val="none"/>
                      <w:vertAlign w:val="baseline"/>
                      <w:lang w:val="en-US" w:eastAsia="zh-CN" w:bidi="ar-SA"/>
                    </w:rPr>
                    <w:t>；</w:t>
                  </w:r>
                </w:p>
                <w:p w14:paraId="78E26659">
                  <w:pPr>
                    <w:keepLines w:val="0"/>
                    <w:pageBreakBefore w:val="0"/>
                    <w:widowControl/>
                    <w:numPr>
                      <w:ilvl w:val="0"/>
                      <w:numId w:val="2"/>
                    </w:numPr>
                    <w:topLinePunct w:val="0"/>
                    <w:autoSpaceDE w:val="0"/>
                    <w:bidi w:val="0"/>
                    <w:spacing w:beforeAutospacing="0" w:afterAutospacing="0" w:line="240" w:lineRule="auto"/>
                    <w:ind w:left="0" w:leftChars="0" w:right="0" w:rightChars="0" w:firstLine="0" w:firstLine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用专门设备回收机动车空调制冷剂</w:t>
                  </w:r>
                  <w:r>
                    <w:rPr>
                      <w:rFonts w:hint="eastAsia" w:cs="Times New Roman"/>
                      <w:color w:val="auto"/>
                      <w:kern w:val="0"/>
                      <w:sz w:val="21"/>
                      <w:szCs w:val="21"/>
                      <w:highlight w:val="none"/>
                      <w:vertAlign w:val="baseline"/>
                      <w:lang w:val="en-US" w:eastAsia="zh-CN" w:bidi="ar-SA"/>
                    </w:rPr>
                    <w:t>；</w:t>
                  </w:r>
                </w:p>
                <w:p w14:paraId="020EE05D">
                  <w:pPr>
                    <w:keepLines w:val="0"/>
                    <w:pageBreakBefore w:val="0"/>
                    <w:widowControl/>
                    <w:numPr>
                      <w:ilvl w:val="0"/>
                      <w:numId w:val="2"/>
                    </w:numPr>
                    <w:topLinePunct w:val="0"/>
                    <w:autoSpaceDE w:val="0"/>
                    <w:bidi w:val="0"/>
                    <w:spacing w:beforeAutospacing="0" w:afterAutospacing="0" w:line="240" w:lineRule="auto"/>
                    <w:ind w:left="0" w:leftChars="0" w:right="0" w:rightChars="0" w:firstLine="0" w:firstLineChars="0"/>
                    <w:jc w:val="center"/>
                    <w:rPr>
                      <w:rFonts w:hint="eastAsia"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拆除油箱和燃料罐</w:t>
                  </w:r>
                  <w:r>
                    <w:rPr>
                      <w:rFonts w:hint="eastAsia" w:cs="Times New Roman"/>
                      <w:color w:val="auto"/>
                      <w:kern w:val="0"/>
                      <w:sz w:val="21"/>
                      <w:szCs w:val="21"/>
                      <w:highlight w:val="none"/>
                      <w:vertAlign w:val="baseline"/>
                      <w:lang w:val="en-US" w:eastAsia="zh-CN" w:bidi="ar-SA"/>
                    </w:rPr>
                    <w:t>；</w:t>
                  </w:r>
                </w:p>
                <w:p w14:paraId="682AB58D">
                  <w:pPr>
                    <w:keepLines w:val="0"/>
                    <w:pageBreakBefore w:val="0"/>
                    <w:widowControl/>
                    <w:numPr>
                      <w:ilvl w:val="0"/>
                      <w:numId w:val="0"/>
                    </w:numPr>
                    <w:topLinePunct w:val="0"/>
                    <w:autoSpaceDE w:val="0"/>
                    <w:bidi w:val="0"/>
                    <w:spacing w:beforeAutospacing="0" w:afterAutospacing="0" w:line="240" w:lineRule="auto"/>
                    <w:ind w:leftChars="0"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e</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拆除机油清器</w:t>
                  </w:r>
                  <w:r>
                    <w:rPr>
                      <w:rFonts w:hint="eastAsia" w:cs="Times New Roman"/>
                      <w:color w:val="auto"/>
                      <w:kern w:val="0"/>
                      <w:sz w:val="21"/>
                      <w:szCs w:val="21"/>
                      <w:highlight w:val="none"/>
                      <w:vertAlign w:val="baseline"/>
                      <w:lang w:val="en-US" w:eastAsia="zh-CN" w:bidi="ar-SA"/>
                    </w:rPr>
                    <w:t>；</w:t>
                  </w:r>
                </w:p>
                <w:p w14:paraId="3FBC70CB">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f）</w:t>
                  </w:r>
                  <w:r>
                    <w:rPr>
                      <w:rFonts w:hint="eastAsia" w:ascii="Times New Roman" w:hAnsi="Times New Roman" w:eastAsia="宋体" w:cs="Times New Roman"/>
                      <w:color w:val="auto"/>
                      <w:kern w:val="0"/>
                      <w:sz w:val="21"/>
                      <w:szCs w:val="21"/>
                      <w:highlight w:val="none"/>
                      <w:vertAlign w:val="baseline"/>
                      <w:lang w:val="en-US" w:eastAsia="zh-CN" w:bidi="ar-SA"/>
                    </w:rPr>
                    <w:t>直接引爆安全气囊或者拆除安全气囊组件后引爆</w:t>
                  </w:r>
                  <w:r>
                    <w:rPr>
                      <w:rFonts w:hint="eastAsia" w:cs="Times New Roman"/>
                      <w:color w:val="auto"/>
                      <w:kern w:val="0"/>
                      <w:sz w:val="21"/>
                      <w:szCs w:val="21"/>
                      <w:highlight w:val="none"/>
                      <w:vertAlign w:val="baseline"/>
                      <w:lang w:val="en-US" w:eastAsia="zh-CN" w:bidi="ar-SA"/>
                    </w:rPr>
                    <w:t>；</w:t>
                  </w:r>
                </w:p>
                <w:p w14:paraId="64EC24C0">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g</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拆除催化系统</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催化转化器，选择性催化还原装置、柴油颗粒物捕集器等。</w:t>
                  </w:r>
                </w:p>
              </w:tc>
              <w:tc>
                <w:tcPr>
                  <w:tcW w:w="2810" w:type="dxa"/>
                  <w:tcBorders>
                    <w:tl2br w:val="nil"/>
                    <w:tr2bl w:val="nil"/>
                  </w:tcBorders>
                  <w:shd w:val="clear" w:color="auto" w:fill="auto"/>
                  <w:vAlign w:val="center"/>
                </w:tcPr>
                <w:p w14:paraId="73F6FEB4">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设置拆解车间并设置预处理平台，按拆解预处理要求进行工作</w:t>
                  </w:r>
                  <w:r>
                    <w:rPr>
                      <w:rFonts w:hint="eastAsia" w:cs="Times New Roman"/>
                      <w:color w:val="auto"/>
                      <w:kern w:val="0"/>
                      <w:sz w:val="21"/>
                      <w:szCs w:val="21"/>
                      <w:highlight w:val="none"/>
                      <w:vertAlign w:val="baseline"/>
                      <w:lang w:val="en-US" w:eastAsia="zh-CN" w:bidi="ar-SA"/>
                    </w:rPr>
                    <w:t>。</w:t>
                  </w:r>
                </w:p>
              </w:tc>
              <w:tc>
                <w:tcPr>
                  <w:tcW w:w="948" w:type="dxa"/>
                  <w:tcBorders>
                    <w:tl2br w:val="nil"/>
                    <w:tr2bl w:val="nil"/>
                  </w:tcBorders>
                  <w:shd w:val="clear" w:color="auto" w:fill="auto"/>
                  <w:vAlign w:val="center"/>
                </w:tcPr>
                <w:p w14:paraId="34B1AAD5">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0808B8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1" w:type="dxa"/>
                  <w:tcBorders>
                    <w:tl2br w:val="nil"/>
                    <w:tr2bl w:val="nil"/>
                  </w:tcBorders>
                  <w:shd w:val="clear" w:color="auto" w:fill="auto"/>
                  <w:vAlign w:val="center"/>
                </w:tcPr>
                <w:p w14:paraId="02A023DF">
                  <w:pPr>
                    <w:keepLines w:val="0"/>
                    <w:pageBreakBefore w:val="0"/>
                    <w:widowControl/>
                    <w:topLinePunct w:val="0"/>
                    <w:autoSpaceDE w:val="0"/>
                    <w:bidi w:val="0"/>
                    <w:spacing w:beforeAutospacing="0" w:afterAutospacing="0" w:line="240" w:lineRule="auto"/>
                    <w:ind w:right="0" w:rightChars="0"/>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20</w:t>
                  </w:r>
                </w:p>
              </w:tc>
              <w:tc>
                <w:tcPr>
                  <w:tcW w:w="3235" w:type="dxa"/>
                  <w:tcBorders>
                    <w:tl2br w:val="nil"/>
                    <w:tr2bl w:val="nil"/>
                  </w:tcBorders>
                  <w:shd w:val="clear" w:color="auto" w:fill="auto"/>
                  <w:vAlign w:val="center"/>
                </w:tcPr>
                <w:p w14:paraId="48C6226E">
                  <w:pPr>
                    <w:keepLines w:val="0"/>
                    <w:pageBreakBefore w:val="0"/>
                    <w:widowControl/>
                    <w:topLinePunct w:val="0"/>
                    <w:autoSpaceDE w:val="0"/>
                    <w:bidi w:val="0"/>
                    <w:spacing w:beforeAutospacing="0" w:afterAutospacing="0" w:line="240" w:lineRule="auto"/>
                    <w:ind w:right="0" w:rightChars="0"/>
                    <w:jc w:val="center"/>
                    <w:rPr>
                      <w:rFonts w:hint="eastAsia"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动力蓄电池拆卸技术要求</w:t>
                  </w:r>
                  <w:r>
                    <w:rPr>
                      <w:rFonts w:hint="eastAsia" w:cs="Times New Roman"/>
                      <w:color w:val="auto"/>
                      <w:kern w:val="0"/>
                      <w:sz w:val="21"/>
                      <w:szCs w:val="21"/>
                      <w:highlight w:val="none"/>
                      <w:vertAlign w:val="baseline"/>
                      <w:lang w:val="en-US" w:eastAsia="zh-CN" w:bidi="ar-SA"/>
                    </w:rPr>
                    <w:t>：</w:t>
                  </w:r>
                </w:p>
                <w:p w14:paraId="034322DE">
                  <w:pPr>
                    <w:keepLines w:val="0"/>
                    <w:pageBreakBefore w:val="0"/>
                    <w:widowControl/>
                    <w:numPr>
                      <w:ilvl w:val="0"/>
                      <w:numId w:val="3"/>
                    </w:numPr>
                    <w:topLinePunct w:val="0"/>
                    <w:autoSpaceDE w:val="0"/>
                    <w:bidi w:val="0"/>
                    <w:spacing w:beforeAutospacing="0" w:afterAutospacing="0" w:line="240" w:lineRule="auto"/>
                    <w:ind w:right="0" w:rightChars="0"/>
                    <w:jc w:val="center"/>
                    <w:rPr>
                      <w:rFonts w:hint="eastAsia"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拆卸动力蓄电池阻挡部件，如引盖、行李箱盖、车门等</w:t>
                  </w:r>
                  <w:r>
                    <w:rPr>
                      <w:rFonts w:hint="eastAsia" w:cs="Times New Roman"/>
                      <w:color w:val="auto"/>
                      <w:kern w:val="0"/>
                      <w:sz w:val="21"/>
                      <w:szCs w:val="21"/>
                      <w:highlight w:val="none"/>
                      <w:vertAlign w:val="baseline"/>
                      <w:lang w:val="en-US" w:eastAsia="zh-CN" w:bidi="ar-SA"/>
                    </w:rPr>
                    <w:t>；</w:t>
                  </w:r>
                </w:p>
                <w:p w14:paraId="66613D7D">
                  <w:pPr>
                    <w:keepLines w:val="0"/>
                    <w:pageBreakBefore w:val="0"/>
                    <w:widowControl/>
                    <w:numPr>
                      <w:ilvl w:val="0"/>
                      <w:numId w:val="3"/>
                    </w:numPr>
                    <w:topLinePunct w:val="0"/>
                    <w:autoSpaceDE w:val="0"/>
                    <w:bidi w:val="0"/>
                    <w:spacing w:beforeAutospacing="0" w:afterAutospacing="0" w:line="240" w:lineRule="auto"/>
                    <w:ind w:left="0" w:leftChars="0" w:right="0" w:rightChars="0" w:firstLine="0" w:firstLineChars="0"/>
                    <w:jc w:val="center"/>
                    <w:rPr>
                      <w:rFonts w:hint="eastAsia"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断开电压线束</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电缆</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，拆卸不同安装位置的动力蓄电池</w:t>
                  </w:r>
                  <w:r>
                    <w:rPr>
                      <w:rFonts w:hint="eastAsia" w:cs="Times New Roman"/>
                      <w:color w:val="auto"/>
                      <w:kern w:val="0"/>
                      <w:sz w:val="21"/>
                      <w:szCs w:val="21"/>
                      <w:highlight w:val="none"/>
                      <w:vertAlign w:val="baseline"/>
                      <w:lang w:val="en-US" w:eastAsia="zh-CN" w:bidi="ar-SA"/>
                    </w:rPr>
                    <w:t>；</w:t>
                  </w:r>
                </w:p>
                <w:p w14:paraId="4BA78D0E">
                  <w:pPr>
                    <w:keepLines w:val="0"/>
                    <w:pageBreakBefore w:val="0"/>
                    <w:widowControl/>
                    <w:numPr>
                      <w:ilvl w:val="0"/>
                      <w:numId w:val="3"/>
                    </w:numPr>
                    <w:topLinePunct w:val="0"/>
                    <w:autoSpaceDE w:val="0"/>
                    <w:bidi w:val="0"/>
                    <w:spacing w:beforeAutospacing="0" w:afterAutospacing="0" w:line="240" w:lineRule="auto"/>
                    <w:ind w:left="0" w:leftChars="0" w:right="0" w:rightChars="0" w:firstLine="0" w:firstLineChars="0"/>
                    <w:jc w:val="center"/>
                    <w:rPr>
                      <w:rFonts w:hint="eastAsia"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收集采用液冷结构方式散热的动力蓄电池包</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组</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内的冷却液</w:t>
                  </w:r>
                  <w:r>
                    <w:rPr>
                      <w:rFonts w:hint="eastAsia" w:cs="Times New Roman"/>
                      <w:color w:val="auto"/>
                      <w:kern w:val="0"/>
                      <w:sz w:val="21"/>
                      <w:szCs w:val="21"/>
                      <w:highlight w:val="none"/>
                      <w:vertAlign w:val="baseline"/>
                      <w:lang w:val="en-US" w:eastAsia="zh-CN" w:bidi="ar-SA"/>
                    </w:rPr>
                    <w:t>；</w:t>
                  </w:r>
                </w:p>
                <w:p w14:paraId="4E8C4F17">
                  <w:pPr>
                    <w:keepLines w:val="0"/>
                    <w:pageBreakBefore w:val="0"/>
                    <w:widowControl/>
                    <w:numPr>
                      <w:ilvl w:val="0"/>
                      <w:numId w:val="3"/>
                    </w:numPr>
                    <w:topLinePunct w:val="0"/>
                    <w:autoSpaceDE w:val="0"/>
                    <w:bidi w:val="0"/>
                    <w:spacing w:beforeAutospacing="0" w:afterAutospacing="0" w:line="240" w:lineRule="auto"/>
                    <w:ind w:left="0" w:leftChars="0" w:right="0" w:rightChars="0" w:firstLine="0" w:firstLineChars="0"/>
                    <w:jc w:val="center"/>
                    <w:rPr>
                      <w:rFonts w:hint="eastAsia"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对拆卸下的动力蓄电池线束接头、正负极片等外露线和金属物进行绝缘处理，并在其明显位置处贴上标签，标明绝缘状况</w:t>
                  </w:r>
                  <w:r>
                    <w:rPr>
                      <w:rFonts w:hint="eastAsia" w:cs="Times New Roman"/>
                      <w:color w:val="auto"/>
                      <w:kern w:val="0"/>
                      <w:sz w:val="21"/>
                      <w:szCs w:val="21"/>
                      <w:highlight w:val="none"/>
                      <w:vertAlign w:val="baseline"/>
                      <w:lang w:val="en-US" w:eastAsia="zh-CN" w:bidi="ar-SA"/>
                    </w:rPr>
                    <w:t>；</w:t>
                  </w:r>
                </w:p>
                <w:p w14:paraId="7FC25C8B">
                  <w:pPr>
                    <w:keepLines w:val="0"/>
                    <w:pageBreakBefore w:val="0"/>
                    <w:widowControl/>
                    <w:numPr>
                      <w:ilvl w:val="0"/>
                      <w:numId w:val="0"/>
                    </w:numPr>
                    <w:topLinePunct w:val="0"/>
                    <w:autoSpaceDE w:val="0"/>
                    <w:bidi w:val="0"/>
                    <w:spacing w:beforeAutospacing="0" w:afterAutospacing="0" w:line="240" w:lineRule="auto"/>
                    <w:ind w:leftChars="0"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e</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收集驱动电机总成内残余冷却液后，拆除驱动电机。</w:t>
                  </w:r>
                </w:p>
              </w:tc>
              <w:tc>
                <w:tcPr>
                  <w:tcW w:w="2810" w:type="dxa"/>
                  <w:tcBorders>
                    <w:tl2br w:val="nil"/>
                    <w:tr2bl w:val="nil"/>
                  </w:tcBorders>
                  <w:shd w:val="clear" w:color="auto" w:fill="auto"/>
                  <w:vAlign w:val="center"/>
                </w:tcPr>
                <w:p w14:paraId="4C9DFBCC">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动力蓄电池预拆解按照动力蓄电池拆卸预处理技术要求实施</w:t>
                  </w:r>
                  <w:r>
                    <w:rPr>
                      <w:rFonts w:hint="eastAsia" w:cs="Times New Roman"/>
                      <w:color w:val="auto"/>
                      <w:kern w:val="0"/>
                      <w:sz w:val="21"/>
                      <w:szCs w:val="21"/>
                      <w:highlight w:val="none"/>
                      <w:vertAlign w:val="baseline"/>
                      <w:lang w:val="en-US" w:eastAsia="zh-CN" w:bidi="ar-SA"/>
                    </w:rPr>
                    <w:t>。</w:t>
                  </w:r>
                </w:p>
              </w:tc>
              <w:tc>
                <w:tcPr>
                  <w:tcW w:w="948" w:type="dxa"/>
                  <w:tcBorders>
                    <w:tl2br w:val="nil"/>
                    <w:tr2bl w:val="nil"/>
                  </w:tcBorders>
                  <w:shd w:val="clear" w:color="auto" w:fill="auto"/>
                  <w:vAlign w:val="center"/>
                </w:tcPr>
                <w:p w14:paraId="3E742D3F">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r w14:paraId="386132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1" w:type="dxa"/>
                  <w:tcBorders>
                    <w:tl2br w:val="nil"/>
                    <w:tr2bl w:val="nil"/>
                  </w:tcBorders>
                  <w:shd w:val="clear" w:color="auto" w:fill="auto"/>
                  <w:vAlign w:val="center"/>
                </w:tcPr>
                <w:p w14:paraId="22C6984C">
                  <w:pPr>
                    <w:keepLines w:val="0"/>
                    <w:pageBreakBefore w:val="0"/>
                    <w:widowControl/>
                    <w:topLinePunct w:val="0"/>
                    <w:autoSpaceDE w:val="0"/>
                    <w:bidi w:val="0"/>
                    <w:spacing w:beforeAutospacing="0" w:afterAutospacing="0" w:line="240" w:lineRule="auto"/>
                    <w:ind w:right="0" w:rightChars="0"/>
                    <w:jc w:val="center"/>
                    <w:rPr>
                      <w:rFonts w:hint="default"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21</w:t>
                  </w:r>
                </w:p>
              </w:tc>
              <w:tc>
                <w:tcPr>
                  <w:tcW w:w="3235" w:type="dxa"/>
                  <w:tcBorders>
                    <w:tl2br w:val="nil"/>
                    <w:tr2bl w:val="nil"/>
                  </w:tcBorders>
                  <w:shd w:val="clear" w:color="auto" w:fill="auto"/>
                  <w:vAlign w:val="center"/>
                </w:tcPr>
                <w:p w14:paraId="2D618803">
                  <w:pPr>
                    <w:keepLines w:val="0"/>
                    <w:pageBreakBefore w:val="0"/>
                    <w:widowControl/>
                    <w:topLinePunct w:val="0"/>
                    <w:autoSpaceDE w:val="0"/>
                    <w:bidi w:val="0"/>
                    <w:spacing w:beforeAutospacing="0" w:afterAutospacing="0" w:line="240" w:lineRule="auto"/>
                    <w:ind w:right="0" w:rightChars="0"/>
                    <w:jc w:val="center"/>
                    <w:rPr>
                      <w:rFonts w:hint="eastAsia"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动力蓄电池拆卸预处理技术要求</w:t>
                  </w:r>
                  <w:r>
                    <w:rPr>
                      <w:rFonts w:hint="eastAsia" w:cs="Times New Roman"/>
                      <w:color w:val="auto"/>
                      <w:kern w:val="0"/>
                      <w:sz w:val="21"/>
                      <w:szCs w:val="21"/>
                      <w:highlight w:val="none"/>
                      <w:vertAlign w:val="baseline"/>
                      <w:lang w:val="en-US" w:eastAsia="zh-CN" w:bidi="ar-SA"/>
                    </w:rPr>
                    <w:t>：</w:t>
                  </w:r>
                </w:p>
                <w:p w14:paraId="515E5D62">
                  <w:pPr>
                    <w:keepLines w:val="0"/>
                    <w:pageBreakBefore w:val="0"/>
                    <w:widowControl/>
                    <w:numPr>
                      <w:ilvl w:val="0"/>
                      <w:numId w:val="4"/>
                    </w:numPr>
                    <w:topLinePunct w:val="0"/>
                    <w:autoSpaceDE w:val="0"/>
                    <w:bidi w:val="0"/>
                    <w:spacing w:beforeAutospacing="0" w:afterAutospacing="0" w:line="240" w:lineRule="auto"/>
                    <w:ind w:right="0" w:rightChars="0"/>
                    <w:jc w:val="center"/>
                    <w:rPr>
                      <w:rFonts w:hint="eastAsia"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检查车身有无漏液、有无带电</w:t>
                  </w:r>
                  <w:r>
                    <w:rPr>
                      <w:rFonts w:hint="eastAsia" w:cs="Times New Roman"/>
                      <w:color w:val="auto"/>
                      <w:kern w:val="0"/>
                      <w:sz w:val="21"/>
                      <w:szCs w:val="21"/>
                      <w:highlight w:val="none"/>
                      <w:vertAlign w:val="baseline"/>
                      <w:lang w:val="en-US" w:eastAsia="zh-CN" w:bidi="ar-SA"/>
                    </w:rPr>
                    <w:t>；</w:t>
                  </w:r>
                </w:p>
                <w:p w14:paraId="6D08D45A">
                  <w:pPr>
                    <w:keepLines w:val="0"/>
                    <w:pageBreakBefore w:val="0"/>
                    <w:widowControl/>
                    <w:numPr>
                      <w:ilvl w:val="0"/>
                      <w:numId w:val="4"/>
                    </w:numPr>
                    <w:topLinePunct w:val="0"/>
                    <w:autoSpaceDE w:val="0"/>
                    <w:bidi w:val="0"/>
                    <w:spacing w:beforeAutospacing="0" w:afterAutospacing="0" w:line="240" w:lineRule="auto"/>
                    <w:ind w:left="0" w:leftChars="0" w:right="0" w:rightChars="0" w:firstLine="0" w:firstLineChars="0"/>
                    <w:jc w:val="center"/>
                    <w:rPr>
                      <w:rFonts w:hint="eastAsia"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检查动力蓄电池布局和安装位置</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确认诊断接口是否完好</w:t>
                  </w:r>
                  <w:r>
                    <w:rPr>
                      <w:rFonts w:hint="eastAsia" w:cs="Times New Roman"/>
                      <w:color w:val="auto"/>
                      <w:kern w:val="0"/>
                      <w:sz w:val="21"/>
                      <w:szCs w:val="21"/>
                      <w:highlight w:val="none"/>
                      <w:vertAlign w:val="baseline"/>
                      <w:lang w:val="en-US" w:eastAsia="zh-CN" w:bidi="ar-SA"/>
                    </w:rPr>
                    <w:t>；</w:t>
                  </w:r>
                </w:p>
                <w:p w14:paraId="765C08AB">
                  <w:pPr>
                    <w:keepLines w:val="0"/>
                    <w:pageBreakBefore w:val="0"/>
                    <w:widowControl/>
                    <w:numPr>
                      <w:ilvl w:val="0"/>
                      <w:numId w:val="4"/>
                    </w:numPr>
                    <w:topLinePunct w:val="0"/>
                    <w:autoSpaceDE w:val="0"/>
                    <w:bidi w:val="0"/>
                    <w:spacing w:beforeAutospacing="0" w:afterAutospacing="0" w:line="240" w:lineRule="auto"/>
                    <w:ind w:left="0" w:leftChars="0" w:right="0" w:rightChars="0" w:firstLine="0" w:firstLineChars="0"/>
                    <w:jc w:val="center"/>
                    <w:rPr>
                      <w:rFonts w:hint="eastAsia"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对动力蓄电池电压、温度等参数进行检测，评估其安全状态</w:t>
                  </w:r>
                  <w:r>
                    <w:rPr>
                      <w:rFonts w:hint="eastAsia" w:cs="Times New Roman"/>
                      <w:color w:val="auto"/>
                      <w:kern w:val="0"/>
                      <w:sz w:val="21"/>
                      <w:szCs w:val="21"/>
                      <w:highlight w:val="none"/>
                      <w:vertAlign w:val="baseline"/>
                      <w:lang w:val="en-US" w:eastAsia="zh-CN" w:bidi="ar-SA"/>
                    </w:rPr>
                    <w:t>；</w:t>
                  </w:r>
                </w:p>
                <w:p w14:paraId="5B04F28C">
                  <w:pPr>
                    <w:keepLines w:val="0"/>
                    <w:pageBreakBefore w:val="0"/>
                    <w:widowControl/>
                    <w:numPr>
                      <w:ilvl w:val="0"/>
                      <w:numId w:val="0"/>
                    </w:numPr>
                    <w:topLinePunct w:val="0"/>
                    <w:autoSpaceDE w:val="0"/>
                    <w:bidi w:val="0"/>
                    <w:spacing w:beforeAutospacing="0" w:afterAutospacing="0" w:line="240" w:lineRule="auto"/>
                    <w:ind w:leftChars="0"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d</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断开动力蓄电池高压回路</w:t>
                  </w:r>
                  <w:r>
                    <w:rPr>
                      <w:rFonts w:hint="eastAsia" w:cs="Times New Roman"/>
                      <w:color w:val="auto"/>
                      <w:kern w:val="0"/>
                      <w:sz w:val="21"/>
                      <w:szCs w:val="21"/>
                      <w:highlight w:val="none"/>
                      <w:vertAlign w:val="baseline"/>
                      <w:lang w:val="en-US" w:eastAsia="zh-CN" w:bidi="ar-SA"/>
                    </w:rPr>
                    <w:t>；</w:t>
                  </w:r>
                  <w:r>
                    <w:rPr>
                      <w:rFonts w:hint="eastAsia" w:ascii="Times New Roman" w:hAnsi="Times New Roman" w:eastAsia="宋体" w:cs="Times New Roman"/>
                      <w:color w:val="auto"/>
                      <w:kern w:val="0"/>
                      <w:sz w:val="21"/>
                      <w:szCs w:val="21"/>
                      <w:highlight w:val="none"/>
                      <w:vertAlign w:val="baseline"/>
                      <w:lang w:val="en-US" w:eastAsia="zh-CN" w:bidi="ar-SA"/>
                    </w:rPr>
                    <w:t>在室内或有防雨顶棚的拆解预处理平台上使用防静电工具排空存留在车内的废液，并使用专用容器分类回收</w:t>
                  </w:r>
                  <w:r>
                    <w:rPr>
                      <w:rFonts w:hint="eastAsia" w:cs="Times New Roman"/>
                      <w:color w:val="auto"/>
                      <w:kern w:val="0"/>
                      <w:sz w:val="21"/>
                      <w:szCs w:val="21"/>
                      <w:highlight w:val="none"/>
                      <w:vertAlign w:val="baseline"/>
                      <w:lang w:val="en-US" w:eastAsia="zh-CN" w:bidi="ar-SA"/>
                    </w:rPr>
                    <w:t>；</w:t>
                  </w:r>
                </w:p>
                <w:p w14:paraId="25560B10">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f）</w:t>
                  </w:r>
                  <w:r>
                    <w:rPr>
                      <w:rFonts w:hint="eastAsia" w:ascii="Times New Roman" w:hAnsi="Times New Roman" w:eastAsia="宋体" w:cs="Times New Roman"/>
                      <w:color w:val="auto"/>
                      <w:kern w:val="0"/>
                      <w:sz w:val="21"/>
                      <w:szCs w:val="21"/>
                      <w:highlight w:val="none"/>
                      <w:vertAlign w:val="baseline"/>
                      <w:lang w:val="en-US" w:eastAsia="zh-CN" w:bidi="ar-SA"/>
                    </w:rPr>
                    <w:t>使用防静电设备回收电动汽车空调制冷剂</w:t>
                  </w:r>
                  <w:r>
                    <w:rPr>
                      <w:rFonts w:hint="eastAsia" w:cs="Times New Roman"/>
                      <w:color w:val="auto"/>
                      <w:kern w:val="0"/>
                      <w:sz w:val="21"/>
                      <w:szCs w:val="21"/>
                      <w:highlight w:val="none"/>
                      <w:vertAlign w:val="baseline"/>
                      <w:lang w:val="en-US" w:eastAsia="zh-CN" w:bidi="ar-SA"/>
                    </w:rPr>
                    <w:t>。</w:t>
                  </w:r>
                </w:p>
              </w:tc>
              <w:tc>
                <w:tcPr>
                  <w:tcW w:w="2810" w:type="dxa"/>
                  <w:tcBorders>
                    <w:tl2br w:val="nil"/>
                    <w:tr2bl w:val="nil"/>
                  </w:tcBorders>
                  <w:shd w:val="clear" w:color="auto" w:fill="auto"/>
                  <w:vAlign w:val="center"/>
                </w:tcPr>
                <w:p w14:paraId="0FC565E8">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bidi="ar-SA"/>
                    </w:rPr>
                    <w:t>动力蓄电池预拆解按照动力蓄电池拆卸预处理技术要求实施</w:t>
                  </w:r>
                  <w:r>
                    <w:rPr>
                      <w:rFonts w:hint="eastAsia" w:cs="Times New Roman"/>
                      <w:color w:val="auto"/>
                      <w:kern w:val="0"/>
                      <w:sz w:val="21"/>
                      <w:szCs w:val="21"/>
                      <w:highlight w:val="none"/>
                      <w:vertAlign w:val="baseline"/>
                      <w:lang w:val="en-US" w:eastAsia="zh-CN" w:bidi="ar-SA"/>
                    </w:rPr>
                    <w:t>。</w:t>
                  </w:r>
                </w:p>
              </w:tc>
              <w:tc>
                <w:tcPr>
                  <w:tcW w:w="948" w:type="dxa"/>
                  <w:tcBorders>
                    <w:tl2br w:val="nil"/>
                    <w:tr2bl w:val="nil"/>
                  </w:tcBorders>
                  <w:shd w:val="clear" w:color="auto" w:fill="auto"/>
                  <w:vAlign w:val="center"/>
                </w:tcPr>
                <w:p w14:paraId="308CA095">
                  <w:pPr>
                    <w:keepLines w:val="0"/>
                    <w:pageBreakBefore w:val="0"/>
                    <w:widowControl/>
                    <w:topLinePunct w:val="0"/>
                    <w:autoSpaceDE w:val="0"/>
                    <w:bidi w:val="0"/>
                    <w:spacing w:beforeAutospacing="0" w:afterAutospacing="0" w:line="240" w:lineRule="auto"/>
                    <w:ind w:right="0" w:rightChars="0"/>
                    <w:jc w:val="center"/>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cs="Times New Roman"/>
                      <w:color w:val="auto"/>
                      <w:kern w:val="0"/>
                      <w:sz w:val="21"/>
                      <w:szCs w:val="21"/>
                      <w:highlight w:val="none"/>
                      <w:vertAlign w:val="baseline"/>
                      <w:lang w:val="en-US" w:eastAsia="zh-CN" w:bidi="ar-SA"/>
                    </w:rPr>
                    <w:t>符合</w:t>
                  </w:r>
                </w:p>
              </w:tc>
            </w:tr>
          </w:tbl>
          <w:p w14:paraId="18F57E23">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综上，本项目符合</w:t>
            </w:r>
            <w:r>
              <w:rPr>
                <w:rFonts w:hint="default" w:ascii="Times New Roman" w:hAnsi="Times New Roman" w:eastAsia="宋体" w:cs="Times New Roman"/>
                <w:color w:val="auto"/>
                <w:kern w:val="0"/>
                <w:sz w:val="24"/>
                <w:szCs w:val="24"/>
                <w:highlight w:val="none"/>
                <w:lang w:val="en-US" w:eastAsia="zh-CN" w:bidi="ar-SA"/>
              </w:rPr>
              <w:t>《报废机动车回收拆解企业技术规范》（GB22128-2019）</w:t>
            </w:r>
            <w:r>
              <w:rPr>
                <w:rFonts w:hint="eastAsia" w:cs="Times New Roman"/>
                <w:color w:val="auto"/>
                <w:kern w:val="0"/>
                <w:sz w:val="24"/>
                <w:szCs w:val="24"/>
                <w:highlight w:val="none"/>
                <w:lang w:val="en-US" w:eastAsia="zh-CN" w:bidi="ar-SA"/>
              </w:rPr>
              <w:t>相关要求。</w:t>
            </w:r>
          </w:p>
          <w:p w14:paraId="1441CBC3">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8</w:t>
            </w:r>
            <w:r>
              <w:rPr>
                <w:rFonts w:hint="eastAsia" w:ascii="Times New Roman" w:hAnsi="Times New Roman" w:eastAsia="宋体" w:cs="Times New Roman"/>
                <w:color w:val="auto"/>
                <w:kern w:val="0"/>
                <w:sz w:val="24"/>
                <w:szCs w:val="24"/>
                <w:highlight w:val="none"/>
                <w:lang w:val="en-US" w:eastAsia="zh-CN" w:bidi="ar-SA"/>
              </w:rPr>
              <w:t>、与《黑龙江省大气污染防治条例》符合性分析</w:t>
            </w:r>
          </w:p>
          <w:p w14:paraId="1641CECB">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第二节 工业污染防治</w:t>
            </w:r>
          </w:p>
          <w:p w14:paraId="57C40AB4">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第三十七条 县级以上人民政府应当发展工业循环经济，调整、优化产业结构，推进清洁生产，鼓励产业集聚发展，按照主体功能区划合理规划工业园区的布局，引导工业企业入驻工业园区。</w:t>
            </w:r>
          </w:p>
          <w:p w14:paraId="1F280825">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鼓励工业园区集中建设生产用热热源以及热网，逐步淘汰分散锅炉。</w:t>
            </w:r>
          </w:p>
          <w:p w14:paraId="27C47A70">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第三十八条企业事业单位和其他生产经营者应当在规定期限内，淘汰列入国家综合性产业政策目录的严重污染大气环境的工艺、设备和产品。</w:t>
            </w:r>
          </w:p>
          <w:p w14:paraId="16FE4ACB">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第四十条 下列产生含挥发性有机物废气的活动，应当按照国家规定在密闭空间或者设备中进行，并按照规定安装、使用污染防治设施；无法密闭的，应当采取措施减少废气排放：</w:t>
            </w:r>
          </w:p>
          <w:p w14:paraId="48CBC3B3">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（一）煤炭加工与转化、石油化工生产；</w:t>
            </w:r>
          </w:p>
          <w:p w14:paraId="1860217F">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（二）燃油、溶剂的储存、运输和销售；</w:t>
            </w:r>
          </w:p>
          <w:p w14:paraId="2A3FC332">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（三）涂料、油墨、胶粘剂、农药等以挥发性有机物为原材料的生产；</w:t>
            </w:r>
          </w:p>
          <w:p w14:paraId="638A37B0">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（四）涂装、印刷、粘合和工业清洗；</w:t>
            </w:r>
          </w:p>
          <w:p w14:paraId="619D23A6">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（五）其他产生含挥发性有机物废气的活动。</w:t>
            </w:r>
          </w:p>
          <w:p w14:paraId="77137C77">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本项目预处理过程废油液挥发的废气在工位上方设置集气罩，</w:t>
            </w:r>
            <w:r>
              <w:rPr>
                <w:rFonts w:hint="eastAsia" w:ascii="Times New Roman" w:hAnsi="Times New Roman" w:eastAsia="宋体" w:cs="Times New Roman"/>
                <w:color w:val="auto"/>
                <w:kern w:val="0"/>
                <w:sz w:val="24"/>
                <w:szCs w:val="24"/>
                <w:highlight w:val="none"/>
                <w:lang w:val="en-US" w:eastAsia="zh-CN" w:bidi="ar-SA"/>
              </w:rPr>
              <w:t>废气经集气罩收集后经活性炭吸附装置处理，后经15m高排气</w:t>
            </w:r>
            <w:r>
              <w:rPr>
                <w:rFonts w:hint="eastAsia" w:cs="Times New Roman"/>
                <w:color w:val="auto"/>
                <w:kern w:val="0"/>
                <w:sz w:val="24"/>
                <w:szCs w:val="24"/>
                <w:highlight w:val="none"/>
                <w:lang w:val="en-US" w:eastAsia="zh-CN" w:bidi="ar-SA"/>
              </w:rPr>
              <w:t>筒（DA001）</w:t>
            </w:r>
            <w:r>
              <w:rPr>
                <w:rFonts w:hint="eastAsia" w:ascii="Times New Roman" w:hAnsi="Times New Roman" w:eastAsia="宋体" w:cs="Times New Roman"/>
                <w:color w:val="auto"/>
                <w:kern w:val="0"/>
                <w:sz w:val="24"/>
                <w:szCs w:val="24"/>
                <w:highlight w:val="none"/>
                <w:lang w:val="en-US" w:eastAsia="zh-CN" w:bidi="ar-SA"/>
              </w:rPr>
              <w:t>排放</w:t>
            </w:r>
            <w:r>
              <w:rPr>
                <w:rFonts w:hint="eastAsia" w:cs="Times New Roman"/>
                <w:color w:val="auto"/>
                <w:kern w:val="0"/>
                <w:sz w:val="24"/>
                <w:szCs w:val="24"/>
                <w:highlight w:val="none"/>
                <w:lang w:val="en-US" w:eastAsia="zh-CN" w:bidi="ar-SA"/>
              </w:rPr>
              <w:t>。切割过程中产生的切割废气在</w:t>
            </w:r>
            <w:r>
              <w:rPr>
                <w:rFonts w:hint="eastAsia" w:ascii="Times New Roman" w:hAnsi="Times New Roman" w:eastAsia="宋体" w:cs="Times New Roman"/>
                <w:color w:val="auto"/>
                <w:kern w:val="0"/>
                <w:sz w:val="24"/>
                <w:szCs w:val="24"/>
                <w:highlight w:val="none"/>
                <w:lang w:val="en-US" w:eastAsia="zh-CN" w:bidi="ar-SA"/>
              </w:rPr>
              <w:t>切割工位设置集气罩，切割粉尘采用集气罩收集，经布袋除尘器处理后经15m高排气筒</w:t>
            </w:r>
            <w:r>
              <w:rPr>
                <w:rFonts w:hint="eastAsia" w:cs="Times New Roman"/>
                <w:color w:val="auto"/>
                <w:kern w:val="0"/>
                <w:sz w:val="24"/>
                <w:szCs w:val="24"/>
                <w:highlight w:val="none"/>
                <w:lang w:val="en-US" w:eastAsia="zh-CN" w:bidi="ar-SA"/>
              </w:rPr>
              <w:t>（DA001）</w:t>
            </w:r>
            <w:r>
              <w:rPr>
                <w:rFonts w:hint="eastAsia" w:ascii="Times New Roman" w:hAnsi="Times New Roman" w:eastAsia="宋体" w:cs="Times New Roman"/>
                <w:color w:val="auto"/>
                <w:kern w:val="0"/>
                <w:sz w:val="24"/>
                <w:szCs w:val="24"/>
                <w:highlight w:val="none"/>
                <w:lang w:val="en-US" w:eastAsia="zh-CN" w:bidi="ar-SA"/>
              </w:rPr>
              <w:t>排放</w:t>
            </w:r>
            <w:r>
              <w:rPr>
                <w:rFonts w:hint="eastAsia" w:cs="Times New Roman"/>
                <w:color w:val="auto"/>
                <w:kern w:val="0"/>
                <w:sz w:val="24"/>
                <w:szCs w:val="24"/>
                <w:highlight w:val="none"/>
                <w:lang w:val="en-US" w:eastAsia="zh-CN" w:bidi="ar-SA"/>
              </w:rPr>
              <w:t>。</w:t>
            </w:r>
            <w:r>
              <w:rPr>
                <w:rFonts w:hint="eastAsia"/>
                <w:color w:val="auto"/>
                <w:sz w:val="24"/>
                <w:lang w:val="en-US" w:eastAsia="zh-CN"/>
              </w:rPr>
              <w:t>非甲烷总烃、工业粉尘</w:t>
            </w:r>
            <w:r>
              <w:rPr>
                <w:rFonts w:hint="default"/>
                <w:color w:val="auto"/>
                <w:sz w:val="24"/>
                <w:lang w:val="en-US" w:eastAsia="zh-CN"/>
              </w:rPr>
              <w:t>排放</w:t>
            </w:r>
            <w:r>
              <w:rPr>
                <w:rFonts w:hint="eastAsia"/>
                <w:color w:val="auto"/>
                <w:sz w:val="24"/>
                <w:lang w:val="en-US" w:eastAsia="zh-CN"/>
              </w:rPr>
              <w:t>浓度</w:t>
            </w:r>
            <w:r>
              <w:rPr>
                <w:rFonts w:hint="default"/>
                <w:color w:val="auto"/>
                <w:sz w:val="24"/>
                <w:lang w:val="en-US" w:eastAsia="zh-CN"/>
              </w:rPr>
              <w:t>均</w:t>
            </w:r>
            <w:r>
              <w:rPr>
                <w:rFonts w:hint="eastAsia"/>
                <w:color w:val="auto"/>
                <w:sz w:val="24"/>
                <w:lang w:val="en-US" w:eastAsia="zh-CN"/>
              </w:rPr>
              <w:t>满足</w:t>
            </w:r>
            <w:r>
              <w:rPr>
                <w:rFonts w:hint="eastAsia" w:ascii="Times New Roman" w:hAnsi="Times New Roman" w:eastAsia="宋体" w:cs="Times New Roman"/>
                <w:color w:val="auto"/>
                <w:kern w:val="0"/>
                <w:sz w:val="24"/>
                <w:szCs w:val="24"/>
                <w:highlight w:val="none"/>
                <w:lang w:val="en-US" w:eastAsia="zh-CN" w:bidi="ar-SA"/>
              </w:rPr>
              <w:t>《大气污染物综合排放标准》（GB16297-1996）表2中二级标准及无组织排放标准限值要求。</w:t>
            </w:r>
            <w:r>
              <w:rPr>
                <w:rFonts w:hint="eastAsia" w:cs="Times New Roman"/>
                <w:color w:val="auto"/>
                <w:kern w:val="0"/>
                <w:sz w:val="24"/>
                <w:szCs w:val="24"/>
                <w:highlight w:val="none"/>
                <w:lang w:val="en-US" w:eastAsia="zh-CN" w:bidi="ar-SA"/>
              </w:rPr>
              <w:t>本项目燃生物质</w:t>
            </w:r>
            <w:r>
              <w:rPr>
                <w:rFonts w:hint="eastAsia" w:ascii="Times New Roman" w:hAnsi="Times New Roman" w:eastAsia="宋体" w:cs="Times New Roman"/>
                <w:color w:val="auto"/>
                <w:kern w:val="0"/>
                <w:sz w:val="24"/>
                <w:szCs w:val="24"/>
                <w:highlight w:val="none"/>
                <w:lang w:val="en-US" w:eastAsia="zh-CN" w:bidi="ar-SA"/>
              </w:rPr>
              <w:t>锅</w:t>
            </w:r>
            <w:r>
              <w:rPr>
                <w:rFonts w:hint="default" w:ascii="Times New Roman" w:hAnsi="Times New Roman" w:eastAsia="宋体" w:cs="Times New Roman"/>
                <w:color w:val="auto"/>
                <w:kern w:val="0"/>
                <w:sz w:val="24"/>
                <w:szCs w:val="24"/>
                <w:highlight w:val="none"/>
                <w:lang w:val="en-US" w:eastAsia="zh-CN" w:bidi="ar-SA"/>
              </w:rPr>
              <w:t>炉</w:t>
            </w:r>
            <w:r>
              <w:rPr>
                <w:rFonts w:hint="eastAsia" w:cs="Times New Roman"/>
                <w:color w:val="auto"/>
                <w:kern w:val="0"/>
                <w:sz w:val="24"/>
                <w:szCs w:val="24"/>
                <w:highlight w:val="none"/>
                <w:lang w:val="en-US" w:eastAsia="zh-CN" w:bidi="ar-SA"/>
              </w:rPr>
              <w:t>废气采用旋风除尘器+布袋除尘器处理，处理后废气经30m高烟囱（DA002）排放。</w:t>
            </w:r>
            <w:r>
              <w:rPr>
                <w:rFonts w:hint="default"/>
                <w:color w:val="auto"/>
                <w:sz w:val="24"/>
                <w:lang w:val="en-US" w:eastAsia="zh-CN"/>
              </w:rPr>
              <w:t>颗粒物、SO</w:t>
            </w:r>
            <w:r>
              <w:rPr>
                <w:rFonts w:hint="default"/>
                <w:color w:val="auto"/>
                <w:sz w:val="24"/>
                <w:vertAlign w:val="subscript"/>
                <w:lang w:val="en-US" w:eastAsia="zh-CN"/>
              </w:rPr>
              <w:t>2</w:t>
            </w:r>
            <w:r>
              <w:rPr>
                <w:rFonts w:hint="eastAsia"/>
                <w:color w:val="auto"/>
                <w:sz w:val="24"/>
                <w:lang w:val="en-US" w:eastAsia="zh-CN"/>
              </w:rPr>
              <w:t>、</w:t>
            </w:r>
            <w:r>
              <w:rPr>
                <w:rFonts w:hint="default"/>
                <w:color w:val="auto"/>
                <w:sz w:val="24"/>
                <w:lang w:val="en-US" w:eastAsia="zh-CN"/>
              </w:rPr>
              <w:t>NOx排放</w:t>
            </w:r>
            <w:r>
              <w:rPr>
                <w:rFonts w:hint="eastAsia"/>
                <w:color w:val="auto"/>
                <w:sz w:val="24"/>
                <w:lang w:val="en-US" w:eastAsia="zh-CN"/>
              </w:rPr>
              <w:t>浓度</w:t>
            </w:r>
            <w:r>
              <w:rPr>
                <w:rFonts w:hint="default"/>
                <w:color w:val="auto"/>
                <w:sz w:val="24"/>
                <w:lang w:val="en-US" w:eastAsia="zh-CN"/>
              </w:rPr>
              <w:t>均满足</w:t>
            </w:r>
            <w:r>
              <w:rPr>
                <w:rFonts w:hint="eastAsia"/>
                <w:color w:val="auto"/>
                <w:sz w:val="24"/>
                <w:lang w:val="en-US" w:eastAsia="zh-CN"/>
              </w:rPr>
              <w:t>《锅炉大气污染物排放标准》（GB13271-2014）表2标准限值要求</w:t>
            </w:r>
            <w:r>
              <w:rPr>
                <w:rFonts w:hint="default"/>
                <w:color w:val="auto"/>
                <w:sz w:val="24"/>
                <w:lang w:val="en-US" w:eastAsia="zh-CN"/>
              </w:rPr>
              <w:t>。</w:t>
            </w:r>
            <w:r>
              <w:rPr>
                <w:rFonts w:hint="eastAsia" w:cs="Times New Roman"/>
                <w:color w:val="auto"/>
                <w:kern w:val="0"/>
                <w:sz w:val="24"/>
                <w:szCs w:val="24"/>
                <w:highlight w:val="none"/>
                <w:lang w:val="en-US" w:eastAsia="zh-CN" w:bidi="ar-SA"/>
              </w:rPr>
              <w:t>厂房外无组织非甲烷总烃排放执行《挥发性有机物无组织排放控制标准》（GB 37822—2019）标准中无组织排放监控浓度限值。敏感目标梁家村和新发村环境空气可满足</w:t>
            </w:r>
            <w:r>
              <w:rPr>
                <w:rFonts w:hint="default" w:ascii="Times New Roman" w:hAnsi="Times New Roman" w:eastAsia="宋体" w:cs="Times New Roman"/>
                <w:color w:val="auto"/>
                <w:kern w:val="0"/>
                <w:sz w:val="24"/>
                <w:szCs w:val="28"/>
                <w:lang w:val="en-US" w:eastAsia="zh-CN" w:bidi="ar-SA"/>
              </w:rPr>
              <w:t>《环境空气质量标准》（GB3095-2012）及修改单中二级标准要求</w:t>
            </w:r>
            <w:r>
              <w:rPr>
                <w:rFonts w:hint="eastAsia" w:cs="Times New Roman"/>
                <w:color w:val="auto"/>
                <w:kern w:val="0"/>
                <w:sz w:val="24"/>
                <w:szCs w:val="28"/>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因此本项目符合《黑龙江省大气污染防治条例》。</w:t>
            </w:r>
          </w:p>
          <w:p w14:paraId="7ADD338C">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9</w:t>
            </w:r>
            <w:r>
              <w:rPr>
                <w:rFonts w:hint="eastAsia" w:ascii="Times New Roman" w:hAnsi="Times New Roman" w:eastAsia="宋体" w:cs="Times New Roman"/>
                <w:color w:val="auto"/>
                <w:kern w:val="0"/>
                <w:sz w:val="24"/>
                <w:szCs w:val="24"/>
                <w:highlight w:val="none"/>
                <w:lang w:val="en-US" w:eastAsia="zh-CN" w:bidi="ar-SA"/>
              </w:rPr>
              <w:t>、与《黑龙江省空气质量持续改善行动计划实施方案》的符合性分析</w:t>
            </w:r>
          </w:p>
          <w:p w14:paraId="454BEB21">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六、推动多污染物协同控制</w:t>
            </w:r>
          </w:p>
          <w:p w14:paraId="2C857990">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强化VOCs全流程、全环节综合治理。鼓励使用低泄漏的储罐呼吸阀、紧急泄压阀，定期开展储罐部件密封性检测。对装载汽油、煤油等高挥发性化工产品的汽车罐车，推广使用自封式快速接头。污水处理场所高浓度废气要单独收集处理；含VOCs有机废水储罐、装置区集水井（池）废气要密闭收集处理。规范开展泄漏检测与修复（LDAR）。企业开停工、检维修期间，及时收集处理退料、清洗、吹扫等作业产生的VOCs废气。企业不得将火炬燃烧装置作为日常大气污染处理设施。</w:t>
            </w:r>
          </w:p>
          <w:p w14:paraId="3EA68D75">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加强工业企业监管，确保全面稳定达标排放。结合新制（修）订的排放标准，推进玻璃、石灰、矿棉、有色等行业实施深度治理。全面排查锅炉、炉窑、VOCs等低效失效大气污染治理设施，对采用脱硫脱硝一体化、湿法脱硝、微生物法脱硝、单一低温等离子、光氧化、光催化以及非水溶性VOCs废气采用单一喷淋吸收等治理工艺实施整治。燃气锅炉实施低氮燃烧改造，对低氮燃烧器、烟气再循环系统、分级燃烧系统、燃料及风量调配系统等关键部件要严把质量关，确保低氮燃烧系统稳定运行。生物质锅炉采用专用锅炉，配套布袋等高效除尘设施，禁止掺烧煤炭、生活垃圾等其他物料。推进整合小型生物质锅炉，积极引导城市建成区内生物质锅炉（含电力）超低排放改造。强化治污设施运行维护，减少非正常工况排放。严格旁路监管，重点涉气企业逐步取消烟气和含VOCs废气旁路，因安全生产需要无法取消的，需向当地生态环境部门报备，安装在线监控系统及备用处置设施，在非紧急情况下保持关闭并加强监管。</w:t>
            </w:r>
          </w:p>
          <w:p w14:paraId="37769BC0">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本项目预处理过程废油液挥发的废气在工位上方设置集气罩，</w:t>
            </w:r>
            <w:r>
              <w:rPr>
                <w:rFonts w:hint="eastAsia" w:ascii="Times New Roman" w:hAnsi="Times New Roman" w:eastAsia="宋体" w:cs="Times New Roman"/>
                <w:color w:val="auto"/>
                <w:kern w:val="0"/>
                <w:sz w:val="24"/>
                <w:szCs w:val="24"/>
                <w:highlight w:val="none"/>
                <w:lang w:val="en-US" w:eastAsia="zh-CN" w:bidi="ar-SA"/>
              </w:rPr>
              <w:t>废气经集气罩收集后经活性炭吸附装置处理，后经15m高排气</w:t>
            </w:r>
            <w:r>
              <w:rPr>
                <w:rFonts w:hint="eastAsia" w:cs="Times New Roman"/>
                <w:color w:val="auto"/>
                <w:kern w:val="0"/>
                <w:sz w:val="24"/>
                <w:szCs w:val="24"/>
                <w:highlight w:val="none"/>
                <w:lang w:val="en-US" w:eastAsia="zh-CN" w:bidi="ar-SA"/>
              </w:rPr>
              <w:t>筒（DA001）</w:t>
            </w:r>
            <w:r>
              <w:rPr>
                <w:rFonts w:hint="eastAsia" w:ascii="Times New Roman" w:hAnsi="Times New Roman" w:eastAsia="宋体" w:cs="Times New Roman"/>
                <w:color w:val="auto"/>
                <w:kern w:val="0"/>
                <w:sz w:val="24"/>
                <w:szCs w:val="24"/>
                <w:highlight w:val="none"/>
                <w:lang w:val="en-US" w:eastAsia="zh-CN" w:bidi="ar-SA"/>
              </w:rPr>
              <w:t>排放</w:t>
            </w:r>
            <w:r>
              <w:rPr>
                <w:rFonts w:hint="eastAsia" w:cs="Times New Roman"/>
                <w:color w:val="auto"/>
                <w:kern w:val="0"/>
                <w:sz w:val="24"/>
                <w:szCs w:val="24"/>
                <w:highlight w:val="none"/>
                <w:lang w:val="en-US" w:eastAsia="zh-CN" w:bidi="ar-SA"/>
              </w:rPr>
              <w:t>。切割过程中产生的切割废气在</w:t>
            </w:r>
            <w:r>
              <w:rPr>
                <w:rFonts w:hint="eastAsia" w:ascii="Times New Roman" w:hAnsi="Times New Roman" w:eastAsia="宋体" w:cs="Times New Roman"/>
                <w:color w:val="auto"/>
                <w:kern w:val="0"/>
                <w:sz w:val="24"/>
                <w:szCs w:val="24"/>
                <w:highlight w:val="none"/>
                <w:lang w:val="en-US" w:eastAsia="zh-CN" w:bidi="ar-SA"/>
              </w:rPr>
              <w:t>切割工位设置集气罩，切割粉尘采用集气罩收集，经布袋除尘器处理后经15m高排气筒</w:t>
            </w:r>
            <w:r>
              <w:rPr>
                <w:rFonts w:hint="eastAsia" w:cs="Times New Roman"/>
                <w:color w:val="auto"/>
                <w:kern w:val="0"/>
                <w:sz w:val="24"/>
                <w:szCs w:val="24"/>
                <w:highlight w:val="none"/>
                <w:lang w:val="en-US" w:eastAsia="zh-CN" w:bidi="ar-SA"/>
              </w:rPr>
              <w:t>（DA001）</w:t>
            </w:r>
            <w:r>
              <w:rPr>
                <w:rFonts w:hint="eastAsia" w:ascii="Times New Roman" w:hAnsi="Times New Roman" w:eastAsia="宋体" w:cs="Times New Roman"/>
                <w:color w:val="auto"/>
                <w:kern w:val="0"/>
                <w:sz w:val="24"/>
                <w:szCs w:val="24"/>
                <w:highlight w:val="none"/>
                <w:lang w:val="en-US" w:eastAsia="zh-CN" w:bidi="ar-SA"/>
              </w:rPr>
              <w:t>排放</w:t>
            </w:r>
            <w:r>
              <w:rPr>
                <w:rFonts w:hint="eastAsia" w:cs="Times New Roman"/>
                <w:color w:val="auto"/>
                <w:kern w:val="0"/>
                <w:sz w:val="24"/>
                <w:szCs w:val="24"/>
                <w:highlight w:val="none"/>
                <w:lang w:val="en-US" w:eastAsia="zh-CN" w:bidi="ar-SA"/>
              </w:rPr>
              <w:t>。</w:t>
            </w:r>
            <w:r>
              <w:rPr>
                <w:rFonts w:hint="eastAsia"/>
                <w:color w:val="auto"/>
                <w:sz w:val="24"/>
                <w:lang w:val="en-US" w:eastAsia="zh-CN"/>
              </w:rPr>
              <w:t>非甲烷总烃、工业粉尘</w:t>
            </w:r>
            <w:r>
              <w:rPr>
                <w:rFonts w:hint="default"/>
                <w:color w:val="auto"/>
                <w:sz w:val="24"/>
                <w:lang w:val="en-US" w:eastAsia="zh-CN"/>
              </w:rPr>
              <w:t>排放</w:t>
            </w:r>
            <w:r>
              <w:rPr>
                <w:rFonts w:hint="eastAsia"/>
                <w:color w:val="auto"/>
                <w:sz w:val="24"/>
                <w:lang w:val="en-US" w:eastAsia="zh-CN"/>
              </w:rPr>
              <w:t>浓度</w:t>
            </w:r>
            <w:r>
              <w:rPr>
                <w:rFonts w:hint="default"/>
                <w:color w:val="auto"/>
                <w:sz w:val="24"/>
                <w:lang w:val="en-US" w:eastAsia="zh-CN"/>
              </w:rPr>
              <w:t>均</w:t>
            </w:r>
            <w:r>
              <w:rPr>
                <w:rFonts w:hint="eastAsia"/>
                <w:color w:val="auto"/>
                <w:sz w:val="24"/>
                <w:lang w:val="en-US" w:eastAsia="zh-CN"/>
              </w:rPr>
              <w:t>满足</w:t>
            </w:r>
            <w:r>
              <w:rPr>
                <w:rFonts w:hint="eastAsia" w:ascii="Times New Roman" w:hAnsi="Times New Roman" w:eastAsia="宋体" w:cs="Times New Roman"/>
                <w:color w:val="auto"/>
                <w:kern w:val="0"/>
                <w:sz w:val="24"/>
                <w:szCs w:val="24"/>
                <w:highlight w:val="none"/>
                <w:lang w:val="en-US" w:eastAsia="zh-CN" w:bidi="ar-SA"/>
              </w:rPr>
              <w:t>《大气污染物综合排放标准》（GB16297-1996）表2中二级标准及无组织排放标准限值要求。</w:t>
            </w:r>
            <w:r>
              <w:rPr>
                <w:rFonts w:hint="eastAsia" w:cs="Times New Roman"/>
                <w:color w:val="auto"/>
                <w:kern w:val="0"/>
                <w:sz w:val="24"/>
                <w:szCs w:val="24"/>
                <w:highlight w:val="none"/>
                <w:lang w:val="en-US" w:eastAsia="zh-CN" w:bidi="ar-SA"/>
              </w:rPr>
              <w:t>本项目燃生物质</w:t>
            </w:r>
            <w:r>
              <w:rPr>
                <w:rFonts w:hint="eastAsia" w:ascii="Times New Roman" w:hAnsi="Times New Roman" w:eastAsia="宋体" w:cs="Times New Roman"/>
                <w:color w:val="auto"/>
                <w:kern w:val="0"/>
                <w:sz w:val="24"/>
                <w:szCs w:val="24"/>
                <w:highlight w:val="none"/>
                <w:lang w:val="en-US" w:eastAsia="zh-CN" w:bidi="ar-SA"/>
              </w:rPr>
              <w:t>锅</w:t>
            </w:r>
            <w:r>
              <w:rPr>
                <w:rFonts w:hint="default" w:ascii="Times New Roman" w:hAnsi="Times New Roman" w:eastAsia="宋体" w:cs="Times New Roman"/>
                <w:color w:val="auto"/>
                <w:kern w:val="0"/>
                <w:sz w:val="24"/>
                <w:szCs w:val="24"/>
                <w:highlight w:val="none"/>
                <w:lang w:val="en-US" w:eastAsia="zh-CN" w:bidi="ar-SA"/>
              </w:rPr>
              <w:t>炉</w:t>
            </w:r>
            <w:r>
              <w:rPr>
                <w:rFonts w:hint="eastAsia" w:cs="Times New Roman"/>
                <w:color w:val="auto"/>
                <w:kern w:val="0"/>
                <w:sz w:val="24"/>
                <w:szCs w:val="24"/>
                <w:highlight w:val="none"/>
                <w:lang w:val="en-US" w:eastAsia="zh-CN" w:bidi="ar-SA"/>
              </w:rPr>
              <w:t>废气采用旋风除尘器+布袋除尘器处理，处理后废气经30m高烟囱（DA002）排放。</w:t>
            </w:r>
            <w:r>
              <w:rPr>
                <w:rFonts w:hint="default"/>
                <w:color w:val="auto"/>
                <w:sz w:val="24"/>
                <w:lang w:val="en-US" w:eastAsia="zh-CN"/>
              </w:rPr>
              <w:t>颗粒物、SO</w:t>
            </w:r>
            <w:r>
              <w:rPr>
                <w:rFonts w:hint="default"/>
                <w:color w:val="auto"/>
                <w:sz w:val="24"/>
                <w:vertAlign w:val="subscript"/>
                <w:lang w:val="en-US" w:eastAsia="zh-CN"/>
              </w:rPr>
              <w:t>2</w:t>
            </w:r>
            <w:r>
              <w:rPr>
                <w:rFonts w:hint="eastAsia"/>
                <w:color w:val="auto"/>
                <w:sz w:val="24"/>
                <w:lang w:val="en-US" w:eastAsia="zh-CN"/>
              </w:rPr>
              <w:t>、</w:t>
            </w:r>
            <w:r>
              <w:rPr>
                <w:rFonts w:hint="default"/>
                <w:color w:val="auto"/>
                <w:sz w:val="24"/>
                <w:lang w:val="en-US" w:eastAsia="zh-CN"/>
              </w:rPr>
              <w:t>NOx排放</w:t>
            </w:r>
            <w:r>
              <w:rPr>
                <w:rFonts w:hint="eastAsia"/>
                <w:color w:val="auto"/>
                <w:sz w:val="24"/>
                <w:lang w:val="en-US" w:eastAsia="zh-CN"/>
              </w:rPr>
              <w:t>浓度</w:t>
            </w:r>
            <w:r>
              <w:rPr>
                <w:rFonts w:hint="default"/>
                <w:color w:val="auto"/>
                <w:sz w:val="24"/>
                <w:lang w:val="en-US" w:eastAsia="zh-CN"/>
              </w:rPr>
              <w:t>均满足</w:t>
            </w:r>
            <w:r>
              <w:rPr>
                <w:rFonts w:hint="eastAsia"/>
                <w:color w:val="auto"/>
                <w:sz w:val="24"/>
                <w:lang w:val="en-US" w:eastAsia="zh-CN"/>
              </w:rPr>
              <w:t>《锅炉大气污染物排放标准》（GB13271-2014）表2标准限值要求</w:t>
            </w:r>
            <w:r>
              <w:rPr>
                <w:rFonts w:hint="default"/>
                <w:color w:val="auto"/>
                <w:sz w:val="24"/>
                <w:lang w:val="en-US" w:eastAsia="zh-CN"/>
              </w:rPr>
              <w:t>。</w:t>
            </w:r>
            <w:r>
              <w:rPr>
                <w:rFonts w:hint="eastAsia" w:cs="Times New Roman"/>
                <w:color w:val="auto"/>
                <w:kern w:val="0"/>
                <w:sz w:val="24"/>
                <w:szCs w:val="24"/>
                <w:highlight w:val="none"/>
                <w:lang w:val="en-US" w:eastAsia="zh-CN" w:bidi="ar-SA"/>
              </w:rPr>
              <w:t>厂房外无组织非甲烷总烃排放执行《挥发性有机物无组织排放控制标准》（GB 37822—2019）标准中无组织排放监控浓度限值。敏感目标梁家村和新发村环境空气可满足</w:t>
            </w:r>
            <w:r>
              <w:rPr>
                <w:rFonts w:hint="default" w:ascii="Times New Roman" w:hAnsi="Times New Roman" w:eastAsia="宋体" w:cs="Times New Roman"/>
                <w:color w:val="auto"/>
                <w:kern w:val="0"/>
                <w:sz w:val="24"/>
                <w:szCs w:val="28"/>
                <w:lang w:val="en-US" w:eastAsia="zh-CN" w:bidi="ar-SA"/>
              </w:rPr>
              <w:t>《环境空气质量标准》（GB3095-2012）及修改单中二级标准要求</w:t>
            </w:r>
            <w:r>
              <w:rPr>
                <w:rFonts w:hint="eastAsia" w:cs="Times New Roman"/>
                <w:color w:val="auto"/>
                <w:kern w:val="0"/>
                <w:sz w:val="24"/>
                <w:szCs w:val="28"/>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因此，本项目符合《黑龙江省空气质量持续改善行动计划实施方案》相关要求。</w:t>
            </w:r>
          </w:p>
          <w:p w14:paraId="3013B8AB">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default"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10、与《鸡西市空气质量持续改善行动计划贯彻落实方案》的符合性分析</w:t>
            </w:r>
          </w:p>
          <w:p w14:paraId="2B2CA903">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（1）持续推进产业结构调整</w:t>
            </w:r>
          </w:p>
          <w:p w14:paraId="188F1F99">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加快退出重点行业落后产能。严格执行《产业结构调整指导目录》要求，加快退出淘汰类产能、工艺、装备，提高限制类产能、工艺、装备淘汰改造引导力度。</w:t>
            </w:r>
          </w:p>
          <w:p w14:paraId="63FB9F38">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（2）持续优化改善能源结构</w:t>
            </w:r>
          </w:p>
          <w:p w14:paraId="6652A5F6">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严格合理控制煤炭消费总量。全市原则上不再新增自备燃煤机组，按要求支持自备燃煤机组实施清洁能源替代。合理保障支撑电力稳定供应、电网安全运行、清洁能源大规模并网消纳的煤电项目及其用煤量。鼓励锅炉生产制造企业优化锅炉设计，应用新材料、新技术、新工艺，通过优化参数和燃料结构、采用新型热力循环等方式，从源头提高锅炉绿色低碳水平。到</w:t>
            </w:r>
            <w:r>
              <w:rPr>
                <w:rFonts w:hint="default" w:cs="Times New Roman"/>
                <w:color w:val="auto"/>
                <w:kern w:val="0"/>
                <w:sz w:val="24"/>
                <w:szCs w:val="24"/>
                <w:highlight w:val="none"/>
                <w:lang w:val="en-US" w:eastAsia="zh-CN" w:bidi="ar-SA"/>
              </w:rPr>
              <w:t>2025</w:t>
            </w:r>
            <w:r>
              <w:rPr>
                <w:rFonts w:hint="eastAsia" w:cs="Times New Roman"/>
                <w:color w:val="auto"/>
                <w:kern w:val="0"/>
                <w:sz w:val="24"/>
                <w:szCs w:val="24"/>
                <w:highlight w:val="none"/>
                <w:lang w:val="en-US" w:eastAsia="zh-CN" w:bidi="ar-SA"/>
              </w:rPr>
              <w:t>年，全市煤炭消费比重在</w:t>
            </w:r>
            <w:r>
              <w:rPr>
                <w:rFonts w:hint="default" w:cs="Times New Roman"/>
                <w:color w:val="auto"/>
                <w:kern w:val="0"/>
                <w:sz w:val="24"/>
                <w:szCs w:val="24"/>
                <w:highlight w:val="none"/>
                <w:lang w:val="en-US" w:eastAsia="zh-CN" w:bidi="ar-SA"/>
              </w:rPr>
              <w:t>2020</w:t>
            </w:r>
            <w:r>
              <w:rPr>
                <w:rFonts w:hint="eastAsia" w:cs="Times New Roman"/>
                <w:color w:val="auto"/>
                <w:kern w:val="0"/>
                <w:sz w:val="24"/>
                <w:szCs w:val="24"/>
                <w:highlight w:val="none"/>
                <w:lang w:val="en-US" w:eastAsia="zh-CN" w:bidi="ar-SA"/>
              </w:rPr>
              <w:t>年基础上下降</w:t>
            </w:r>
            <w:r>
              <w:rPr>
                <w:rFonts w:hint="default" w:cs="Times New Roman"/>
                <w:color w:val="auto"/>
                <w:kern w:val="0"/>
                <w:sz w:val="24"/>
                <w:szCs w:val="24"/>
                <w:highlight w:val="none"/>
                <w:lang w:val="en-US" w:eastAsia="zh-CN" w:bidi="ar-SA"/>
              </w:rPr>
              <w:t>4%</w:t>
            </w:r>
            <w:r>
              <w:rPr>
                <w:rFonts w:hint="eastAsia" w:cs="Times New Roman"/>
                <w:color w:val="auto"/>
                <w:kern w:val="0"/>
                <w:sz w:val="24"/>
                <w:szCs w:val="24"/>
                <w:highlight w:val="none"/>
                <w:lang w:val="en-US" w:eastAsia="zh-CN" w:bidi="ar-SA"/>
              </w:rPr>
              <w:t>左右。</w:t>
            </w:r>
          </w:p>
          <w:p w14:paraId="4DCB5660">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（3）推动多污染物协同控制</w:t>
            </w:r>
          </w:p>
          <w:p w14:paraId="6AEA216B">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强化</w:t>
            </w:r>
            <w:r>
              <w:rPr>
                <w:rFonts w:hint="default" w:cs="Times New Roman"/>
                <w:color w:val="auto"/>
                <w:kern w:val="0"/>
                <w:sz w:val="24"/>
                <w:szCs w:val="24"/>
                <w:highlight w:val="none"/>
                <w:lang w:val="en-US" w:eastAsia="zh-CN" w:bidi="ar-SA"/>
              </w:rPr>
              <w:t>VOCs</w:t>
            </w:r>
            <w:r>
              <w:rPr>
                <w:rFonts w:hint="eastAsia" w:cs="Times New Roman"/>
                <w:color w:val="auto"/>
                <w:kern w:val="0"/>
                <w:sz w:val="24"/>
                <w:szCs w:val="24"/>
                <w:highlight w:val="none"/>
                <w:lang w:val="en-US" w:eastAsia="zh-CN" w:bidi="ar-SA"/>
              </w:rPr>
              <w:t>全流程、全环节综合治理。鼓励使用低泄漏的储罐呼吸阀、紧急泄压阀，定期开展储罐部件密封性检测。对装载汽油、煤油等高挥发性化工产品的汽车罐车，推广使用自封式快速接头。污水处理场所高浓度废气要单独收集处理；含</w:t>
            </w:r>
            <w:r>
              <w:rPr>
                <w:rFonts w:hint="default" w:cs="Times New Roman"/>
                <w:color w:val="auto"/>
                <w:kern w:val="0"/>
                <w:sz w:val="24"/>
                <w:szCs w:val="24"/>
                <w:highlight w:val="none"/>
                <w:lang w:val="en-US" w:eastAsia="zh-CN" w:bidi="ar-SA"/>
              </w:rPr>
              <w:t>VOCs</w:t>
            </w:r>
            <w:r>
              <w:rPr>
                <w:rFonts w:hint="eastAsia" w:cs="Times New Roman"/>
                <w:color w:val="auto"/>
                <w:kern w:val="0"/>
                <w:sz w:val="24"/>
                <w:szCs w:val="24"/>
                <w:highlight w:val="none"/>
                <w:lang w:val="en-US" w:eastAsia="zh-CN" w:bidi="ar-SA"/>
              </w:rPr>
              <w:t>有机废水储罐、装置区集水井（池）废气要密闭收集处理。规范开展泄漏检测与修复（</w:t>
            </w:r>
            <w:r>
              <w:rPr>
                <w:rFonts w:hint="default" w:cs="Times New Roman"/>
                <w:color w:val="auto"/>
                <w:kern w:val="0"/>
                <w:sz w:val="24"/>
                <w:szCs w:val="24"/>
                <w:highlight w:val="none"/>
                <w:lang w:val="en-US" w:eastAsia="zh-CN" w:bidi="ar-SA"/>
              </w:rPr>
              <w:t>LDAR</w:t>
            </w:r>
            <w:r>
              <w:rPr>
                <w:rFonts w:hint="eastAsia" w:cs="Times New Roman"/>
                <w:color w:val="auto"/>
                <w:kern w:val="0"/>
                <w:sz w:val="24"/>
                <w:szCs w:val="24"/>
                <w:highlight w:val="none"/>
                <w:lang w:val="en-US" w:eastAsia="zh-CN" w:bidi="ar-SA"/>
              </w:rPr>
              <w:t>）。企业开停工、检维修期间，及时收集处理退料、清洗、吹扫等作业产生的</w:t>
            </w:r>
            <w:r>
              <w:rPr>
                <w:rFonts w:hint="default" w:cs="Times New Roman"/>
                <w:color w:val="auto"/>
                <w:kern w:val="0"/>
                <w:sz w:val="24"/>
                <w:szCs w:val="24"/>
                <w:highlight w:val="none"/>
                <w:lang w:val="en-US" w:eastAsia="zh-CN" w:bidi="ar-SA"/>
              </w:rPr>
              <w:t>VOCs</w:t>
            </w:r>
            <w:r>
              <w:rPr>
                <w:rFonts w:hint="eastAsia" w:cs="Times New Roman"/>
                <w:color w:val="auto"/>
                <w:kern w:val="0"/>
                <w:sz w:val="24"/>
                <w:szCs w:val="24"/>
                <w:highlight w:val="none"/>
                <w:lang w:val="en-US" w:eastAsia="zh-CN" w:bidi="ar-SA"/>
              </w:rPr>
              <w:t>废气。企业不得将火炬燃烧装置作为日常大气污染处理设施。</w:t>
            </w:r>
          </w:p>
          <w:p w14:paraId="76053184">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default"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本项目为农机拆解项目，根据《产业结构调整指导目录（2024年本）》相关规定，本项目属于鼓励类“四十二、环境保护与资源节约综合利用 9、再制造：报废汽车、退役民用飞机、工程机械、矿山机械、农业机械、机床、文办设备及耗材、盾构机、航空发动机、工业机器人、火车内燃机车等废旧设备及零部件拆解、再利用、再制造”项目，因此本项目符合相关产业政策。本项目预处理过程废油液挥发的废气在工位上方设置集气罩，</w:t>
            </w:r>
            <w:r>
              <w:rPr>
                <w:rFonts w:hint="eastAsia" w:ascii="Times New Roman" w:hAnsi="Times New Roman" w:eastAsia="宋体" w:cs="Times New Roman"/>
                <w:color w:val="auto"/>
                <w:kern w:val="0"/>
                <w:sz w:val="24"/>
                <w:szCs w:val="24"/>
                <w:highlight w:val="none"/>
                <w:lang w:val="en-US" w:eastAsia="zh-CN" w:bidi="ar-SA"/>
              </w:rPr>
              <w:t>废气经集气罩收集后经活性炭吸附装置处理，后经15m高排气</w:t>
            </w:r>
            <w:r>
              <w:rPr>
                <w:rFonts w:hint="eastAsia" w:cs="Times New Roman"/>
                <w:color w:val="auto"/>
                <w:kern w:val="0"/>
                <w:sz w:val="24"/>
                <w:szCs w:val="24"/>
                <w:highlight w:val="none"/>
                <w:lang w:val="en-US" w:eastAsia="zh-CN" w:bidi="ar-SA"/>
              </w:rPr>
              <w:t>筒（DA001）</w:t>
            </w:r>
            <w:r>
              <w:rPr>
                <w:rFonts w:hint="eastAsia" w:ascii="Times New Roman" w:hAnsi="Times New Roman" w:eastAsia="宋体" w:cs="Times New Roman"/>
                <w:color w:val="auto"/>
                <w:kern w:val="0"/>
                <w:sz w:val="24"/>
                <w:szCs w:val="24"/>
                <w:highlight w:val="none"/>
                <w:lang w:val="en-US" w:eastAsia="zh-CN" w:bidi="ar-SA"/>
              </w:rPr>
              <w:t>排放</w:t>
            </w:r>
            <w:r>
              <w:rPr>
                <w:rFonts w:hint="eastAsia" w:cs="Times New Roman"/>
                <w:color w:val="auto"/>
                <w:kern w:val="0"/>
                <w:sz w:val="24"/>
                <w:szCs w:val="24"/>
                <w:highlight w:val="none"/>
                <w:lang w:val="en-US" w:eastAsia="zh-CN" w:bidi="ar-SA"/>
              </w:rPr>
              <w:t>。切割过程中产生的切割废气在</w:t>
            </w:r>
            <w:r>
              <w:rPr>
                <w:rFonts w:hint="eastAsia" w:ascii="Times New Roman" w:hAnsi="Times New Roman" w:eastAsia="宋体" w:cs="Times New Roman"/>
                <w:color w:val="auto"/>
                <w:kern w:val="0"/>
                <w:sz w:val="24"/>
                <w:szCs w:val="24"/>
                <w:highlight w:val="none"/>
                <w:lang w:val="en-US" w:eastAsia="zh-CN" w:bidi="ar-SA"/>
              </w:rPr>
              <w:t>切割工位设置集气罩，切割粉尘采用集气罩收集，经布袋除尘器处理后经15m高排气筒</w:t>
            </w:r>
            <w:r>
              <w:rPr>
                <w:rFonts w:hint="eastAsia" w:cs="Times New Roman"/>
                <w:color w:val="auto"/>
                <w:kern w:val="0"/>
                <w:sz w:val="24"/>
                <w:szCs w:val="24"/>
                <w:highlight w:val="none"/>
                <w:lang w:val="en-US" w:eastAsia="zh-CN" w:bidi="ar-SA"/>
              </w:rPr>
              <w:t>（DA001）</w:t>
            </w:r>
            <w:r>
              <w:rPr>
                <w:rFonts w:hint="eastAsia" w:ascii="Times New Roman" w:hAnsi="Times New Roman" w:eastAsia="宋体" w:cs="Times New Roman"/>
                <w:color w:val="auto"/>
                <w:kern w:val="0"/>
                <w:sz w:val="24"/>
                <w:szCs w:val="24"/>
                <w:highlight w:val="none"/>
                <w:lang w:val="en-US" w:eastAsia="zh-CN" w:bidi="ar-SA"/>
              </w:rPr>
              <w:t>排放</w:t>
            </w:r>
            <w:r>
              <w:rPr>
                <w:rFonts w:hint="eastAsia" w:cs="Times New Roman"/>
                <w:color w:val="auto"/>
                <w:kern w:val="0"/>
                <w:sz w:val="24"/>
                <w:szCs w:val="24"/>
                <w:highlight w:val="none"/>
                <w:lang w:val="en-US" w:eastAsia="zh-CN" w:bidi="ar-SA"/>
              </w:rPr>
              <w:t>。</w:t>
            </w:r>
            <w:r>
              <w:rPr>
                <w:rFonts w:hint="eastAsia"/>
                <w:color w:val="auto"/>
                <w:sz w:val="24"/>
                <w:lang w:val="en-US" w:eastAsia="zh-CN"/>
              </w:rPr>
              <w:t>非甲烷总烃、工业粉尘</w:t>
            </w:r>
            <w:r>
              <w:rPr>
                <w:rFonts w:hint="default"/>
                <w:color w:val="auto"/>
                <w:sz w:val="24"/>
                <w:lang w:val="en-US" w:eastAsia="zh-CN"/>
              </w:rPr>
              <w:t>排放</w:t>
            </w:r>
            <w:r>
              <w:rPr>
                <w:rFonts w:hint="eastAsia"/>
                <w:color w:val="auto"/>
                <w:sz w:val="24"/>
                <w:lang w:val="en-US" w:eastAsia="zh-CN"/>
              </w:rPr>
              <w:t>浓度</w:t>
            </w:r>
            <w:r>
              <w:rPr>
                <w:rFonts w:hint="default"/>
                <w:color w:val="auto"/>
                <w:sz w:val="24"/>
                <w:lang w:val="en-US" w:eastAsia="zh-CN"/>
              </w:rPr>
              <w:t>均</w:t>
            </w:r>
            <w:r>
              <w:rPr>
                <w:rFonts w:hint="eastAsia"/>
                <w:color w:val="auto"/>
                <w:sz w:val="24"/>
                <w:lang w:val="en-US" w:eastAsia="zh-CN"/>
              </w:rPr>
              <w:t>满足</w:t>
            </w:r>
            <w:r>
              <w:rPr>
                <w:rFonts w:hint="eastAsia" w:ascii="Times New Roman" w:hAnsi="Times New Roman" w:eastAsia="宋体" w:cs="Times New Roman"/>
                <w:color w:val="auto"/>
                <w:kern w:val="0"/>
                <w:sz w:val="24"/>
                <w:szCs w:val="24"/>
                <w:highlight w:val="none"/>
                <w:lang w:val="en-US" w:eastAsia="zh-CN" w:bidi="ar-SA"/>
              </w:rPr>
              <w:t>《大气污染物综合排放标准》（GB16297-1996）表2中二级标准及无组织排放标准限值要求。</w:t>
            </w:r>
            <w:r>
              <w:rPr>
                <w:rFonts w:hint="eastAsia" w:cs="Times New Roman"/>
                <w:color w:val="auto"/>
                <w:kern w:val="0"/>
                <w:sz w:val="24"/>
                <w:szCs w:val="24"/>
                <w:highlight w:val="none"/>
                <w:lang w:val="en-US" w:eastAsia="zh-CN" w:bidi="ar-SA"/>
              </w:rPr>
              <w:t>本项目燃生物质</w:t>
            </w:r>
            <w:r>
              <w:rPr>
                <w:rFonts w:hint="eastAsia" w:ascii="Times New Roman" w:hAnsi="Times New Roman" w:eastAsia="宋体" w:cs="Times New Roman"/>
                <w:color w:val="auto"/>
                <w:kern w:val="0"/>
                <w:sz w:val="24"/>
                <w:szCs w:val="24"/>
                <w:highlight w:val="none"/>
                <w:lang w:val="en-US" w:eastAsia="zh-CN" w:bidi="ar-SA"/>
              </w:rPr>
              <w:t>锅</w:t>
            </w:r>
            <w:r>
              <w:rPr>
                <w:rFonts w:hint="default" w:ascii="Times New Roman" w:hAnsi="Times New Roman" w:eastAsia="宋体" w:cs="Times New Roman"/>
                <w:color w:val="auto"/>
                <w:kern w:val="0"/>
                <w:sz w:val="24"/>
                <w:szCs w:val="24"/>
                <w:highlight w:val="none"/>
                <w:lang w:val="en-US" w:eastAsia="zh-CN" w:bidi="ar-SA"/>
              </w:rPr>
              <w:t>炉</w:t>
            </w:r>
            <w:r>
              <w:rPr>
                <w:rFonts w:hint="eastAsia" w:cs="Times New Roman"/>
                <w:color w:val="auto"/>
                <w:kern w:val="0"/>
                <w:sz w:val="24"/>
                <w:szCs w:val="24"/>
                <w:highlight w:val="none"/>
                <w:lang w:val="en-US" w:eastAsia="zh-CN" w:bidi="ar-SA"/>
              </w:rPr>
              <w:t>废气采用旋风除尘器+布袋除尘器处理，处理后废气经30m高烟囱（DA002）排放。</w:t>
            </w:r>
            <w:r>
              <w:rPr>
                <w:rFonts w:hint="default"/>
                <w:color w:val="auto"/>
                <w:sz w:val="24"/>
                <w:lang w:val="en-US" w:eastAsia="zh-CN"/>
              </w:rPr>
              <w:t>颗粒物、SO</w:t>
            </w:r>
            <w:r>
              <w:rPr>
                <w:rFonts w:hint="default"/>
                <w:color w:val="auto"/>
                <w:sz w:val="24"/>
                <w:vertAlign w:val="subscript"/>
                <w:lang w:val="en-US" w:eastAsia="zh-CN"/>
              </w:rPr>
              <w:t>2</w:t>
            </w:r>
            <w:r>
              <w:rPr>
                <w:rFonts w:hint="eastAsia"/>
                <w:color w:val="auto"/>
                <w:sz w:val="24"/>
                <w:lang w:val="en-US" w:eastAsia="zh-CN"/>
              </w:rPr>
              <w:t>、</w:t>
            </w:r>
            <w:r>
              <w:rPr>
                <w:rFonts w:hint="default"/>
                <w:color w:val="auto"/>
                <w:sz w:val="24"/>
                <w:lang w:val="en-US" w:eastAsia="zh-CN"/>
              </w:rPr>
              <w:t>NOx排放</w:t>
            </w:r>
            <w:r>
              <w:rPr>
                <w:rFonts w:hint="eastAsia"/>
                <w:color w:val="auto"/>
                <w:sz w:val="24"/>
                <w:lang w:val="en-US" w:eastAsia="zh-CN"/>
              </w:rPr>
              <w:t>浓度</w:t>
            </w:r>
            <w:r>
              <w:rPr>
                <w:rFonts w:hint="default"/>
                <w:color w:val="auto"/>
                <w:sz w:val="24"/>
                <w:lang w:val="en-US" w:eastAsia="zh-CN"/>
              </w:rPr>
              <w:t>均满足</w:t>
            </w:r>
            <w:r>
              <w:rPr>
                <w:rFonts w:hint="eastAsia"/>
                <w:color w:val="auto"/>
                <w:sz w:val="24"/>
                <w:lang w:val="en-US" w:eastAsia="zh-CN"/>
              </w:rPr>
              <w:t>《锅炉大气污染物排放标准》（GB13271-2014）表2标准限值要求</w:t>
            </w:r>
            <w:r>
              <w:rPr>
                <w:rFonts w:hint="default"/>
                <w:color w:val="auto"/>
                <w:sz w:val="24"/>
                <w:lang w:val="en-US" w:eastAsia="zh-CN"/>
              </w:rPr>
              <w:t>。</w:t>
            </w:r>
            <w:r>
              <w:rPr>
                <w:rFonts w:hint="eastAsia" w:cs="Times New Roman"/>
                <w:color w:val="auto"/>
                <w:kern w:val="0"/>
                <w:sz w:val="24"/>
                <w:szCs w:val="24"/>
                <w:highlight w:val="none"/>
                <w:lang w:val="en-US" w:eastAsia="zh-CN" w:bidi="ar-SA"/>
              </w:rPr>
              <w:t>厂房外无组织非甲烷总烃排放执行《挥发性有机物无组织排放控制标准》（GB 37822—2019）标准中无组织排放监控浓度限值。因此，本项目符合《鸡西市空气质量持续改善行动计划贯彻落实方案》相关要求。</w:t>
            </w:r>
          </w:p>
          <w:p w14:paraId="49AC6D27">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11、</w:t>
            </w:r>
            <w:r>
              <w:rPr>
                <w:rFonts w:hint="default" w:ascii="Times New Roman" w:hAnsi="Times New Roman" w:eastAsia="宋体" w:cs="Times New Roman"/>
                <w:color w:val="auto"/>
                <w:kern w:val="0"/>
                <w:sz w:val="24"/>
                <w:szCs w:val="24"/>
                <w:highlight w:val="none"/>
                <w:lang w:val="en-US" w:eastAsia="zh-CN" w:bidi="ar-SA"/>
              </w:rPr>
              <w:t>选址合理性分析</w:t>
            </w:r>
          </w:p>
          <w:p w14:paraId="3EF8BF48">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本项</w:t>
            </w:r>
            <w:r>
              <w:rPr>
                <w:rFonts w:hint="eastAsia"/>
                <w:color w:val="auto"/>
                <w:spacing w:val="4"/>
                <w:sz w:val="24"/>
                <w:highlight w:val="none"/>
                <w:lang w:val="en-US" w:eastAsia="zh-CN"/>
              </w:rPr>
              <w:t>目位于黑龙江省鸡西市鸡冠区梁家村六组，租赁梁家村连发轧钢厂现有厂房和场地进行内部装修和设备安装</w:t>
            </w:r>
            <w:r>
              <w:rPr>
                <w:rFonts w:hint="eastAsia" w:cs="Times New Roman"/>
                <w:color w:val="auto"/>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bidi="ar-SA"/>
              </w:rPr>
              <w:t>用地性质为</w:t>
            </w:r>
            <w:r>
              <w:rPr>
                <w:rFonts w:hint="eastAsia" w:ascii="Times New Roman" w:hAnsi="Times New Roman" w:eastAsia="宋体" w:cs="Times New Roman"/>
                <w:color w:val="auto"/>
                <w:kern w:val="0"/>
                <w:sz w:val="24"/>
                <w:szCs w:val="24"/>
                <w:highlight w:val="none"/>
                <w:lang w:val="en-US" w:eastAsia="zh-CN" w:bidi="ar-SA"/>
              </w:rPr>
              <w:t>工业用地</w:t>
            </w:r>
            <w:r>
              <w:rPr>
                <w:rFonts w:hint="default" w:ascii="Times New Roman" w:hAnsi="Times New Roman" w:eastAsia="宋体" w:cs="Times New Roman"/>
                <w:color w:val="auto"/>
                <w:kern w:val="0"/>
                <w:sz w:val="24"/>
                <w:szCs w:val="24"/>
                <w:highlight w:val="none"/>
                <w:lang w:val="en-US" w:eastAsia="zh-CN" w:bidi="ar-SA"/>
              </w:rPr>
              <w:t>。</w:t>
            </w:r>
            <w:r>
              <w:rPr>
                <w:rFonts w:hint="eastAsia" w:cs="Times New Roman"/>
                <w:color w:val="auto"/>
                <w:sz w:val="24"/>
                <w:szCs w:val="24"/>
                <w:highlight w:val="none"/>
                <w:lang w:eastAsia="zh-CN"/>
              </w:rPr>
              <w:t>本项目厂区东侧为</w:t>
            </w:r>
            <w:r>
              <w:rPr>
                <w:rFonts w:hint="eastAsia" w:cs="Times New Roman"/>
                <w:color w:val="auto"/>
                <w:sz w:val="24"/>
                <w:szCs w:val="24"/>
                <w:highlight w:val="none"/>
                <w:lang w:val="en-US" w:eastAsia="zh-CN"/>
              </w:rPr>
              <w:t>梁家停车场</w:t>
            </w:r>
            <w:r>
              <w:rPr>
                <w:rFonts w:hint="eastAsia" w:cs="Times New Roman"/>
                <w:color w:val="auto"/>
                <w:sz w:val="24"/>
                <w:szCs w:val="24"/>
                <w:highlight w:val="none"/>
                <w:lang w:eastAsia="zh-CN"/>
              </w:rPr>
              <w:t>，厂区南侧为</w:t>
            </w:r>
            <w:r>
              <w:rPr>
                <w:rFonts w:hint="eastAsia" w:cs="Times New Roman"/>
                <w:color w:val="auto"/>
                <w:sz w:val="24"/>
                <w:szCs w:val="24"/>
                <w:highlight w:val="none"/>
                <w:lang w:val="en-US" w:eastAsia="zh-CN"/>
              </w:rPr>
              <w:t>废铁回收站</w:t>
            </w:r>
            <w:r>
              <w:rPr>
                <w:rFonts w:hint="eastAsia" w:cs="Times New Roman"/>
                <w:color w:val="auto"/>
                <w:sz w:val="24"/>
                <w:szCs w:val="24"/>
                <w:highlight w:val="none"/>
                <w:lang w:eastAsia="zh-CN"/>
              </w:rPr>
              <w:t>，厂区西侧</w:t>
            </w:r>
            <w:r>
              <w:rPr>
                <w:rFonts w:hint="eastAsia" w:cs="Times New Roman"/>
                <w:color w:val="auto"/>
                <w:sz w:val="24"/>
                <w:szCs w:val="24"/>
                <w:highlight w:val="none"/>
                <w:lang w:val="en-US" w:eastAsia="zh-CN"/>
              </w:rPr>
              <w:t>为民房</w:t>
            </w:r>
            <w:r>
              <w:rPr>
                <w:rFonts w:hint="eastAsia" w:ascii="Times New Roman" w:hAnsi="Times New Roman" w:eastAsia="宋体" w:cs="Times New Roman"/>
                <w:color w:val="auto"/>
                <w:sz w:val="24"/>
                <w:szCs w:val="24"/>
                <w:highlight w:val="none"/>
                <w:lang w:eastAsia="zh-CN"/>
              </w:rPr>
              <w:t>，厂区北</w:t>
            </w:r>
            <w:r>
              <w:rPr>
                <w:rFonts w:hint="eastAsia" w:cs="Times New Roman"/>
                <w:color w:val="auto"/>
                <w:sz w:val="24"/>
                <w:szCs w:val="24"/>
                <w:highlight w:val="none"/>
                <w:lang w:eastAsia="zh-CN"/>
              </w:rPr>
              <w:t>侧</w:t>
            </w:r>
            <w:r>
              <w:rPr>
                <w:rFonts w:hint="eastAsia" w:asciiTheme="minorEastAsia" w:hAnsiTheme="minorEastAsia" w:eastAsiaTheme="minorEastAsia" w:cstheme="minorEastAsia"/>
                <w:snapToGrid w:val="0"/>
                <w:color w:val="auto"/>
                <w:kern w:val="0"/>
                <w:sz w:val="24"/>
                <w:szCs w:val="24"/>
                <w:highlight w:val="none"/>
                <w:vertAlign w:val="baseline"/>
                <w:lang w:val="en-US" w:eastAsia="zh-CN"/>
              </w:rPr>
              <w:t>隔道为民房</w:t>
            </w:r>
            <w:r>
              <w:rPr>
                <w:rFonts w:hint="eastAsia" w:cs="Times New Roman"/>
                <w:color w:val="auto"/>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bidi="ar-SA"/>
              </w:rPr>
              <w:t>项目选址不属于</w:t>
            </w:r>
            <w:r>
              <w:rPr>
                <w:rFonts w:hint="eastAsia" w:ascii="Times New Roman" w:hAnsi="Times New Roman" w:eastAsia="宋体" w:cs="Times New Roman"/>
                <w:color w:val="auto"/>
                <w:kern w:val="0"/>
                <w:sz w:val="24"/>
                <w:szCs w:val="24"/>
                <w:highlight w:val="none"/>
                <w:lang w:val="en-US" w:eastAsia="zh-CN" w:bidi="ar-SA"/>
              </w:rPr>
              <w:t>自然保护区、风景名胜区、</w:t>
            </w:r>
            <w:r>
              <w:rPr>
                <w:rFonts w:hint="default" w:ascii="Times New Roman" w:hAnsi="Times New Roman" w:eastAsia="宋体" w:cs="Times New Roman"/>
                <w:color w:val="auto"/>
                <w:kern w:val="0"/>
                <w:sz w:val="24"/>
                <w:szCs w:val="24"/>
                <w:highlight w:val="none"/>
                <w:lang w:val="en-US" w:eastAsia="zh-CN" w:bidi="ar-SA"/>
              </w:rPr>
              <w:t>生活饮用水源地保护区、温泉疗养区、基本农田保护区等</w:t>
            </w:r>
            <w:r>
              <w:rPr>
                <w:rFonts w:hint="eastAsia" w:ascii="Times New Roman" w:hAnsi="Times New Roman" w:eastAsia="宋体" w:cs="Times New Roman"/>
                <w:color w:val="auto"/>
                <w:kern w:val="0"/>
                <w:sz w:val="24"/>
                <w:szCs w:val="24"/>
                <w:highlight w:val="none"/>
                <w:lang w:val="en-US" w:eastAsia="zh-CN" w:bidi="ar-SA"/>
              </w:rPr>
              <w:t>其他</w:t>
            </w:r>
            <w:r>
              <w:rPr>
                <w:rFonts w:hint="default" w:ascii="Times New Roman" w:hAnsi="Times New Roman" w:eastAsia="宋体" w:cs="Times New Roman"/>
                <w:color w:val="auto"/>
                <w:kern w:val="0"/>
                <w:sz w:val="24"/>
                <w:szCs w:val="24"/>
                <w:highlight w:val="none"/>
                <w:lang w:val="en-US" w:eastAsia="zh-CN" w:bidi="ar-SA"/>
              </w:rPr>
              <w:t>需要特殊保护区域。本项目有良好的经营条件，给排水、供电等公用设施齐备</w:t>
            </w:r>
            <w:r>
              <w:rPr>
                <w:rFonts w:hint="eastAsia" w:ascii="Times New Roman" w:hAnsi="Times New Roman" w:eastAsia="宋体" w:cs="Times New Roman"/>
                <w:color w:val="auto"/>
                <w:kern w:val="0"/>
                <w:sz w:val="24"/>
                <w:szCs w:val="24"/>
                <w:highlight w:val="none"/>
                <w:lang w:val="en-US" w:eastAsia="zh-CN" w:bidi="ar-SA"/>
              </w:rPr>
              <w:t>。</w:t>
            </w:r>
          </w:p>
          <w:p w14:paraId="0843119C">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敏感目标</w:t>
            </w:r>
            <w:r>
              <w:rPr>
                <w:rFonts w:hint="eastAsia" w:cs="Times New Roman"/>
                <w:color w:val="auto"/>
                <w:kern w:val="0"/>
                <w:sz w:val="24"/>
                <w:szCs w:val="24"/>
                <w:highlight w:val="none"/>
                <w:lang w:val="en-US" w:eastAsia="zh-CN" w:bidi="ar-SA"/>
              </w:rPr>
              <w:t>梁家村</w:t>
            </w:r>
            <w:r>
              <w:rPr>
                <w:rFonts w:hint="eastAsia" w:ascii="Times New Roman" w:hAnsi="Times New Roman" w:eastAsia="宋体" w:cs="Times New Roman"/>
                <w:color w:val="auto"/>
                <w:kern w:val="0"/>
                <w:sz w:val="24"/>
                <w:szCs w:val="24"/>
                <w:highlight w:val="none"/>
                <w:lang w:val="en-US" w:eastAsia="zh-CN" w:bidi="ar-SA"/>
              </w:rPr>
              <w:t>位于厂区</w:t>
            </w:r>
            <w:r>
              <w:rPr>
                <w:rFonts w:hint="eastAsia" w:cs="Times New Roman"/>
                <w:color w:val="auto"/>
                <w:kern w:val="0"/>
                <w:sz w:val="24"/>
                <w:szCs w:val="24"/>
                <w:highlight w:val="none"/>
                <w:lang w:val="en-US" w:eastAsia="zh-CN" w:bidi="ar-SA"/>
              </w:rPr>
              <w:t>东侧300</w:t>
            </w:r>
            <w:r>
              <w:rPr>
                <w:rFonts w:hint="eastAsia" w:ascii="Times New Roman" w:hAnsi="Times New Roman" w:eastAsia="宋体" w:cs="Times New Roman"/>
                <w:color w:val="auto"/>
                <w:kern w:val="0"/>
                <w:sz w:val="24"/>
                <w:szCs w:val="24"/>
                <w:highlight w:val="none"/>
                <w:lang w:val="en-US" w:eastAsia="zh-CN" w:bidi="ar-SA"/>
              </w:rPr>
              <w:t>m处，敏感目标</w:t>
            </w:r>
            <w:r>
              <w:rPr>
                <w:rFonts w:hint="eastAsia" w:cs="Times New Roman"/>
                <w:color w:val="auto"/>
                <w:kern w:val="0"/>
                <w:sz w:val="24"/>
                <w:szCs w:val="24"/>
                <w:highlight w:val="none"/>
                <w:lang w:val="en-US" w:eastAsia="zh-CN" w:bidi="ar-SA"/>
              </w:rPr>
              <w:t>新发村</w:t>
            </w:r>
            <w:r>
              <w:rPr>
                <w:rFonts w:hint="eastAsia" w:ascii="Times New Roman" w:hAnsi="Times New Roman" w:eastAsia="宋体" w:cs="Times New Roman"/>
                <w:color w:val="auto"/>
                <w:kern w:val="0"/>
                <w:sz w:val="24"/>
                <w:szCs w:val="24"/>
                <w:highlight w:val="none"/>
                <w:lang w:val="en-US" w:eastAsia="zh-CN" w:bidi="ar-SA"/>
              </w:rPr>
              <w:t>位于厂区北侧</w:t>
            </w:r>
            <w:r>
              <w:rPr>
                <w:rFonts w:hint="eastAsia" w:cs="Times New Roman"/>
                <w:color w:val="auto"/>
                <w:kern w:val="0"/>
                <w:sz w:val="24"/>
                <w:szCs w:val="24"/>
                <w:highlight w:val="none"/>
                <w:lang w:val="en-US" w:eastAsia="zh-CN" w:bidi="ar-SA"/>
              </w:rPr>
              <w:t>20</w:t>
            </w:r>
            <w:r>
              <w:rPr>
                <w:rFonts w:hint="eastAsia" w:ascii="Times New Roman" w:hAnsi="Times New Roman" w:eastAsia="宋体" w:cs="Times New Roman"/>
                <w:color w:val="auto"/>
                <w:kern w:val="0"/>
                <w:sz w:val="24"/>
                <w:szCs w:val="24"/>
                <w:highlight w:val="none"/>
                <w:lang w:val="en-US" w:eastAsia="zh-CN" w:bidi="ar-SA"/>
              </w:rPr>
              <w:t>m处，敏感目标</w:t>
            </w:r>
            <w:r>
              <w:rPr>
                <w:rFonts w:hint="eastAsia" w:cs="Times New Roman"/>
                <w:color w:val="auto"/>
                <w:kern w:val="0"/>
                <w:sz w:val="24"/>
                <w:szCs w:val="24"/>
                <w:highlight w:val="none"/>
                <w:lang w:val="en-US" w:eastAsia="zh-CN" w:bidi="ar-SA"/>
              </w:rPr>
              <w:t>新发村</w:t>
            </w:r>
            <w:r>
              <w:rPr>
                <w:rFonts w:hint="eastAsia" w:ascii="Times New Roman" w:hAnsi="Times New Roman" w:eastAsia="宋体" w:cs="Times New Roman"/>
                <w:color w:val="auto"/>
                <w:kern w:val="0"/>
                <w:sz w:val="24"/>
                <w:szCs w:val="24"/>
                <w:highlight w:val="none"/>
                <w:lang w:val="en-US" w:eastAsia="zh-CN" w:bidi="ar-SA"/>
              </w:rPr>
              <w:t>位于厂区</w:t>
            </w:r>
            <w:r>
              <w:rPr>
                <w:rFonts w:hint="eastAsia" w:cs="Times New Roman"/>
                <w:color w:val="auto"/>
                <w:kern w:val="0"/>
                <w:sz w:val="24"/>
                <w:szCs w:val="24"/>
                <w:highlight w:val="none"/>
                <w:lang w:val="en-US" w:eastAsia="zh-CN" w:bidi="ar-SA"/>
              </w:rPr>
              <w:t>西</w:t>
            </w:r>
            <w:r>
              <w:rPr>
                <w:rFonts w:hint="eastAsia" w:ascii="Times New Roman" w:hAnsi="Times New Roman" w:eastAsia="宋体" w:cs="Times New Roman"/>
                <w:color w:val="auto"/>
                <w:kern w:val="0"/>
                <w:sz w:val="24"/>
                <w:szCs w:val="24"/>
                <w:highlight w:val="none"/>
                <w:lang w:val="en-US" w:eastAsia="zh-CN" w:bidi="ar-SA"/>
              </w:rPr>
              <w:t>侧</w:t>
            </w:r>
            <w:r>
              <w:rPr>
                <w:rFonts w:hint="eastAsia" w:cs="Times New Roman"/>
                <w:color w:val="auto"/>
                <w:kern w:val="0"/>
                <w:sz w:val="24"/>
                <w:szCs w:val="24"/>
                <w:highlight w:val="none"/>
                <w:lang w:val="en-US" w:eastAsia="zh-CN" w:bidi="ar-SA"/>
              </w:rPr>
              <w:t>10</w:t>
            </w:r>
            <w:r>
              <w:rPr>
                <w:rFonts w:hint="eastAsia" w:ascii="Times New Roman" w:hAnsi="Times New Roman" w:eastAsia="宋体" w:cs="Times New Roman"/>
                <w:color w:val="auto"/>
                <w:kern w:val="0"/>
                <w:sz w:val="24"/>
                <w:szCs w:val="24"/>
                <w:highlight w:val="none"/>
                <w:lang w:val="en-US" w:eastAsia="zh-CN" w:bidi="ar-SA"/>
              </w:rPr>
              <w:t>m处</w:t>
            </w:r>
            <w:r>
              <w:rPr>
                <w:rFonts w:hint="eastAsia" w:cs="Times New Roman"/>
                <w:color w:val="auto"/>
                <w:kern w:val="0"/>
                <w:sz w:val="24"/>
                <w:szCs w:val="24"/>
                <w:highlight w:val="none"/>
                <w:lang w:val="en-US" w:eastAsia="zh-CN" w:bidi="ar-SA"/>
              </w:rPr>
              <w:t>，鸡西市鸡冠区</w:t>
            </w:r>
            <w:r>
              <w:rPr>
                <w:rFonts w:hint="eastAsia" w:ascii="Times New Roman" w:hAnsi="Times New Roman" w:eastAsia="宋体" w:cs="Times New Roman"/>
                <w:color w:val="auto"/>
                <w:kern w:val="0"/>
                <w:sz w:val="24"/>
                <w:szCs w:val="24"/>
                <w:highlight w:val="none"/>
                <w:lang w:val="en-US" w:eastAsia="zh-CN" w:bidi="ar-SA"/>
              </w:rPr>
              <w:t>主导风向为</w:t>
            </w:r>
            <w:r>
              <w:rPr>
                <w:rFonts w:hint="eastAsia" w:cs="Times New Roman"/>
                <w:color w:val="auto"/>
                <w:kern w:val="0"/>
                <w:sz w:val="24"/>
                <w:szCs w:val="24"/>
                <w:highlight w:val="none"/>
                <w:lang w:val="en-US" w:eastAsia="zh-CN" w:bidi="ar-SA"/>
              </w:rPr>
              <w:t>西</w:t>
            </w:r>
            <w:r>
              <w:rPr>
                <w:rFonts w:hint="eastAsia" w:ascii="Times New Roman" w:hAnsi="Times New Roman" w:eastAsia="宋体" w:cs="Times New Roman"/>
                <w:color w:val="auto"/>
                <w:kern w:val="0"/>
                <w:sz w:val="24"/>
                <w:szCs w:val="24"/>
                <w:highlight w:val="none"/>
                <w:lang w:val="en-US" w:eastAsia="zh-CN" w:bidi="ar-SA"/>
              </w:rPr>
              <w:t>风，敏感目标位于厂区</w:t>
            </w:r>
            <w:r>
              <w:rPr>
                <w:rFonts w:hint="eastAsia" w:cs="Times New Roman"/>
                <w:color w:val="auto"/>
                <w:kern w:val="0"/>
                <w:sz w:val="24"/>
                <w:szCs w:val="24"/>
                <w:highlight w:val="none"/>
                <w:lang w:val="en-US" w:eastAsia="zh-CN" w:bidi="ar-SA"/>
              </w:rPr>
              <w:t>西及北</w:t>
            </w:r>
            <w:r>
              <w:rPr>
                <w:rFonts w:hint="eastAsia" w:ascii="Times New Roman" w:hAnsi="Times New Roman" w:eastAsia="宋体" w:cs="Times New Roman"/>
                <w:color w:val="auto"/>
                <w:kern w:val="0"/>
                <w:sz w:val="24"/>
                <w:szCs w:val="24"/>
                <w:highlight w:val="none"/>
                <w:lang w:val="en-US" w:eastAsia="zh-CN" w:bidi="ar-SA"/>
              </w:rPr>
              <w:t>侧。</w:t>
            </w:r>
            <w:r>
              <w:rPr>
                <w:rFonts w:hint="eastAsia" w:cs="Times New Roman"/>
                <w:color w:val="auto"/>
                <w:kern w:val="0"/>
                <w:sz w:val="24"/>
                <w:szCs w:val="24"/>
                <w:highlight w:val="none"/>
                <w:lang w:val="en-US" w:eastAsia="zh-CN" w:bidi="ar-SA"/>
              </w:rPr>
              <w:t>本项目预处理过程废油液挥发的废气在工位上方设置集气罩，</w:t>
            </w:r>
            <w:r>
              <w:rPr>
                <w:rFonts w:hint="eastAsia" w:ascii="Times New Roman" w:hAnsi="Times New Roman" w:eastAsia="宋体" w:cs="Times New Roman"/>
                <w:color w:val="auto"/>
                <w:kern w:val="0"/>
                <w:sz w:val="24"/>
                <w:szCs w:val="24"/>
                <w:highlight w:val="none"/>
                <w:lang w:val="en-US" w:eastAsia="zh-CN" w:bidi="ar-SA"/>
              </w:rPr>
              <w:t>废气经集气罩收集后经活性炭吸附装置处理，后经15m高排气</w:t>
            </w:r>
            <w:r>
              <w:rPr>
                <w:rFonts w:hint="eastAsia" w:cs="Times New Roman"/>
                <w:color w:val="auto"/>
                <w:kern w:val="0"/>
                <w:sz w:val="24"/>
                <w:szCs w:val="24"/>
                <w:highlight w:val="none"/>
                <w:lang w:val="en-US" w:eastAsia="zh-CN" w:bidi="ar-SA"/>
              </w:rPr>
              <w:t>筒（DA001）</w:t>
            </w:r>
            <w:r>
              <w:rPr>
                <w:rFonts w:hint="eastAsia" w:ascii="Times New Roman" w:hAnsi="Times New Roman" w:eastAsia="宋体" w:cs="Times New Roman"/>
                <w:color w:val="auto"/>
                <w:kern w:val="0"/>
                <w:sz w:val="24"/>
                <w:szCs w:val="24"/>
                <w:highlight w:val="none"/>
                <w:lang w:val="en-US" w:eastAsia="zh-CN" w:bidi="ar-SA"/>
              </w:rPr>
              <w:t>排放</w:t>
            </w:r>
            <w:r>
              <w:rPr>
                <w:rFonts w:hint="eastAsia" w:cs="Times New Roman"/>
                <w:color w:val="auto"/>
                <w:kern w:val="0"/>
                <w:sz w:val="24"/>
                <w:szCs w:val="24"/>
                <w:highlight w:val="none"/>
                <w:lang w:val="en-US" w:eastAsia="zh-CN" w:bidi="ar-SA"/>
              </w:rPr>
              <w:t>。切割过程中产生的切割废气在</w:t>
            </w:r>
            <w:r>
              <w:rPr>
                <w:rFonts w:hint="eastAsia" w:ascii="Times New Roman" w:hAnsi="Times New Roman" w:eastAsia="宋体" w:cs="Times New Roman"/>
                <w:color w:val="auto"/>
                <w:kern w:val="0"/>
                <w:sz w:val="24"/>
                <w:szCs w:val="24"/>
                <w:highlight w:val="none"/>
                <w:lang w:val="en-US" w:eastAsia="zh-CN" w:bidi="ar-SA"/>
              </w:rPr>
              <w:t>切割工位设置集气罩，切割粉尘采用集气罩收集，经布袋除尘器处理后经15m高排气筒</w:t>
            </w:r>
            <w:r>
              <w:rPr>
                <w:rFonts w:hint="eastAsia" w:cs="Times New Roman"/>
                <w:color w:val="auto"/>
                <w:kern w:val="0"/>
                <w:sz w:val="24"/>
                <w:szCs w:val="24"/>
                <w:highlight w:val="none"/>
                <w:lang w:val="en-US" w:eastAsia="zh-CN" w:bidi="ar-SA"/>
              </w:rPr>
              <w:t>（DA001）</w:t>
            </w:r>
            <w:r>
              <w:rPr>
                <w:rFonts w:hint="eastAsia" w:ascii="Times New Roman" w:hAnsi="Times New Roman" w:eastAsia="宋体" w:cs="Times New Roman"/>
                <w:color w:val="auto"/>
                <w:kern w:val="0"/>
                <w:sz w:val="24"/>
                <w:szCs w:val="24"/>
                <w:highlight w:val="none"/>
                <w:lang w:val="en-US" w:eastAsia="zh-CN" w:bidi="ar-SA"/>
              </w:rPr>
              <w:t>排放</w:t>
            </w:r>
            <w:r>
              <w:rPr>
                <w:rFonts w:hint="eastAsia" w:cs="Times New Roman"/>
                <w:color w:val="auto"/>
                <w:kern w:val="0"/>
                <w:sz w:val="24"/>
                <w:szCs w:val="24"/>
                <w:highlight w:val="none"/>
                <w:lang w:val="en-US" w:eastAsia="zh-CN" w:bidi="ar-SA"/>
              </w:rPr>
              <w:t>。本项目燃生物质</w:t>
            </w:r>
            <w:r>
              <w:rPr>
                <w:rFonts w:hint="eastAsia" w:ascii="Times New Roman" w:hAnsi="Times New Roman" w:eastAsia="宋体" w:cs="Times New Roman"/>
                <w:color w:val="auto"/>
                <w:kern w:val="0"/>
                <w:sz w:val="24"/>
                <w:szCs w:val="24"/>
                <w:highlight w:val="none"/>
                <w:lang w:val="en-US" w:eastAsia="zh-CN" w:bidi="ar-SA"/>
              </w:rPr>
              <w:t>锅</w:t>
            </w:r>
            <w:r>
              <w:rPr>
                <w:rFonts w:hint="default" w:ascii="Times New Roman" w:hAnsi="Times New Roman" w:eastAsia="宋体" w:cs="Times New Roman"/>
                <w:color w:val="auto"/>
                <w:kern w:val="0"/>
                <w:sz w:val="24"/>
                <w:szCs w:val="24"/>
                <w:highlight w:val="none"/>
                <w:lang w:val="en-US" w:eastAsia="zh-CN" w:bidi="ar-SA"/>
              </w:rPr>
              <w:t>炉</w:t>
            </w:r>
            <w:r>
              <w:rPr>
                <w:rFonts w:hint="eastAsia" w:cs="Times New Roman"/>
                <w:color w:val="auto"/>
                <w:kern w:val="0"/>
                <w:sz w:val="24"/>
                <w:szCs w:val="24"/>
                <w:highlight w:val="none"/>
                <w:lang w:val="en-US" w:eastAsia="zh-CN" w:bidi="ar-SA"/>
              </w:rPr>
              <w:t>废气采用旋风除尘器+布袋除尘器处理，处理后废气经30m高烟囱（DA002）排放。</w:t>
            </w:r>
            <w:r>
              <w:rPr>
                <w:rFonts w:hint="default" w:ascii="Times New Roman" w:hAnsi="Times New Roman" w:eastAsia="宋体" w:cs="Times New Roman"/>
                <w:color w:val="auto"/>
                <w:kern w:val="0"/>
                <w:sz w:val="24"/>
                <w:szCs w:val="24"/>
                <w:highlight w:val="none"/>
                <w:lang w:val="en-US" w:eastAsia="zh-CN" w:bidi="ar-SA"/>
              </w:rPr>
              <w:t>本项目对大气污染物排放采取相应措施，可使污染物得到有效控制</w:t>
            </w:r>
            <w:r>
              <w:rPr>
                <w:rFonts w:hint="eastAsia" w:cs="Times New Roman"/>
                <w:color w:val="auto"/>
                <w:kern w:val="0"/>
                <w:sz w:val="24"/>
                <w:szCs w:val="24"/>
                <w:highlight w:val="none"/>
                <w:lang w:val="en-US" w:eastAsia="zh-CN" w:bidi="ar-SA"/>
              </w:rPr>
              <w:t>。</w:t>
            </w:r>
            <w:r>
              <w:rPr>
                <w:rFonts w:hint="eastAsia"/>
                <w:color w:val="auto"/>
                <w:sz w:val="24"/>
                <w:lang w:val="en-US" w:eastAsia="zh-CN"/>
              </w:rPr>
              <w:t>本项目建成后初期雨水收集后经油水分离装置处理后，和锅炉排污水、软化水制备废水和生活污水一同排入市政管网，送入鸡西市鸡冠区污水处理厂，经处理后</w:t>
            </w:r>
            <w:r>
              <w:rPr>
                <w:rFonts w:hint="eastAsia"/>
                <w:color w:val="auto"/>
                <w:sz w:val="24"/>
              </w:rPr>
              <w:t>可以达到《城镇污水处理厂污染物排放标准》（GB 18918－2002）中一级A标准</w:t>
            </w:r>
            <w:r>
              <w:rPr>
                <w:rFonts w:hint="eastAsia"/>
                <w:color w:val="auto"/>
                <w:sz w:val="24"/>
                <w:lang w:eastAsia="zh-CN"/>
              </w:rPr>
              <w:t>。</w:t>
            </w:r>
            <w:r>
              <w:rPr>
                <w:rFonts w:hint="default" w:ascii="Times New Roman" w:hAnsi="Times New Roman" w:eastAsia="宋体" w:cs="Times New Roman"/>
                <w:color w:val="auto"/>
                <w:kern w:val="0"/>
                <w:sz w:val="24"/>
                <w:szCs w:val="24"/>
                <w:highlight w:val="none"/>
                <w:lang w:val="en-US" w:eastAsia="zh-CN" w:bidi="ar-SA"/>
              </w:rPr>
              <w:t>选用低噪声设备，通过减振、隔声、降噪、加强管理和设备合理布局等措施</w:t>
            </w:r>
            <w:r>
              <w:rPr>
                <w:rFonts w:hint="eastAsia" w:cs="Times New Roman"/>
                <w:color w:val="auto"/>
                <w:kern w:val="0"/>
                <w:sz w:val="24"/>
                <w:szCs w:val="24"/>
                <w:highlight w:val="none"/>
                <w:lang w:val="en-US" w:eastAsia="zh-CN" w:bidi="ar-SA"/>
              </w:rPr>
              <w:t>，</w:t>
            </w:r>
            <w:r>
              <w:rPr>
                <w:rFonts w:hint="default" w:ascii="Times New Roman" w:hAnsi="Times New Roman" w:eastAsia="宋体" w:cs="Times New Roman"/>
                <w:bCs/>
                <w:color w:val="auto"/>
                <w:sz w:val="24"/>
                <w:highlight w:val="none"/>
              </w:rPr>
              <w:t>优化厂区布置，采取降噪措施后本项目厂界</w:t>
            </w:r>
            <w:r>
              <w:rPr>
                <w:rFonts w:hint="eastAsia" w:cs="Times New Roman"/>
                <w:bCs/>
                <w:color w:val="auto"/>
                <w:sz w:val="24"/>
                <w:highlight w:val="none"/>
                <w:lang w:val="en-US" w:eastAsia="zh-CN"/>
              </w:rPr>
              <w:t>四周</w:t>
            </w:r>
            <w:r>
              <w:rPr>
                <w:rFonts w:hint="default" w:ascii="Times New Roman" w:hAnsi="Times New Roman" w:eastAsia="宋体" w:cs="Times New Roman"/>
                <w:bCs/>
                <w:color w:val="auto"/>
                <w:sz w:val="24"/>
                <w:highlight w:val="none"/>
              </w:rPr>
              <w:t>噪声</w:t>
            </w:r>
            <w:r>
              <w:rPr>
                <w:rFonts w:hint="eastAsia" w:cs="Times New Roman"/>
                <w:bCs/>
                <w:color w:val="auto"/>
                <w:sz w:val="24"/>
                <w:highlight w:val="none"/>
                <w:lang w:val="en-US" w:eastAsia="zh-CN"/>
              </w:rPr>
              <w:t>满足</w:t>
            </w:r>
            <w:r>
              <w:rPr>
                <w:rFonts w:hint="default" w:ascii="Times New Roman" w:hAnsi="Times New Roman" w:eastAsia="宋体" w:cs="Times New Roman"/>
                <w:bCs/>
                <w:color w:val="auto"/>
                <w:sz w:val="24"/>
                <w:highlight w:val="none"/>
              </w:rPr>
              <w:t>《工业企业厂界环境噪声排放标准》（GB12348-2008）表1中</w:t>
            </w:r>
            <w:r>
              <w:rPr>
                <w:rFonts w:hint="eastAsia" w:cs="Times New Roman"/>
                <w:bCs/>
                <w:color w:val="auto"/>
                <w:sz w:val="24"/>
                <w:highlight w:val="none"/>
                <w:lang w:val="en-US" w:eastAsia="zh-CN"/>
              </w:rPr>
              <w:t>2</w:t>
            </w:r>
            <w:r>
              <w:rPr>
                <w:rFonts w:hint="default" w:ascii="Times New Roman" w:hAnsi="Times New Roman" w:eastAsia="宋体" w:cs="Times New Roman"/>
                <w:bCs/>
                <w:color w:val="auto"/>
                <w:sz w:val="24"/>
                <w:highlight w:val="none"/>
              </w:rPr>
              <w:t>类标准。</w:t>
            </w:r>
            <w:r>
              <w:rPr>
                <w:rFonts w:hint="default" w:ascii="Times New Roman" w:hAnsi="Times New Roman" w:cs="Times New Roman"/>
                <w:color w:val="auto"/>
                <w:kern w:val="0"/>
                <w:sz w:val="24"/>
                <w:szCs w:val="24"/>
                <w:highlight w:val="none"/>
                <w:lang w:eastAsia="zh-CN"/>
              </w:rPr>
              <w:t>项目敏感目标处满足《声环境质量标准》</w:t>
            </w:r>
            <w:r>
              <w:rPr>
                <w:rFonts w:hint="eastAsia"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lang w:eastAsia="zh-CN"/>
              </w:rPr>
              <w:t>GB</w:t>
            </w:r>
            <w:r>
              <w:rPr>
                <w:rFonts w:hint="eastAsia" w:ascii="Times New Roman" w:hAnsi="Times New Roman" w:cs="Times New Roman"/>
                <w:color w:val="auto"/>
                <w:kern w:val="0"/>
                <w:sz w:val="24"/>
                <w:szCs w:val="24"/>
                <w:highlight w:val="none"/>
                <w:lang w:val="en-US" w:eastAsia="zh-CN"/>
              </w:rPr>
              <w:t xml:space="preserve"> </w:t>
            </w:r>
            <w:r>
              <w:rPr>
                <w:rFonts w:hint="default" w:ascii="Times New Roman" w:hAnsi="Times New Roman" w:cs="Times New Roman"/>
                <w:color w:val="auto"/>
                <w:kern w:val="0"/>
                <w:sz w:val="24"/>
                <w:szCs w:val="24"/>
                <w:highlight w:val="none"/>
                <w:lang w:eastAsia="zh-CN"/>
              </w:rPr>
              <w:t>3096-2008</w:t>
            </w:r>
            <w:r>
              <w:rPr>
                <w:rFonts w:hint="eastAsia" w:cs="Times New Roman"/>
                <w:color w:val="auto"/>
                <w:kern w:val="0"/>
                <w:sz w:val="24"/>
                <w:szCs w:val="24"/>
                <w:highlight w:val="none"/>
                <w:lang w:eastAsia="zh-CN"/>
              </w:rPr>
              <w:t>）</w:t>
            </w:r>
            <w:r>
              <w:rPr>
                <w:rFonts w:hint="eastAsia" w:cs="Times New Roman"/>
                <w:color w:val="auto"/>
                <w:kern w:val="0"/>
                <w:sz w:val="24"/>
                <w:szCs w:val="24"/>
                <w:highlight w:val="none"/>
                <w:lang w:val="en-US" w:eastAsia="zh-CN"/>
              </w:rPr>
              <w:t>2</w:t>
            </w:r>
            <w:r>
              <w:rPr>
                <w:rFonts w:hint="default" w:ascii="Times New Roman" w:hAnsi="Times New Roman" w:cs="Times New Roman"/>
                <w:color w:val="auto"/>
                <w:kern w:val="0"/>
                <w:sz w:val="24"/>
                <w:szCs w:val="24"/>
                <w:highlight w:val="none"/>
                <w:lang w:eastAsia="zh-CN"/>
              </w:rPr>
              <w:t>类标准限值的要求</w:t>
            </w:r>
            <w:r>
              <w:rPr>
                <w:rFonts w:hint="eastAsia" w:ascii="Times New Roman" w:hAnsi="Times New Roman" w:cs="Times New Roman"/>
                <w:color w:val="auto"/>
                <w:kern w:val="0"/>
                <w:sz w:val="24"/>
                <w:szCs w:val="24"/>
                <w:highlight w:val="none"/>
                <w:lang w:eastAsia="zh-CN"/>
              </w:rPr>
              <w:t>。</w:t>
            </w:r>
            <w:r>
              <w:rPr>
                <w:rFonts w:hint="eastAsia" w:cs="Times New Roman"/>
                <w:color w:val="auto"/>
                <w:kern w:val="0"/>
                <w:sz w:val="24"/>
                <w:szCs w:val="24"/>
                <w:highlight w:val="none"/>
                <w:lang w:val="en-US" w:eastAsia="zh-CN"/>
              </w:rPr>
              <w:t>本项目固体废物处理率可达100%。</w:t>
            </w:r>
            <w:r>
              <w:rPr>
                <w:rFonts w:hint="default" w:ascii="Times New Roman" w:hAnsi="Times New Roman" w:eastAsia="宋体" w:cs="Times New Roman"/>
                <w:color w:val="auto"/>
                <w:kern w:val="0"/>
                <w:sz w:val="24"/>
                <w:szCs w:val="24"/>
                <w:highlight w:val="none"/>
                <w:lang w:val="en-US" w:eastAsia="zh-CN" w:bidi="ar-SA"/>
              </w:rPr>
              <w:t>通过严格落实本项目提出的各项污染物防治措施，本项目各项污染物均能达标排放，固体废物均能做到安全处置，不会改变现有的环境质量现状，对外环境的影响是可以接受的。</w:t>
            </w:r>
          </w:p>
          <w:p w14:paraId="4E621339">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根</w:t>
            </w:r>
            <w:r>
              <w:rPr>
                <w:rFonts w:hint="default" w:ascii="Times New Roman" w:hAnsi="Times New Roman" w:eastAsia="宋体" w:cs="Times New Roman"/>
                <w:color w:val="auto"/>
                <w:kern w:val="0"/>
                <w:sz w:val="24"/>
                <w:szCs w:val="24"/>
                <w:highlight w:val="none"/>
                <w:lang w:val="en-US" w:eastAsia="zh-CN" w:bidi="ar-SA"/>
              </w:rPr>
              <w:t>据以上分析可知，本项目选址基本合理。</w:t>
            </w:r>
          </w:p>
          <w:p w14:paraId="17700D80">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default" w:ascii="Times New Roman" w:hAnsi="Times New Roman" w:eastAsia="宋体" w:cs="Times New Roman"/>
                <w:color w:val="auto"/>
                <w:kern w:val="0"/>
                <w:sz w:val="24"/>
                <w:szCs w:val="24"/>
                <w:highlight w:val="none"/>
                <w:lang w:val="en-US" w:eastAsia="zh-CN" w:bidi="ar-SA"/>
              </w:rPr>
            </w:pPr>
          </w:p>
          <w:p w14:paraId="37552751">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default" w:ascii="Times New Roman" w:hAnsi="Times New Roman" w:eastAsia="宋体" w:cs="Times New Roman"/>
                <w:color w:val="auto"/>
                <w:kern w:val="0"/>
                <w:sz w:val="24"/>
                <w:szCs w:val="24"/>
                <w:highlight w:val="none"/>
                <w:lang w:val="en-US" w:eastAsia="zh-CN" w:bidi="ar-SA"/>
              </w:rPr>
            </w:pPr>
          </w:p>
          <w:p w14:paraId="6827229A">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default" w:ascii="Times New Roman" w:hAnsi="Times New Roman" w:eastAsia="宋体" w:cs="Times New Roman"/>
                <w:color w:val="auto"/>
                <w:kern w:val="0"/>
                <w:sz w:val="24"/>
                <w:szCs w:val="24"/>
                <w:highlight w:val="none"/>
                <w:lang w:val="en-US" w:eastAsia="zh-CN" w:bidi="ar-SA"/>
              </w:rPr>
            </w:pPr>
          </w:p>
          <w:p w14:paraId="4EC3ADD7">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default" w:ascii="Times New Roman" w:hAnsi="Times New Roman" w:eastAsia="宋体" w:cs="Times New Roman"/>
                <w:color w:val="auto"/>
                <w:kern w:val="0"/>
                <w:sz w:val="24"/>
                <w:szCs w:val="24"/>
                <w:highlight w:val="none"/>
                <w:lang w:val="en-US" w:eastAsia="zh-CN" w:bidi="ar-SA"/>
              </w:rPr>
            </w:pPr>
          </w:p>
          <w:p w14:paraId="6FD37E99">
            <w:pPr>
              <w:keepLines w:val="0"/>
              <w:pageBreakBefore w:val="0"/>
              <w:widowControl/>
              <w:shd w:val="clear"/>
              <w:topLinePunct w:val="0"/>
              <w:autoSpaceDE w:val="0"/>
              <w:bidi w:val="0"/>
              <w:spacing w:beforeAutospacing="0" w:afterAutospacing="0" w:line="360" w:lineRule="auto"/>
              <w:ind w:left="0" w:leftChars="0" w:right="0" w:rightChars="0" w:firstLine="420" w:firstLineChars="200"/>
              <w:jc w:val="both"/>
              <w:rPr>
                <w:rFonts w:hint="eastAsia"/>
                <w:color w:val="auto"/>
                <w:lang w:val="en-US" w:eastAsia="zh-CN"/>
              </w:rPr>
            </w:pPr>
          </w:p>
        </w:tc>
      </w:tr>
    </w:tbl>
    <w:p w14:paraId="6400E696">
      <w:pPr>
        <w:pStyle w:val="26"/>
        <w:spacing w:before="120" w:beforeLines="50" w:beforeAutospacing="0" w:after="0" w:afterAutospacing="0"/>
        <w:jc w:val="center"/>
        <w:outlineLvl w:val="0"/>
        <w:rPr>
          <w:rFonts w:ascii="Times New Roman" w:hAnsi="Times New Roman"/>
          <w:b/>
          <w:snapToGrid w:val="0"/>
          <w:color w:val="auto"/>
          <w:sz w:val="30"/>
          <w:szCs w:val="30"/>
        </w:rPr>
        <w:sectPr>
          <w:footerReference r:id="rId4"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bookmarkStart w:id="5" w:name="_Toc5691"/>
    </w:p>
    <w:p w14:paraId="5BED4EF5">
      <w:pPr>
        <w:pStyle w:val="26"/>
        <w:spacing w:before="120" w:beforeLines="50" w:beforeAutospacing="0" w:after="0" w:afterAutospacing="0"/>
        <w:jc w:val="center"/>
        <w:outlineLvl w:val="0"/>
        <w:rPr>
          <w:rFonts w:ascii="Times New Roman" w:hAnsi="Times New Roman"/>
          <w:b/>
          <w:snapToGrid w:val="0"/>
          <w:color w:val="auto"/>
          <w:sz w:val="30"/>
          <w:szCs w:val="30"/>
        </w:rPr>
      </w:pPr>
      <w:r>
        <w:rPr>
          <w:rFonts w:ascii="Times New Roman" w:hAnsi="Times New Roman"/>
          <w:b/>
          <w:snapToGrid w:val="0"/>
          <w:color w:val="auto"/>
          <w:sz w:val="30"/>
          <w:szCs w:val="30"/>
        </w:rPr>
        <w:t>二、建设项目工程分析</w:t>
      </w:r>
    </w:p>
    <w:tbl>
      <w:tblPr>
        <w:tblStyle w:val="31"/>
        <w:tblW w:w="908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84"/>
        <w:gridCol w:w="8496"/>
      </w:tblGrid>
      <w:tr w14:paraId="516E08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66" w:hRule="atLeast"/>
          <w:jc w:val="center"/>
        </w:trPr>
        <w:tc>
          <w:tcPr>
            <w:tcW w:w="594" w:type="dxa"/>
            <w:vAlign w:val="center"/>
          </w:tcPr>
          <w:p w14:paraId="44EFE5EF">
            <w:pPr>
              <w:pStyle w:val="26"/>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宋体"/>
                <w:color w:val="auto"/>
                <w:sz w:val="21"/>
                <w:szCs w:val="18"/>
                <w:highlight w:val="none"/>
              </w:rPr>
            </w:pPr>
            <w:r>
              <w:rPr>
                <w:rFonts w:hint="default" w:ascii="Times New Roman" w:hAnsi="Times New Roman" w:eastAsia="宋体"/>
                <w:b/>
                <w:color w:val="auto"/>
                <w:sz w:val="21"/>
                <w:szCs w:val="21"/>
                <w:highlight w:val="none"/>
              </w:rPr>
              <w:t>建设内容</w:t>
            </w:r>
          </w:p>
        </w:tc>
        <w:tc>
          <w:tcPr>
            <w:tcW w:w="8486" w:type="dxa"/>
            <w:vAlign w:val="top"/>
          </w:tcPr>
          <w:p w14:paraId="5BC8FD7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1、</w:t>
            </w:r>
            <w:r>
              <w:rPr>
                <w:rFonts w:hint="eastAsia" w:ascii="Times New Roman" w:hAnsi="Times New Roman" w:eastAsia="宋体" w:cs="Times New Roman"/>
                <w:b/>
                <w:bCs/>
                <w:color w:val="auto"/>
                <w:sz w:val="24"/>
                <w:highlight w:val="none"/>
                <w:lang w:val="en-US" w:eastAsia="zh-CN"/>
              </w:rPr>
              <w:t>项目分类管理判定</w:t>
            </w:r>
          </w:p>
          <w:p w14:paraId="2D8C8EDE">
            <w:pPr>
              <w:keepNext w:val="0"/>
              <w:keepLines w:val="0"/>
              <w:suppressLineNumbers w:val="0"/>
              <w:spacing w:before="0" w:beforeAutospacing="0" w:after="0" w:afterAutospacing="0" w:line="360" w:lineRule="auto"/>
              <w:ind w:left="0" w:right="0" w:firstLine="496" w:firstLineChars="200"/>
              <w:rPr>
                <w:rFonts w:hint="eastAsia" w:ascii="Times New Roman" w:hAnsi="Times New Roman" w:eastAsia="宋体" w:cs="Times New Roman"/>
                <w:color w:val="auto"/>
                <w:spacing w:val="4"/>
                <w:sz w:val="24"/>
                <w:highlight w:val="none"/>
                <w:lang w:val="en-US" w:eastAsia="zh-CN"/>
              </w:rPr>
            </w:pPr>
            <w:r>
              <w:rPr>
                <w:rFonts w:hint="eastAsia" w:ascii="Times New Roman" w:hAnsi="Times New Roman" w:eastAsia="宋体" w:cs="Times New Roman"/>
                <w:color w:val="auto"/>
                <w:spacing w:val="4"/>
                <w:sz w:val="24"/>
                <w:highlight w:val="none"/>
                <w:lang w:val="en-US" w:eastAsia="zh-CN"/>
              </w:rPr>
              <w:t>根据《</w:t>
            </w:r>
            <w:r>
              <w:rPr>
                <w:rFonts w:hint="default" w:ascii="Times New Roman" w:hAnsi="Times New Roman" w:eastAsia="宋体" w:cs="Times New Roman"/>
                <w:color w:val="auto"/>
                <w:spacing w:val="4"/>
                <w:sz w:val="24"/>
                <w:highlight w:val="none"/>
                <w:lang w:val="en-US" w:eastAsia="zh-CN"/>
              </w:rPr>
              <w:t>建设项目环境影响评价分类管理名录（2021年版）</w:t>
            </w:r>
            <w:r>
              <w:rPr>
                <w:rFonts w:hint="eastAsia" w:ascii="Times New Roman" w:hAnsi="Times New Roman" w:eastAsia="宋体" w:cs="Times New Roman"/>
                <w:color w:val="auto"/>
                <w:spacing w:val="4"/>
                <w:sz w:val="24"/>
                <w:highlight w:val="none"/>
                <w:lang w:val="en-US" w:eastAsia="zh-CN"/>
              </w:rPr>
              <w:t xml:space="preserve">》“三十九、废弃资源综合利用业42 </w:t>
            </w:r>
            <w:r>
              <w:rPr>
                <w:rFonts w:hint="default" w:ascii="Times New Roman" w:hAnsi="Times New Roman" w:eastAsia="宋体" w:cs="Times New Roman"/>
                <w:color w:val="auto"/>
                <w:spacing w:val="4"/>
                <w:sz w:val="24"/>
                <w:highlight w:val="none"/>
                <w:lang w:val="en-US" w:eastAsia="zh-CN"/>
              </w:rPr>
              <w:t>85金属废料和碎屑加工处理421</w:t>
            </w:r>
            <w:r>
              <w:rPr>
                <w:rFonts w:hint="eastAsia" w:ascii="Times New Roman" w:hAnsi="Times New Roman" w:eastAsia="宋体" w:cs="Times New Roman"/>
                <w:color w:val="auto"/>
                <w:spacing w:val="4"/>
                <w:sz w:val="24"/>
                <w:highlight w:val="none"/>
                <w:lang w:val="en-US" w:eastAsia="zh-CN"/>
              </w:rPr>
              <w:t>”，</w:t>
            </w:r>
            <w:r>
              <w:rPr>
                <w:rFonts w:hint="eastAsia" w:ascii="Times New Roman" w:hAnsi="Times New Roman" w:cs="Times New Roman"/>
                <w:color w:val="auto"/>
                <w:spacing w:val="4"/>
                <w:sz w:val="24"/>
                <w:highlight w:val="none"/>
                <w:lang w:val="en-US" w:eastAsia="zh-CN"/>
              </w:rPr>
              <w:t>本项目为农机拆解项目</w:t>
            </w:r>
            <w:r>
              <w:rPr>
                <w:rFonts w:hint="eastAsia" w:ascii="Times New Roman" w:hAnsi="Times New Roman" w:eastAsia="宋体" w:cs="Times New Roman"/>
                <w:color w:val="auto"/>
                <w:spacing w:val="4"/>
                <w:sz w:val="24"/>
                <w:highlight w:val="none"/>
                <w:lang w:val="en-US" w:eastAsia="zh-CN"/>
              </w:rPr>
              <w:t>，属于“废弃电器电子产品、废机动车、废电机、废电线电缆、废钢、废铁、金属和金属化合物矿灰及残渣、有色金属废料与碎屑、废塑料、废轮胎、废船、含水洗工艺的其他废料和碎屑加工处理</w:t>
            </w:r>
            <w:r>
              <w:rPr>
                <w:rFonts w:hint="eastAsia" w:cs="Times New Roman"/>
                <w:color w:val="auto"/>
                <w:spacing w:val="4"/>
                <w:sz w:val="24"/>
                <w:highlight w:val="none"/>
                <w:lang w:val="en-US" w:eastAsia="zh-CN"/>
              </w:rPr>
              <w:t>（</w:t>
            </w:r>
            <w:r>
              <w:rPr>
                <w:rFonts w:hint="eastAsia" w:ascii="Times New Roman" w:hAnsi="Times New Roman" w:eastAsia="宋体" w:cs="Times New Roman"/>
                <w:color w:val="auto"/>
                <w:spacing w:val="4"/>
                <w:sz w:val="24"/>
                <w:highlight w:val="none"/>
                <w:lang w:val="en-US" w:eastAsia="zh-CN"/>
              </w:rPr>
              <w:t>衣业生产产生的废旧秧盘、薄膜破碎和清洗工艺的除外</w:t>
            </w:r>
            <w:r>
              <w:rPr>
                <w:rFonts w:hint="eastAsia" w:cs="Times New Roman"/>
                <w:color w:val="auto"/>
                <w:spacing w:val="4"/>
                <w:sz w:val="24"/>
                <w:highlight w:val="none"/>
                <w:lang w:val="en-US" w:eastAsia="zh-CN"/>
              </w:rPr>
              <w:t>）</w:t>
            </w:r>
            <w:r>
              <w:rPr>
                <w:rFonts w:hint="eastAsia" w:ascii="Times New Roman" w:hAnsi="Times New Roman" w:eastAsia="宋体" w:cs="Times New Roman"/>
                <w:color w:val="auto"/>
                <w:spacing w:val="4"/>
                <w:sz w:val="24"/>
                <w:highlight w:val="none"/>
                <w:lang w:val="en-US" w:eastAsia="zh-CN"/>
              </w:rPr>
              <w:t>”，则环评类别为报告表。</w:t>
            </w:r>
          </w:p>
          <w:p w14:paraId="552963B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highlight w:val="none"/>
              </w:rPr>
            </w:pPr>
            <w:r>
              <w:rPr>
                <w:rFonts w:hint="eastAsia"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rPr>
              <w:t>项目概况</w:t>
            </w:r>
          </w:p>
          <w:p w14:paraId="59E06528">
            <w:pPr>
              <w:keepNext w:val="0"/>
              <w:keepLines w:val="0"/>
              <w:suppressLineNumbers w:val="0"/>
              <w:spacing w:before="0" w:beforeAutospacing="0" w:after="0" w:afterAutospacing="0" w:line="360" w:lineRule="auto"/>
              <w:ind w:left="0" w:right="0" w:firstLine="496" w:firstLineChars="200"/>
              <w:rPr>
                <w:rFonts w:hint="eastAsia" w:ascii="Times New Roman" w:hAnsi="Times New Roman" w:eastAsia="宋体" w:cs="Times New Roman"/>
                <w:color w:val="auto"/>
                <w:spacing w:val="4"/>
                <w:sz w:val="24"/>
                <w:highlight w:val="none"/>
                <w:lang w:val="en-US" w:eastAsia="zh-CN"/>
              </w:rPr>
            </w:pPr>
            <w:r>
              <w:rPr>
                <w:rFonts w:hint="eastAsia" w:ascii="Times New Roman" w:hAnsi="Times New Roman" w:eastAsia="宋体"/>
                <w:color w:val="auto"/>
                <w:spacing w:val="4"/>
                <w:sz w:val="24"/>
                <w:highlight w:val="none"/>
              </w:rPr>
              <w:t>（1）项目名称</w:t>
            </w:r>
            <w:r>
              <w:rPr>
                <w:rFonts w:hint="eastAsia" w:ascii="Times New Roman" w:hAnsi="Times New Roman" w:eastAsia="宋体" w:cs="Times New Roman"/>
                <w:color w:val="auto"/>
                <w:spacing w:val="4"/>
                <w:sz w:val="24"/>
                <w:highlight w:val="none"/>
              </w:rPr>
              <w:t>：鸡西市木森商贸有限责任公司农机拆解项目</w:t>
            </w:r>
          </w:p>
          <w:p w14:paraId="424ACA2E">
            <w:pPr>
              <w:keepNext w:val="0"/>
              <w:keepLines w:val="0"/>
              <w:suppressLineNumbers w:val="0"/>
              <w:spacing w:before="0" w:beforeAutospacing="0" w:after="0" w:afterAutospacing="0" w:line="360" w:lineRule="auto"/>
              <w:ind w:left="0" w:right="0" w:firstLine="496" w:firstLineChars="200"/>
              <w:rPr>
                <w:rFonts w:hint="eastAsia" w:ascii="Times New Roman" w:hAnsi="Times New Roman" w:eastAsia="宋体" w:cs="Times New Roman"/>
                <w:color w:val="auto"/>
                <w:spacing w:val="4"/>
                <w:sz w:val="24"/>
                <w:highlight w:val="none"/>
                <w:lang w:eastAsia="zh-CN"/>
              </w:rPr>
            </w:pPr>
            <w:r>
              <w:rPr>
                <w:rFonts w:hint="eastAsia" w:ascii="Times New Roman" w:hAnsi="Times New Roman" w:eastAsia="宋体" w:cs="Times New Roman"/>
                <w:color w:val="auto"/>
                <w:spacing w:val="4"/>
                <w:sz w:val="24"/>
                <w:highlight w:val="none"/>
              </w:rPr>
              <w:t>（2）建设单位：鸡西市木森商贸有限责任公司</w:t>
            </w:r>
          </w:p>
          <w:p w14:paraId="13A2E1DA">
            <w:pPr>
              <w:keepNext w:val="0"/>
              <w:keepLines w:val="0"/>
              <w:suppressLineNumbers w:val="0"/>
              <w:spacing w:before="0" w:beforeAutospacing="0" w:after="0" w:afterAutospacing="0" w:line="360" w:lineRule="auto"/>
              <w:ind w:left="0" w:right="0" w:firstLine="496" w:firstLineChars="200"/>
              <w:rPr>
                <w:rFonts w:hint="default" w:ascii="Times New Roman" w:hAnsi="Times New Roman" w:eastAsia="宋体"/>
                <w:color w:val="auto"/>
                <w:spacing w:val="4"/>
                <w:sz w:val="24"/>
                <w:highlight w:val="none"/>
              </w:rPr>
            </w:pPr>
            <w:r>
              <w:rPr>
                <w:rFonts w:hint="eastAsia" w:ascii="Times New Roman" w:hAnsi="Times New Roman" w:eastAsia="宋体" w:cs="Times New Roman"/>
                <w:color w:val="auto"/>
                <w:spacing w:val="4"/>
                <w:sz w:val="24"/>
                <w:highlight w:val="none"/>
              </w:rPr>
              <w:t>（3）建设性质：新建</w:t>
            </w:r>
          </w:p>
          <w:p w14:paraId="4E9FF653">
            <w:pPr>
              <w:keepNext w:val="0"/>
              <w:keepLines w:val="0"/>
              <w:suppressLineNumbers w:val="0"/>
              <w:spacing w:before="0" w:beforeAutospacing="0" w:after="0" w:afterAutospacing="0" w:line="360" w:lineRule="auto"/>
              <w:ind w:left="0" w:right="0" w:firstLine="496" w:firstLineChars="200"/>
              <w:rPr>
                <w:rFonts w:hint="default" w:ascii="Times New Roman" w:hAnsi="Times New Roman" w:eastAsia="宋体"/>
                <w:color w:val="auto"/>
                <w:spacing w:val="4"/>
                <w:sz w:val="24"/>
                <w:highlight w:val="none"/>
              </w:rPr>
            </w:pPr>
            <w:r>
              <w:rPr>
                <w:rFonts w:hint="eastAsia" w:ascii="Times New Roman" w:hAnsi="Times New Roman" w:eastAsia="宋体"/>
                <w:color w:val="auto"/>
                <w:spacing w:val="4"/>
                <w:sz w:val="24"/>
                <w:highlight w:val="none"/>
              </w:rPr>
              <w:t>（4）</w:t>
            </w:r>
            <w:r>
              <w:rPr>
                <w:rFonts w:hint="eastAsia" w:ascii="Times New Roman" w:hAnsi="Times New Roman" w:eastAsia="宋体" w:cs="Times New Roman"/>
                <w:color w:val="auto"/>
                <w:spacing w:val="4"/>
                <w:sz w:val="24"/>
                <w:highlight w:val="none"/>
                <w:lang w:val="en-US" w:eastAsia="zh-CN"/>
              </w:rPr>
              <w:t>建设</w:t>
            </w:r>
            <w:r>
              <w:rPr>
                <w:rFonts w:hint="eastAsia" w:ascii="Times New Roman" w:hAnsi="Times New Roman" w:eastAsia="宋体"/>
                <w:color w:val="auto"/>
                <w:spacing w:val="4"/>
                <w:sz w:val="24"/>
                <w:highlight w:val="none"/>
              </w:rPr>
              <w:t>规模：</w:t>
            </w:r>
            <w:r>
              <w:rPr>
                <w:rFonts w:hint="eastAsia"/>
                <w:color w:val="auto"/>
                <w:sz w:val="24"/>
              </w:rPr>
              <w:t>项目建成后年回收处理报废</w:t>
            </w:r>
            <w:r>
              <w:rPr>
                <w:rFonts w:hint="eastAsia"/>
                <w:color w:val="auto"/>
                <w:sz w:val="24"/>
                <w:lang w:val="en-US" w:eastAsia="zh-CN"/>
              </w:rPr>
              <w:t>农机车辆2000台</w:t>
            </w:r>
            <w:r>
              <w:rPr>
                <w:rFonts w:hint="eastAsia"/>
                <w:color w:val="auto"/>
                <w:sz w:val="24"/>
              </w:rPr>
              <w:t>，</w:t>
            </w:r>
            <w:r>
              <w:rPr>
                <w:rFonts w:hint="eastAsia"/>
                <w:color w:val="auto"/>
                <w:sz w:val="24"/>
                <w:lang w:val="en-US" w:eastAsia="zh-CN"/>
              </w:rPr>
              <w:t>新建一条车辆拆解生产线</w:t>
            </w:r>
            <w:r>
              <w:rPr>
                <w:rFonts w:hint="eastAsia"/>
                <w:color w:val="auto"/>
                <w:sz w:val="24"/>
              </w:rPr>
              <w:t>，拆解车辆</w:t>
            </w:r>
            <w:r>
              <w:rPr>
                <w:rFonts w:hint="eastAsia"/>
                <w:color w:val="auto"/>
                <w:sz w:val="24"/>
                <w:lang w:val="en-US" w:eastAsia="zh-CN"/>
              </w:rPr>
              <w:t>包括：拖拉机、联合收割机、播种机、水稻插秧机、打捆机、铧式犁，</w:t>
            </w:r>
            <w:r>
              <w:rPr>
                <w:rFonts w:hint="eastAsia"/>
                <w:color w:val="auto"/>
                <w:sz w:val="24"/>
              </w:rPr>
              <w:t>不包含危险品及特种车辆</w:t>
            </w:r>
            <w:r>
              <w:rPr>
                <w:rFonts w:hint="eastAsia" w:ascii="Times New Roman" w:hAnsi="Times New Roman" w:eastAsia="宋体"/>
                <w:color w:val="auto"/>
                <w:spacing w:val="4"/>
                <w:sz w:val="24"/>
                <w:highlight w:val="none"/>
              </w:rPr>
              <w:t>。</w:t>
            </w:r>
          </w:p>
          <w:p w14:paraId="429E4977">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olor w:val="auto"/>
                <w:spacing w:val="4"/>
                <w:sz w:val="24"/>
                <w:highlight w:val="none"/>
              </w:rPr>
            </w:pPr>
            <w:r>
              <w:rPr>
                <w:rFonts w:hint="eastAsia" w:ascii="Times New Roman" w:hAnsi="Times New Roman" w:cs="Times New Roman"/>
                <w:color w:val="auto"/>
                <w:sz w:val="24"/>
              </w:rPr>
              <w:t>项目位</w:t>
            </w:r>
            <w:r>
              <w:rPr>
                <w:rFonts w:hint="eastAsia" w:ascii="Times New Roman" w:hAnsi="Times New Roman" w:cs="Times New Roman"/>
                <w:color w:val="auto"/>
                <w:sz w:val="24"/>
                <w:lang w:eastAsia="zh-CN"/>
              </w:rPr>
              <w:t>于</w:t>
            </w:r>
            <w:r>
              <w:rPr>
                <w:rFonts w:hint="eastAsia" w:ascii="Times New Roman" w:hAnsi="Times New Roman" w:cs="Times New Roman"/>
                <w:color w:val="auto"/>
                <w:sz w:val="24"/>
              </w:rPr>
              <w:t>鸡西市鸡冠区梁家村六组</w:t>
            </w:r>
            <w:r>
              <w:rPr>
                <w:rFonts w:hint="eastAsia" w:ascii="Times New Roman" w:hAnsi="Times New Roman" w:cs="Times New Roman"/>
                <w:color w:val="auto"/>
                <w:sz w:val="24"/>
                <w:lang w:val="en-US" w:eastAsia="zh-CN"/>
              </w:rPr>
              <w:t>，</w:t>
            </w:r>
            <w:r>
              <w:rPr>
                <w:rFonts w:hint="eastAsia"/>
                <w:color w:val="auto"/>
                <w:spacing w:val="4"/>
                <w:sz w:val="24"/>
                <w:highlight w:val="none"/>
                <w:lang w:val="en-US" w:eastAsia="zh-CN"/>
              </w:rPr>
              <w:t>租赁梁家村连发轧钢厂现有厂房和场地进行内部装修和设备安装</w:t>
            </w:r>
            <w:r>
              <w:rPr>
                <w:rFonts w:hint="eastAsia" w:cs="Times New Roman"/>
                <w:color w:val="auto"/>
                <w:sz w:val="24"/>
                <w:szCs w:val="24"/>
                <w:highlight w:val="none"/>
                <w:lang w:eastAsia="zh-CN"/>
              </w:rPr>
              <w:t>。</w:t>
            </w:r>
            <w:r>
              <w:rPr>
                <w:rFonts w:hint="eastAsia" w:ascii="Times New Roman" w:hAnsi="Times New Roman" w:eastAsia="宋体"/>
                <w:color w:val="auto"/>
                <w:sz w:val="24"/>
                <w:highlight w:val="none"/>
              </w:rPr>
              <w:t>项目</w:t>
            </w:r>
            <w:r>
              <w:rPr>
                <w:rFonts w:hint="eastAsia" w:ascii="Times New Roman" w:hAnsi="Times New Roman" w:eastAsia="宋体"/>
                <w:color w:val="auto"/>
                <w:spacing w:val="4"/>
                <w:sz w:val="24"/>
                <w:highlight w:val="none"/>
              </w:rPr>
              <w:t>占地面积</w:t>
            </w:r>
            <w:bookmarkStart w:id="6" w:name="OLE_LINK1"/>
            <w:r>
              <w:rPr>
                <w:rFonts w:hint="eastAsia" w:cs="Times New Roman"/>
                <w:color w:val="auto"/>
                <w:spacing w:val="4"/>
                <w:sz w:val="24"/>
                <w:highlight w:val="none"/>
                <w:lang w:val="en-US" w:eastAsia="zh-CN"/>
              </w:rPr>
              <w:t>5100</w:t>
            </w:r>
            <w:bookmarkEnd w:id="6"/>
            <w:r>
              <w:rPr>
                <w:rFonts w:hint="default" w:ascii="Times New Roman" w:hAnsi="Times New Roman" w:eastAsia="宋体" w:cs="Times New Roman"/>
                <w:color w:val="auto"/>
                <w:spacing w:val="4"/>
                <w:sz w:val="24"/>
                <w:highlight w:val="none"/>
              </w:rPr>
              <w:t>m</w:t>
            </w:r>
            <w:r>
              <w:rPr>
                <w:rFonts w:hint="default" w:ascii="Times New Roman" w:hAnsi="Times New Roman" w:eastAsia="宋体" w:cs="Times New Roman"/>
                <w:color w:val="auto"/>
                <w:spacing w:val="4"/>
                <w:sz w:val="24"/>
                <w:highlight w:val="none"/>
                <w:vertAlign w:val="superscript"/>
              </w:rPr>
              <w:t>2</w:t>
            </w:r>
            <w:r>
              <w:rPr>
                <w:rFonts w:hint="eastAsia" w:ascii="Times New Roman" w:hAnsi="Times New Roman" w:eastAsia="宋体" w:cs="Times New Roman"/>
                <w:color w:val="auto"/>
                <w:spacing w:val="4"/>
                <w:sz w:val="24"/>
                <w:highlight w:val="none"/>
              </w:rPr>
              <w:t>，总建筑面积</w:t>
            </w:r>
            <w:r>
              <w:rPr>
                <w:rFonts w:hint="eastAsia" w:cs="Times New Roman"/>
                <w:color w:val="auto"/>
                <w:spacing w:val="4"/>
                <w:sz w:val="24"/>
                <w:highlight w:val="none"/>
                <w:lang w:val="en-US" w:eastAsia="zh-CN"/>
              </w:rPr>
              <w:t>1484</w:t>
            </w:r>
            <w:r>
              <w:rPr>
                <w:rFonts w:hint="default" w:ascii="Times New Roman" w:hAnsi="Times New Roman" w:eastAsia="宋体" w:cs="Times New Roman"/>
                <w:color w:val="auto"/>
                <w:spacing w:val="4"/>
                <w:sz w:val="24"/>
                <w:highlight w:val="none"/>
              </w:rPr>
              <w:t>m</w:t>
            </w:r>
            <w:r>
              <w:rPr>
                <w:rFonts w:hint="default" w:ascii="Times New Roman" w:hAnsi="Times New Roman" w:eastAsia="宋体" w:cs="Times New Roman"/>
                <w:color w:val="auto"/>
                <w:spacing w:val="4"/>
                <w:sz w:val="24"/>
                <w:highlight w:val="none"/>
                <w:vertAlign w:val="superscript"/>
              </w:rPr>
              <w:t>2</w:t>
            </w:r>
            <w:r>
              <w:rPr>
                <w:rFonts w:hint="eastAsia" w:ascii="Times New Roman" w:hAnsi="Times New Roman" w:eastAsia="宋体"/>
                <w:color w:val="auto"/>
                <w:spacing w:val="4"/>
                <w:sz w:val="24"/>
                <w:highlight w:val="none"/>
              </w:rPr>
              <w:t>。</w:t>
            </w:r>
            <w:r>
              <w:rPr>
                <w:rFonts w:hint="default" w:ascii="Times New Roman" w:hAnsi="Times New Roman" w:eastAsia="宋体"/>
                <w:color w:val="auto"/>
                <w:spacing w:val="4"/>
                <w:sz w:val="24"/>
                <w:highlight w:val="none"/>
              </w:rPr>
              <w:t>具体建设内容以及建设规模</w:t>
            </w:r>
            <w:r>
              <w:rPr>
                <w:rFonts w:hint="eastAsia" w:ascii="Times New Roman" w:hAnsi="Times New Roman" w:eastAsia="宋体"/>
                <w:color w:val="auto"/>
                <w:spacing w:val="4"/>
                <w:sz w:val="24"/>
                <w:highlight w:val="none"/>
              </w:rPr>
              <w:t>见</w:t>
            </w:r>
            <w:r>
              <w:rPr>
                <w:rFonts w:hint="default" w:ascii="Times New Roman" w:hAnsi="Times New Roman" w:eastAsia="宋体"/>
                <w:color w:val="auto"/>
                <w:spacing w:val="4"/>
                <w:sz w:val="24"/>
                <w:highlight w:val="none"/>
              </w:rPr>
              <w:t>表</w:t>
            </w:r>
            <w:r>
              <w:rPr>
                <w:rFonts w:hint="eastAsia" w:ascii="Times New Roman" w:hAnsi="Times New Roman" w:eastAsia="宋体"/>
                <w:color w:val="auto"/>
                <w:spacing w:val="4"/>
                <w:sz w:val="24"/>
                <w:highlight w:val="none"/>
                <w:lang w:val="en-US" w:eastAsia="zh-CN"/>
              </w:rPr>
              <w:t>2</w:t>
            </w:r>
            <w:r>
              <w:rPr>
                <w:rFonts w:hint="default" w:ascii="Times New Roman" w:hAnsi="Times New Roman" w:eastAsia="宋体"/>
                <w:color w:val="auto"/>
                <w:spacing w:val="4"/>
                <w:sz w:val="24"/>
                <w:highlight w:val="none"/>
              </w:rPr>
              <w:t>-1</w:t>
            </w:r>
            <w:r>
              <w:rPr>
                <w:rFonts w:hint="eastAsia" w:ascii="Times New Roman" w:hAnsi="Times New Roman" w:eastAsia="宋体"/>
                <w:color w:val="auto"/>
                <w:spacing w:val="4"/>
                <w:sz w:val="24"/>
                <w:highlight w:val="none"/>
              </w:rPr>
              <w:t>。</w:t>
            </w:r>
          </w:p>
          <w:p w14:paraId="0BBE28C7">
            <w:pPr>
              <w:keepNext w:val="0"/>
              <w:keepLines w:val="0"/>
              <w:suppressLineNumbers w:val="0"/>
              <w:adjustRightInd w:val="0"/>
              <w:snapToGrid w:val="0"/>
              <w:spacing w:before="0" w:beforeAutospacing="0" w:after="0" w:afterAutospacing="0" w:line="360" w:lineRule="auto"/>
              <w:ind w:left="0" w:right="0" w:firstLine="496"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olor w:val="auto"/>
                <w:spacing w:val="4"/>
                <w:sz w:val="24"/>
                <w:highlight w:val="none"/>
              </w:rPr>
              <w:t>（5）总投资：</w:t>
            </w:r>
            <w:r>
              <w:rPr>
                <w:rFonts w:hint="eastAsia"/>
                <w:color w:val="auto"/>
                <w:spacing w:val="4"/>
                <w:sz w:val="24"/>
                <w:highlight w:val="none"/>
                <w:lang w:eastAsia="zh-CN"/>
              </w:rPr>
              <w:t>本项目</w:t>
            </w:r>
            <w:r>
              <w:rPr>
                <w:rFonts w:hint="eastAsia"/>
                <w:color w:val="auto"/>
                <w:spacing w:val="4"/>
                <w:sz w:val="24"/>
                <w:highlight w:val="none"/>
                <w:lang w:val="en-US" w:eastAsia="zh-CN"/>
              </w:rPr>
              <w:t>总投资</w:t>
            </w:r>
            <w:r>
              <w:rPr>
                <w:rFonts w:hint="eastAsia" w:cs="Times New Roman"/>
                <w:color w:val="auto"/>
                <w:sz w:val="24"/>
                <w:highlight w:val="none"/>
                <w:lang w:val="en-US" w:eastAsia="zh-CN"/>
              </w:rPr>
              <w:t>500</w:t>
            </w:r>
            <w:r>
              <w:rPr>
                <w:rFonts w:hint="eastAsia" w:ascii="Times New Roman" w:hAnsi="Times New Roman" w:eastAsia="宋体" w:cs="Times New Roman"/>
                <w:color w:val="auto"/>
                <w:sz w:val="24"/>
                <w:highlight w:val="none"/>
              </w:rPr>
              <w:t>万元</w:t>
            </w:r>
            <w:r>
              <w:rPr>
                <w:rFonts w:hint="eastAsia"/>
                <w:color w:val="auto"/>
                <w:spacing w:val="4"/>
                <w:sz w:val="24"/>
                <w:highlight w:val="none"/>
                <w:lang w:eastAsia="zh-CN"/>
              </w:rPr>
              <w:t>，</w:t>
            </w:r>
            <w:r>
              <w:rPr>
                <w:rFonts w:hint="default"/>
                <w:color w:val="auto"/>
                <w:sz w:val="24"/>
                <w:highlight w:val="none"/>
              </w:rPr>
              <w:t>其中</w:t>
            </w:r>
            <w:r>
              <w:rPr>
                <w:rFonts w:hint="eastAsia"/>
                <w:color w:val="auto"/>
                <w:sz w:val="24"/>
                <w:highlight w:val="none"/>
                <w:lang w:val="en-US" w:eastAsia="zh-CN"/>
              </w:rPr>
              <w:t>环保投资133万元，环保投资占总投资26.6%</w:t>
            </w:r>
            <w:r>
              <w:rPr>
                <w:rFonts w:hint="default"/>
                <w:color w:val="auto"/>
                <w:sz w:val="24"/>
                <w:highlight w:val="none"/>
              </w:rPr>
              <w:t>。</w:t>
            </w:r>
          </w:p>
          <w:p w14:paraId="35F8E20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200"/>
              <w:textAlignment w:val="auto"/>
              <w:rPr>
                <w:rFonts w:hint="eastAsia" w:ascii="Times New Roman" w:hAnsi="Times New Roman" w:eastAsia="宋体" w:cs="Times New Roman"/>
                <w:b/>
                <w:bCs/>
                <w:color w:val="auto"/>
                <w:sz w:val="24"/>
                <w:highlight w:val="none"/>
                <w:lang w:eastAsia="zh-CN"/>
              </w:rPr>
            </w:pPr>
            <w:r>
              <w:rPr>
                <w:rFonts w:hint="eastAsia" w:cs="Times New Roman"/>
                <w:b/>
                <w:bCs/>
                <w:color w:val="auto"/>
                <w:sz w:val="24"/>
                <w:highlight w:val="none"/>
                <w:lang w:val="en-US" w:eastAsia="zh-CN"/>
              </w:rPr>
              <w:t>3</w:t>
            </w:r>
            <w:r>
              <w:rPr>
                <w:rFonts w:hint="default" w:ascii="Times New Roman" w:hAnsi="Times New Roman" w:eastAsia="宋体" w:cs="Times New Roman"/>
                <w:b/>
                <w:bCs/>
                <w:color w:val="auto"/>
                <w:sz w:val="24"/>
                <w:highlight w:val="none"/>
              </w:rPr>
              <w:t>、建设内容</w:t>
            </w:r>
          </w:p>
          <w:p w14:paraId="04C2C5AA">
            <w:pPr>
              <w:keepNext w:val="0"/>
              <w:keepLines w:val="0"/>
              <w:suppressLineNumbers w:val="0"/>
              <w:adjustRightInd w:val="0"/>
              <w:snapToGrid w:val="0"/>
              <w:spacing w:before="0" w:beforeAutospacing="0" w:after="0" w:afterAutospacing="0" w:line="360" w:lineRule="auto"/>
              <w:ind w:left="0" w:right="0" w:firstLine="480" w:firstLineChars="200"/>
              <w:rPr>
                <w:rFonts w:hint="default" w:eastAsia="宋体"/>
                <w:color w:val="auto"/>
                <w:sz w:val="24"/>
                <w:highlight w:val="none"/>
              </w:rPr>
            </w:pPr>
            <w:r>
              <w:rPr>
                <w:rFonts w:hint="default" w:eastAsia="宋体"/>
                <w:color w:val="auto"/>
                <w:sz w:val="24"/>
                <w:highlight w:val="none"/>
              </w:rPr>
              <w:t>本次工程项目组成主要包括主体工程、辅助工程、公用工程、储运工程及环保工程，本项目建设内容见表</w:t>
            </w:r>
            <w:r>
              <w:rPr>
                <w:rFonts w:hint="eastAsia"/>
                <w:color w:val="auto"/>
                <w:sz w:val="24"/>
                <w:highlight w:val="none"/>
                <w:lang w:val="en-US" w:eastAsia="zh-CN"/>
              </w:rPr>
              <w:t>2-1</w:t>
            </w:r>
            <w:r>
              <w:rPr>
                <w:rFonts w:hint="default" w:eastAsia="宋体"/>
                <w:color w:val="auto"/>
                <w:sz w:val="24"/>
                <w:highlight w:val="none"/>
              </w:rPr>
              <w:t>。</w:t>
            </w:r>
          </w:p>
          <w:p w14:paraId="1D2AF7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eastAsia="宋体"/>
                <w:b/>
                <w:color w:val="auto"/>
                <w:sz w:val="21"/>
                <w:szCs w:val="21"/>
                <w:highlight w:val="none"/>
              </w:rPr>
            </w:pPr>
            <w:r>
              <w:rPr>
                <w:rFonts w:hint="default" w:eastAsia="宋体"/>
                <w:b/>
                <w:color w:val="auto"/>
                <w:sz w:val="21"/>
                <w:szCs w:val="21"/>
                <w:highlight w:val="none"/>
              </w:rPr>
              <w:t>表2-1</w:t>
            </w:r>
            <w:r>
              <w:rPr>
                <w:rFonts w:hint="eastAsia"/>
                <w:b/>
                <w:color w:val="auto"/>
                <w:sz w:val="21"/>
                <w:szCs w:val="21"/>
                <w:highlight w:val="none"/>
                <w:lang w:val="en-US" w:eastAsia="zh-CN"/>
              </w:rPr>
              <w:t xml:space="preserve">  </w:t>
            </w:r>
            <w:r>
              <w:rPr>
                <w:rFonts w:hint="default" w:eastAsia="宋体"/>
                <w:b/>
                <w:color w:val="auto"/>
                <w:sz w:val="21"/>
                <w:szCs w:val="21"/>
                <w:highlight w:val="none"/>
              </w:rPr>
              <w:t>项目组成一览表</w:t>
            </w:r>
          </w:p>
          <w:tbl>
            <w:tblPr>
              <w:tblStyle w:val="3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55"/>
              <w:gridCol w:w="1386"/>
              <w:gridCol w:w="5349"/>
              <w:gridCol w:w="787"/>
            </w:tblGrid>
            <w:tr w14:paraId="44CACF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6" w:type="pct"/>
                  <w:vAlign w:val="center"/>
                </w:tcPr>
                <w:p w14:paraId="3E11A632">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工程</w:t>
                  </w:r>
                </w:p>
                <w:p w14:paraId="53452AEE">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类别</w:t>
                  </w:r>
                </w:p>
              </w:tc>
              <w:tc>
                <w:tcPr>
                  <w:tcW w:w="837" w:type="pct"/>
                  <w:vAlign w:val="center"/>
                </w:tcPr>
                <w:p w14:paraId="42F86F92">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项目名称</w:t>
                  </w:r>
                </w:p>
              </w:tc>
              <w:tc>
                <w:tcPr>
                  <w:tcW w:w="3230" w:type="pct"/>
                  <w:vAlign w:val="center"/>
                </w:tcPr>
                <w:p w14:paraId="13CD3891">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工程建设内容及规模</w:t>
                  </w:r>
                </w:p>
              </w:tc>
              <w:tc>
                <w:tcPr>
                  <w:tcW w:w="475" w:type="pct"/>
                  <w:vAlign w:val="center"/>
                </w:tcPr>
                <w:p w14:paraId="40D24F68">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备注</w:t>
                  </w:r>
                </w:p>
              </w:tc>
            </w:tr>
            <w:tr w14:paraId="488431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6" w:type="pct"/>
                  <w:vAlign w:val="center"/>
                </w:tcPr>
                <w:p w14:paraId="68244169">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主体</w:t>
                  </w:r>
                </w:p>
                <w:p w14:paraId="0A6148B2">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工程</w:t>
                  </w:r>
                </w:p>
              </w:tc>
              <w:tc>
                <w:tcPr>
                  <w:tcW w:w="837" w:type="pct"/>
                  <w:vAlign w:val="center"/>
                </w:tcPr>
                <w:p w14:paraId="487B649C">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拆解车间</w:t>
                  </w:r>
                </w:p>
              </w:tc>
              <w:tc>
                <w:tcPr>
                  <w:tcW w:w="3230" w:type="pct"/>
                  <w:vAlign w:val="center"/>
                </w:tcPr>
                <w:p w14:paraId="6B2FAA0F">
                  <w:pPr>
                    <w:keepNext w:val="0"/>
                    <w:keepLines w:val="0"/>
                    <w:suppressLineNumbers w:val="0"/>
                    <w:adjustRightInd w:val="0"/>
                    <w:snapToGrid w:val="0"/>
                    <w:spacing w:before="0" w:beforeAutospacing="0" w:after="0" w:afterAutospacing="0"/>
                    <w:ind w:left="0" w:leftChars="0" w:right="0" w:rightChars="0"/>
                    <w:jc w:val="left"/>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位于厂界中部，建筑面积400m</w:t>
                  </w:r>
                  <w:r>
                    <w:rPr>
                      <w:rFonts w:hint="eastAsia" w:cs="Times New Roman"/>
                      <w:color w:val="auto"/>
                      <w:kern w:val="2"/>
                      <w:sz w:val="21"/>
                      <w:szCs w:val="21"/>
                      <w:highlight w:val="none"/>
                      <w:vertAlign w:val="superscript"/>
                      <w:lang w:val="en-US" w:eastAsia="zh-CN" w:bidi="ar-SA"/>
                    </w:rPr>
                    <w:t>2</w:t>
                  </w:r>
                  <w:r>
                    <w:rPr>
                      <w:rFonts w:hint="eastAsia" w:cs="Times New Roman"/>
                      <w:color w:val="auto"/>
                      <w:kern w:val="2"/>
                      <w:sz w:val="21"/>
                      <w:szCs w:val="21"/>
                      <w:highlight w:val="none"/>
                      <w:lang w:val="en-US" w:eastAsia="zh-CN" w:bidi="ar-SA"/>
                    </w:rPr>
                    <w:t>，封闭式，砖混结构，建筑高度6m，包括作业区、零部件贮存区、蓄电池贮存区和办公区，内设钩机、打包机、压块机、剪切机等。项目建成后年拆解农机车辆3000台。</w:t>
                  </w:r>
                </w:p>
              </w:tc>
              <w:tc>
                <w:tcPr>
                  <w:tcW w:w="475" w:type="pct"/>
                  <w:vAlign w:val="center"/>
                </w:tcPr>
                <w:p w14:paraId="575D7E21">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新建</w:t>
                  </w:r>
                </w:p>
              </w:tc>
            </w:tr>
            <w:tr w14:paraId="11C00A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6" w:type="pct"/>
                  <w:vMerge w:val="restart"/>
                  <w:vAlign w:val="center"/>
                </w:tcPr>
                <w:p w14:paraId="4E69A31D">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储运</w:t>
                  </w:r>
                </w:p>
                <w:p w14:paraId="7BE18E5A">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工程</w:t>
                  </w:r>
                </w:p>
              </w:tc>
              <w:tc>
                <w:tcPr>
                  <w:tcW w:w="837" w:type="pct"/>
                  <w:vAlign w:val="center"/>
                </w:tcPr>
                <w:p w14:paraId="3DB0ABC0">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零部件贮存区</w:t>
                  </w:r>
                </w:p>
              </w:tc>
              <w:tc>
                <w:tcPr>
                  <w:tcW w:w="3230" w:type="pct"/>
                  <w:vAlign w:val="center"/>
                </w:tcPr>
                <w:p w14:paraId="764F2F66">
                  <w:pPr>
                    <w:keepNext w:val="0"/>
                    <w:keepLines w:val="0"/>
                    <w:suppressLineNumbers w:val="0"/>
                    <w:adjustRightInd w:val="0"/>
                    <w:snapToGrid w:val="0"/>
                    <w:spacing w:before="0" w:beforeAutospacing="0" w:after="0" w:afterAutospacing="0"/>
                    <w:ind w:left="0" w:leftChars="0" w:right="0" w:rightChars="0"/>
                    <w:jc w:val="left"/>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位于拆解车间西侧，</w:t>
                  </w:r>
                  <w:r>
                    <w:rPr>
                      <w:rFonts w:hint="eastAsia" w:cs="Times New Roman"/>
                      <w:color w:val="auto"/>
                      <w:kern w:val="2"/>
                      <w:sz w:val="21"/>
                      <w:szCs w:val="21"/>
                      <w:highlight w:val="none"/>
                      <w:lang w:val="en-US" w:eastAsia="zh-CN" w:bidi="ar-SA"/>
                    </w:rPr>
                    <w:t>建筑面积100m</w:t>
                  </w:r>
                  <w:r>
                    <w:rPr>
                      <w:rFonts w:hint="eastAsia" w:cs="Times New Roman"/>
                      <w:color w:val="auto"/>
                      <w:kern w:val="2"/>
                      <w:sz w:val="21"/>
                      <w:szCs w:val="21"/>
                      <w:highlight w:val="none"/>
                      <w:vertAlign w:val="superscript"/>
                      <w:lang w:val="en-US" w:eastAsia="zh-CN" w:bidi="ar-SA"/>
                    </w:rPr>
                    <w:t>2</w:t>
                  </w:r>
                  <w:r>
                    <w:rPr>
                      <w:rFonts w:hint="eastAsia" w:cs="Times New Roman"/>
                      <w:color w:val="auto"/>
                      <w:kern w:val="2"/>
                      <w:sz w:val="21"/>
                      <w:szCs w:val="21"/>
                      <w:highlight w:val="none"/>
                      <w:lang w:val="en-US" w:eastAsia="zh-CN" w:bidi="ar-SA"/>
                    </w:rPr>
                    <w:t>，主要用于存储各种拆解的零</w:t>
                  </w:r>
                  <w:r>
                    <w:rPr>
                      <w:rFonts w:hint="eastAsia" w:ascii="Times New Roman" w:hAnsi="Times New Roman" w:cs="Times New Roman"/>
                      <w:color w:val="auto"/>
                      <w:kern w:val="2"/>
                      <w:sz w:val="21"/>
                      <w:szCs w:val="21"/>
                      <w:highlight w:val="none"/>
                      <w:lang w:val="en-US" w:eastAsia="zh-CN" w:bidi="ar-SA"/>
                    </w:rPr>
                    <w:t>部件，按零部件种类分区存放。</w:t>
                  </w:r>
                </w:p>
              </w:tc>
              <w:tc>
                <w:tcPr>
                  <w:tcW w:w="475" w:type="pct"/>
                  <w:vAlign w:val="center"/>
                </w:tcPr>
                <w:p w14:paraId="4BA8BFB2">
                  <w:pPr>
                    <w:keepNext w:val="0"/>
                    <w:keepLines w:val="0"/>
                    <w:suppressLineNumbers w:val="0"/>
                    <w:adjustRightInd w:val="0"/>
                    <w:snapToGrid w:val="0"/>
                    <w:spacing w:before="0" w:beforeAutospacing="0" w:after="0" w:afterAutospacing="0"/>
                    <w:ind w:left="0" w:leftChars="0" w:right="0" w:rightChars="0"/>
                    <w:jc w:val="center"/>
                    <w:rPr>
                      <w:rFonts w:hint="eastAsia"/>
                      <w:color w:val="auto"/>
                      <w:szCs w:val="21"/>
                      <w:highlight w:val="none"/>
                      <w:lang w:eastAsia="zh-CN"/>
                    </w:rPr>
                  </w:pPr>
                  <w:r>
                    <w:rPr>
                      <w:rFonts w:hint="eastAsia" w:cs="Times New Roman"/>
                      <w:color w:val="auto"/>
                      <w:kern w:val="2"/>
                      <w:sz w:val="21"/>
                      <w:szCs w:val="21"/>
                      <w:highlight w:val="none"/>
                      <w:lang w:val="en-US" w:eastAsia="zh-CN" w:bidi="ar-SA"/>
                    </w:rPr>
                    <w:t>新建</w:t>
                  </w:r>
                </w:p>
              </w:tc>
            </w:tr>
            <w:tr w14:paraId="3B8519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6" w:type="pct"/>
                  <w:vMerge w:val="continue"/>
                  <w:vAlign w:val="center"/>
                </w:tcPr>
                <w:p w14:paraId="23D96C71">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p>
              </w:tc>
              <w:tc>
                <w:tcPr>
                  <w:tcW w:w="837" w:type="pct"/>
                  <w:vAlign w:val="center"/>
                </w:tcPr>
                <w:p w14:paraId="713AB2E9">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highlight w:val="none"/>
                      <w:lang w:val="en-US" w:eastAsia="zh-CN"/>
                    </w:rPr>
                  </w:pPr>
                  <w:r>
                    <w:rPr>
                      <w:rFonts w:hint="eastAsia"/>
                      <w:color w:val="auto"/>
                      <w:szCs w:val="21"/>
                      <w:highlight w:val="none"/>
                      <w:lang w:val="en-US" w:eastAsia="zh-CN"/>
                    </w:rPr>
                    <w:t>待拆车辆暂存区</w:t>
                  </w:r>
                </w:p>
              </w:tc>
              <w:tc>
                <w:tcPr>
                  <w:tcW w:w="3230" w:type="pct"/>
                  <w:vAlign w:val="center"/>
                </w:tcPr>
                <w:p w14:paraId="2C3D354E">
                  <w:pPr>
                    <w:keepNext w:val="0"/>
                    <w:keepLines w:val="0"/>
                    <w:suppressLineNumbers w:val="0"/>
                    <w:adjustRightInd w:val="0"/>
                    <w:snapToGrid w:val="0"/>
                    <w:spacing w:before="0" w:beforeAutospacing="0" w:after="0" w:afterAutospacing="0"/>
                    <w:ind w:left="0" w:leftChars="0" w:right="0" w:rightChars="0"/>
                    <w:jc w:val="left"/>
                    <w:rPr>
                      <w:rFonts w:hint="eastAsia" w:eastAsia="宋体"/>
                      <w:color w:val="auto"/>
                      <w:lang w:val="en-US" w:eastAsia="zh-CN"/>
                    </w:rPr>
                  </w:pPr>
                  <w:r>
                    <w:rPr>
                      <w:rFonts w:hint="eastAsia"/>
                      <w:color w:val="auto"/>
                      <w:lang w:val="en-US" w:eastAsia="zh-CN"/>
                    </w:rPr>
                    <w:t>位于厂区南侧，</w:t>
                  </w:r>
                  <w:r>
                    <w:rPr>
                      <w:rFonts w:hint="eastAsia" w:cs="Times New Roman"/>
                      <w:color w:val="auto"/>
                      <w:kern w:val="2"/>
                      <w:sz w:val="21"/>
                      <w:szCs w:val="24"/>
                      <w:highlight w:val="none"/>
                      <w:vertAlign w:val="baseline"/>
                      <w:lang w:val="en-US" w:eastAsia="zh-CN" w:bidi="ar-SA"/>
                    </w:rPr>
                    <w:t>建筑面积</w:t>
                  </w:r>
                  <w:r>
                    <w:rPr>
                      <w:rFonts w:hint="eastAsia" w:cs="Times New Roman"/>
                      <w:color w:val="auto"/>
                      <w:kern w:val="2"/>
                      <w:sz w:val="21"/>
                      <w:szCs w:val="21"/>
                      <w:highlight w:val="none"/>
                      <w:lang w:val="en-US" w:eastAsia="zh-CN" w:bidi="ar-SA"/>
                    </w:rPr>
                    <w:t>300m</w:t>
                  </w:r>
                  <w:r>
                    <w:rPr>
                      <w:rFonts w:hint="eastAsia" w:cs="Times New Roman"/>
                      <w:color w:val="auto"/>
                      <w:kern w:val="2"/>
                      <w:sz w:val="21"/>
                      <w:szCs w:val="21"/>
                      <w:highlight w:val="none"/>
                      <w:vertAlign w:val="superscript"/>
                      <w:lang w:val="en-US" w:eastAsia="zh-CN" w:bidi="ar-SA"/>
                    </w:rPr>
                    <w:t>2</w:t>
                  </w:r>
                  <w:r>
                    <w:rPr>
                      <w:rFonts w:hint="eastAsia" w:cs="Times New Roman"/>
                      <w:color w:val="auto"/>
                      <w:kern w:val="2"/>
                      <w:sz w:val="21"/>
                      <w:szCs w:val="21"/>
                      <w:highlight w:val="none"/>
                      <w:lang w:val="en-US" w:eastAsia="zh-CN" w:bidi="ar-SA"/>
                    </w:rPr>
                    <w:t>，露天存放，</w:t>
                  </w:r>
                  <w:r>
                    <w:rPr>
                      <w:rFonts w:hint="eastAsia"/>
                      <w:color w:val="auto"/>
                    </w:rPr>
                    <w:t>地面做硬化防渗处理</w:t>
                  </w:r>
                  <w:r>
                    <w:rPr>
                      <w:rFonts w:hint="eastAsia"/>
                      <w:color w:val="auto"/>
                      <w:lang w:eastAsia="zh-CN"/>
                    </w:rPr>
                    <w:t>。</w:t>
                  </w:r>
                </w:p>
              </w:tc>
              <w:tc>
                <w:tcPr>
                  <w:tcW w:w="475" w:type="pct"/>
                  <w:vAlign w:val="center"/>
                </w:tcPr>
                <w:p w14:paraId="162CBF0B">
                  <w:pPr>
                    <w:keepNext w:val="0"/>
                    <w:keepLines w:val="0"/>
                    <w:suppressLineNumbers w:val="0"/>
                    <w:adjustRightInd w:val="0"/>
                    <w:snapToGrid w:val="0"/>
                    <w:spacing w:before="0" w:beforeAutospacing="0" w:after="0" w:afterAutospacing="0"/>
                    <w:ind w:left="0" w:leftChars="0" w:right="0" w:rightChars="0"/>
                    <w:jc w:val="center"/>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新建</w:t>
                  </w:r>
                </w:p>
              </w:tc>
            </w:tr>
            <w:tr w14:paraId="538076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6" w:type="pct"/>
                  <w:vMerge w:val="continue"/>
                  <w:vAlign w:val="center"/>
                </w:tcPr>
                <w:p w14:paraId="7E86F459">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p>
              </w:tc>
              <w:tc>
                <w:tcPr>
                  <w:tcW w:w="837" w:type="pct"/>
                  <w:vAlign w:val="center"/>
                </w:tcPr>
                <w:p w14:paraId="6CE545A4">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highlight w:val="none"/>
                      <w:lang w:val="en-US" w:eastAsia="zh-CN"/>
                    </w:rPr>
                  </w:pPr>
                  <w:r>
                    <w:rPr>
                      <w:rFonts w:hint="eastAsia"/>
                      <w:color w:val="auto"/>
                      <w:szCs w:val="21"/>
                      <w:highlight w:val="none"/>
                      <w:lang w:val="en-US" w:eastAsia="zh-CN"/>
                    </w:rPr>
                    <w:t>废钢铁与废橡胶贮存库</w:t>
                  </w:r>
                </w:p>
              </w:tc>
              <w:tc>
                <w:tcPr>
                  <w:tcW w:w="3230" w:type="pct"/>
                  <w:vAlign w:val="center"/>
                </w:tcPr>
                <w:p w14:paraId="303F6A17">
                  <w:pPr>
                    <w:keepNext w:val="0"/>
                    <w:keepLines w:val="0"/>
                    <w:suppressLineNumbers w:val="0"/>
                    <w:adjustRightInd w:val="0"/>
                    <w:snapToGrid w:val="0"/>
                    <w:spacing w:before="0" w:beforeAutospacing="0" w:after="0" w:afterAutospacing="0"/>
                    <w:ind w:left="0" w:leftChars="0" w:right="0" w:rightChars="0"/>
                    <w:jc w:val="left"/>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位于厂区东侧，</w:t>
                  </w:r>
                  <w:r>
                    <w:rPr>
                      <w:rFonts w:hint="eastAsia" w:cs="Times New Roman"/>
                      <w:color w:val="auto"/>
                      <w:kern w:val="2"/>
                      <w:sz w:val="21"/>
                      <w:szCs w:val="24"/>
                      <w:highlight w:val="none"/>
                      <w:vertAlign w:val="baseline"/>
                      <w:lang w:val="en-US" w:eastAsia="zh-CN" w:bidi="ar-SA"/>
                    </w:rPr>
                    <w:t>建筑面积</w:t>
                  </w:r>
                  <w:r>
                    <w:rPr>
                      <w:rFonts w:hint="eastAsia" w:cs="Times New Roman"/>
                      <w:color w:val="auto"/>
                      <w:kern w:val="2"/>
                      <w:sz w:val="21"/>
                      <w:szCs w:val="21"/>
                      <w:highlight w:val="none"/>
                      <w:lang w:val="en-US" w:eastAsia="zh-CN" w:bidi="ar-SA"/>
                    </w:rPr>
                    <w:t>450m</w:t>
                  </w:r>
                  <w:r>
                    <w:rPr>
                      <w:rFonts w:hint="eastAsia" w:cs="Times New Roman"/>
                      <w:color w:val="auto"/>
                      <w:kern w:val="2"/>
                      <w:sz w:val="21"/>
                      <w:szCs w:val="21"/>
                      <w:highlight w:val="none"/>
                      <w:vertAlign w:val="superscript"/>
                      <w:lang w:val="en-US" w:eastAsia="zh-CN" w:bidi="ar-SA"/>
                    </w:rPr>
                    <w:t>2</w:t>
                  </w:r>
                  <w:r>
                    <w:rPr>
                      <w:rFonts w:hint="eastAsia" w:cs="Times New Roman"/>
                      <w:color w:val="auto"/>
                      <w:kern w:val="2"/>
                      <w:sz w:val="21"/>
                      <w:szCs w:val="21"/>
                      <w:highlight w:val="none"/>
                      <w:lang w:val="en-US" w:eastAsia="zh-CN" w:bidi="ar-SA"/>
                    </w:rPr>
                    <w:t>，</w:t>
                  </w:r>
                  <w:r>
                    <w:rPr>
                      <w:rFonts w:hint="eastAsia"/>
                      <w:color w:val="auto"/>
                      <w:szCs w:val="21"/>
                    </w:rPr>
                    <w:t>半封闭罩棚</w:t>
                  </w:r>
                  <w:r>
                    <w:rPr>
                      <w:rFonts w:hint="eastAsia" w:cs="Times New Roman"/>
                      <w:color w:val="auto"/>
                      <w:kern w:val="2"/>
                      <w:sz w:val="21"/>
                      <w:szCs w:val="21"/>
                      <w:highlight w:val="none"/>
                      <w:lang w:val="en-US" w:eastAsia="zh-CN" w:bidi="ar-SA"/>
                    </w:rPr>
                    <w:t>，建筑高度6m，</w:t>
                  </w:r>
                  <w:r>
                    <w:rPr>
                      <w:rFonts w:hint="eastAsia"/>
                      <w:color w:val="auto"/>
                    </w:rPr>
                    <w:t>地面做硬化防渗处理</w:t>
                  </w:r>
                  <w:r>
                    <w:rPr>
                      <w:rFonts w:hint="eastAsia"/>
                      <w:color w:val="auto"/>
                      <w:lang w:eastAsia="zh-CN"/>
                    </w:rPr>
                    <w:t>，</w:t>
                  </w:r>
                  <w:r>
                    <w:rPr>
                      <w:rFonts w:hint="eastAsia"/>
                      <w:color w:val="auto"/>
                      <w:lang w:val="en-US" w:eastAsia="zh-CN"/>
                    </w:rPr>
                    <w:t>废钢材和废橡胶分区存放</w:t>
                  </w:r>
                  <w:r>
                    <w:rPr>
                      <w:rFonts w:hint="eastAsia"/>
                      <w:color w:val="auto"/>
                      <w:lang w:eastAsia="zh-CN"/>
                    </w:rPr>
                    <w:t>。</w:t>
                  </w:r>
                </w:p>
              </w:tc>
              <w:tc>
                <w:tcPr>
                  <w:tcW w:w="475" w:type="pct"/>
                  <w:vAlign w:val="center"/>
                </w:tcPr>
                <w:p w14:paraId="452EC803">
                  <w:pPr>
                    <w:keepNext w:val="0"/>
                    <w:keepLines w:val="0"/>
                    <w:suppressLineNumbers w:val="0"/>
                    <w:adjustRightInd w:val="0"/>
                    <w:snapToGrid w:val="0"/>
                    <w:spacing w:before="0" w:beforeAutospacing="0" w:after="0" w:afterAutospacing="0"/>
                    <w:ind w:left="0" w:leftChars="0" w:right="0" w:rightChars="0"/>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新建</w:t>
                  </w:r>
                </w:p>
              </w:tc>
            </w:tr>
            <w:tr w14:paraId="1A0CCD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6" w:type="pct"/>
                  <w:vMerge w:val="continue"/>
                  <w:vAlign w:val="center"/>
                </w:tcPr>
                <w:p w14:paraId="0D2CE56E">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p>
              </w:tc>
              <w:tc>
                <w:tcPr>
                  <w:tcW w:w="837" w:type="pct"/>
                  <w:vAlign w:val="center"/>
                </w:tcPr>
                <w:p w14:paraId="41D558B4">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highlight w:val="none"/>
                      <w:lang w:val="en-US" w:eastAsia="zh-CN"/>
                    </w:rPr>
                  </w:pPr>
                  <w:r>
                    <w:rPr>
                      <w:rFonts w:hint="eastAsia"/>
                      <w:color w:val="auto"/>
                      <w:szCs w:val="21"/>
                      <w:highlight w:val="none"/>
                      <w:lang w:val="en-US" w:eastAsia="zh-CN"/>
                    </w:rPr>
                    <w:t>燃料与灰渣库</w:t>
                  </w:r>
                </w:p>
              </w:tc>
              <w:tc>
                <w:tcPr>
                  <w:tcW w:w="3230" w:type="pct"/>
                  <w:vAlign w:val="center"/>
                </w:tcPr>
                <w:p w14:paraId="3E912FF2">
                  <w:pPr>
                    <w:keepNext w:val="0"/>
                    <w:keepLines w:val="0"/>
                    <w:suppressLineNumbers w:val="0"/>
                    <w:adjustRightInd w:val="0"/>
                    <w:snapToGrid w:val="0"/>
                    <w:spacing w:before="0" w:beforeAutospacing="0" w:after="0" w:afterAutospacing="0"/>
                    <w:ind w:left="0" w:leftChars="0" w:right="0" w:rightChars="0"/>
                    <w:jc w:val="left"/>
                    <w:rPr>
                      <w:rFonts w:hint="default" w:eastAsia="宋体"/>
                      <w:color w:val="auto"/>
                      <w:lang w:val="en-US" w:eastAsia="zh-CN"/>
                    </w:rPr>
                  </w:pPr>
                  <w:r>
                    <w:rPr>
                      <w:rFonts w:hint="eastAsia"/>
                      <w:color w:val="auto"/>
                      <w:lang w:val="en-US" w:eastAsia="zh-CN"/>
                    </w:rPr>
                    <w:t>位于厂区西北侧，建筑面积</w:t>
                  </w:r>
                  <w:r>
                    <w:rPr>
                      <w:rFonts w:hint="eastAsia" w:cs="Times New Roman"/>
                      <w:color w:val="auto"/>
                      <w:kern w:val="2"/>
                      <w:sz w:val="21"/>
                      <w:szCs w:val="21"/>
                      <w:highlight w:val="none"/>
                      <w:lang w:val="en-US" w:eastAsia="zh-CN" w:bidi="ar-SA"/>
                    </w:rPr>
                    <w:t>100m</w:t>
                  </w:r>
                  <w:r>
                    <w:rPr>
                      <w:rFonts w:hint="eastAsia" w:cs="Times New Roman"/>
                      <w:color w:val="auto"/>
                      <w:kern w:val="2"/>
                      <w:sz w:val="21"/>
                      <w:szCs w:val="21"/>
                      <w:highlight w:val="none"/>
                      <w:vertAlign w:val="superscript"/>
                      <w:lang w:val="en-US" w:eastAsia="zh-CN" w:bidi="ar-SA"/>
                    </w:rPr>
                    <w:t>2</w:t>
                  </w:r>
                  <w:r>
                    <w:rPr>
                      <w:rFonts w:hint="eastAsia" w:cs="Times New Roman"/>
                      <w:color w:val="auto"/>
                      <w:kern w:val="2"/>
                      <w:sz w:val="21"/>
                      <w:szCs w:val="21"/>
                      <w:highlight w:val="none"/>
                      <w:lang w:val="en-US" w:eastAsia="zh-CN" w:bidi="ar-SA"/>
                    </w:rPr>
                    <w:t>，</w:t>
                  </w:r>
                  <w:r>
                    <w:rPr>
                      <w:rFonts w:hint="eastAsia"/>
                      <w:color w:val="auto"/>
                      <w:szCs w:val="21"/>
                      <w:lang w:val="en-US" w:eastAsia="zh-CN"/>
                    </w:rPr>
                    <w:t>封闭式库房，砖混结构，建筑高度3m，地面做硬化处理，用于存放生物质成型燃料和灰渣，灰渣与生物质成型燃料分区存放。</w:t>
                  </w:r>
                </w:p>
              </w:tc>
              <w:tc>
                <w:tcPr>
                  <w:tcW w:w="475" w:type="pct"/>
                  <w:vAlign w:val="center"/>
                </w:tcPr>
                <w:p w14:paraId="1569D9C3">
                  <w:pPr>
                    <w:keepNext w:val="0"/>
                    <w:keepLines w:val="0"/>
                    <w:suppressLineNumbers w:val="0"/>
                    <w:adjustRightInd w:val="0"/>
                    <w:snapToGrid w:val="0"/>
                    <w:spacing w:before="0" w:beforeAutospacing="0" w:after="0" w:afterAutospacing="0"/>
                    <w:ind w:left="0" w:leftChars="0" w:right="0" w:rightChars="0"/>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新建</w:t>
                  </w:r>
                </w:p>
              </w:tc>
            </w:tr>
            <w:tr w14:paraId="717251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6" w:type="pct"/>
                  <w:vMerge w:val="continue"/>
                  <w:vAlign w:val="center"/>
                </w:tcPr>
                <w:p w14:paraId="433C55DD">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p>
              </w:tc>
              <w:tc>
                <w:tcPr>
                  <w:tcW w:w="837" w:type="pct"/>
                  <w:vAlign w:val="center"/>
                </w:tcPr>
                <w:p w14:paraId="28A8A9ED">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highlight w:val="none"/>
                      <w:lang w:val="en-US" w:eastAsia="zh-CN"/>
                    </w:rPr>
                  </w:pPr>
                  <w:r>
                    <w:rPr>
                      <w:rFonts w:hint="eastAsia"/>
                      <w:color w:val="auto"/>
                      <w:szCs w:val="21"/>
                      <w:highlight w:val="none"/>
                      <w:lang w:val="en-US" w:eastAsia="zh-CN"/>
                    </w:rPr>
                    <w:t>危废贮存点</w:t>
                  </w:r>
                </w:p>
              </w:tc>
              <w:tc>
                <w:tcPr>
                  <w:tcW w:w="3230" w:type="pct"/>
                  <w:vAlign w:val="center"/>
                </w:tcPr>
                <w:p w14:paraId="579C532B">
                  <w:pPr>
                    <w:keepNext w:val="0"/>
                    <w:keepLines w:val="0"/>
                    <w:suppressLineNumbers w:val="0"/>
                    <w:adjustRightInd w:val="0"/>
                    <w:snapToGrid w:val="0"/>
                    <w:spacing w:before="0" w:beforeAutospacing="0" w:after="0" w:afterAutospacing="0"/>
                    <w:ind w:left="0" w:leftChars="0" w:right="0" w:rightChars="0"/>
                    <w:jc w:val="left"/>
                    <w:rPr>
                      <w:rFonts w:hint="default"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位于拆解车间南侧，</w:t>
                  </w:r>
                  <w:r>
                    <w:rPr>
                      <w:rFonts w:hint="eastAsia"/>
                      <w:color w:val="auto"/>
                      <w:lang w:val="en-US" w:eastAsia="zh-CN"/>
                    </w:rPr>
                    <w:t>建筑面积125m</w:t>
                  </w:r>
                  <w:r>
                    <w:rPr>
                      <w:rFonts w:hint="eastAsia"/>
                      <w:color w:val="auto"/>
                      <w:vertAlign w:val="superscript"/>
                      <w:lang w:val="en-US" w:eastAsia="zh-CN"/>
                    </w:rPr>
                    <w:t>2</w:t>
                  </w:r>
                  <w:r>
                    <w:rPr>
                      <w:rFonts w:hint="eastAsia"/>
                      <w:color w:val="auto"/>
                      <w:lang w:val="en-US" w:eastAsia="zh-CN"/>
                    </w:rPr>
                    <w:t>，用于贮存</w:t>
                  </w:r>
                  <w:r>
                    <w:rPr>
                      <w:rFonts w:hint="eastAsia" w:cs="Times New Roman" w:eastAsiaTheme="minorEastAsia"/>
                      <w:color w:val="auto"/>
                      <w:kern w:val="0"/>
                      <w:szCs w:val="21"/>
                      <w:lang w:val="en-US" w:eastAsia="zh-CN"/>
                    </w:rPr>
                    <w:t>废铅酸蓄电池、废油液及油泥、含油抹布及手套、废活性炭、废防冻液及废电路板</w:t>
                  </w:r>
                  <w:r>
                    <w:rPr>
                      <w:rFonts w:hint="eastAsia"/>
                      <w:color w:val="auto"/>
                      <w:lang w:val="en-US" w:eastAsia="zh-CN"/>
                    </w:rPr>
                    <w:t>，最大贮存量5t，可满足本项目一个月危险废物贮存需求。</w:t>
                  </w:r>
                  <w:r>
                    <w:rPr>
                      <w:rFonts w:hint="eastAsia" w:cs="Times New Roman"/>
                      <w:color w:val="auto"/>
                      <w:highlight w:val="none"/>
                      <w:lang w:val="en-US" w:eastAsia="zh-CN"/>
                    </w:rPr>
                    <w:t>危废贮存点</w:t>
                  </w:r>
                  <w:r>
                    <w:rPr>
                      <w:rFonts w:hint="eastAsia" w:ascii="Times New Roman" w:hAnsi="Times New Roman" w:eastAsia="宋体" w:cs="Times New Roman"/>
                      <w:color w:val="auto"/>
                      <w:highlight w:val="none"/>
                      <w:lang w:val="en-US" w:eastAsia="zh-CN"/>
                    </w:rPr>
                    <w:t>防渗要求按照《危险废物贮存污染控制标准》（GB18597-2023）的要求执行，为重点防渗区，基础敷设2mm厚的高密度聚乙烯防水层，上部敷设10cm厚水泥层，表面铺设防水树脂层，渗透系数≤10</w:t>
                  </w:r>
                  <w:r>
                    <w:rPr>
                      <w:rFonts w:hint="eastAsia" w:ascii="Times New Roman" w:hAnsi="Times New Roman" w:eastAsia="宋体" w:cs="Times New Roman"/>
                      <w:color w:val="auto"/>
                      <w:highlight w:val="none"/>
                      <w:vertAlign w:val="superscript"/>
                      <w:lang w:val="en-US" w:eastAsia="zh-CN"/>
                    </w:rPr>
                    <w:t>-10</w:t>
                  </w:r>
                  <w:r>
                    <w:rPr>
                      <w:rFonts w:hint="eastAsia" w:ascii="Times New Roman" w:hAnsi="Times New Roman" w:eastAsia="宋体" w:cs="Times New Roman"/>
                      <w:color w:val="auto"/>
                      <w:highlight w:val="none"/>
                      <w:lang w:val="en-US" w:eastAsia="zh-CN"/>
                    </w:rPr>
                    <w:t>cm/s。</w:t>
                  </w:r>
                  <w:r>
                    <w:rPr>
                      <w:rFonts w:ascii="Times New Roman" w:hAnsi="Times New Roman" w:eastAsia="宋体" w:cs="Times New Roman"/>
                      <w:color w:val="auto"/>
                    </w:rPr>
                    <w:t>对</w:t>
                  </w:r>
                  <w:r>
                    <w:rPr>
                      <w:rFonts w:hint="eastAsia" w:ascii="Times New Roman" w:hAnsi="Times New Roman" w:eastAsia="宋体" w:cs="Times New Roman"/>
                      <w:color w:val="auto"/>
                    </w:rPr>
                    <w:t>危险废物</w:t>
                  </w:r>
                  <w:r>
                    <w:rPr>
                      <w:rFonts w:ascii="Times New Roman" w:hAnsi="Times New Roman" w:eastAsia="宋体" w:cs="Times New Roman"/>
                      <w:color w:val="auto"/>
                    </w:rPr>
                    <w:t>进行分类存储和标识，对危险废物暂存区设立明显的警示标志，</w:t>
                  </w:r>
                  <w:r>
                    <w:rPr>
                      <w:rFonts w:hint="eastAsia" w:ascii="Times New Roman" w:hAnsi="Times New Roman" w:eastAsia="宋体" w:cs="Times New Roman"/>
                      <w:color w:val="auto"/>
                    </w:rPr>
                    <w:t>生产</w:t>
                  </w:r>
                  <w:r>
                    <w:rPr>
                      <w:rFonts w:ascii="Times New Roman" w:hAnsi="Times New Roman" w:eastAsia="宋体" w:cs="Times New Roman"/>
                      <w:color w:val="auto"/>
                    </w:rPr>
                    <w:t>过程产生的危险废物应按照类别分别放置在专门的收集容器和暂存设施内。</w:t>
                  </w:r>
                  <w:r>
                    <w:rPr>
                      <w:rFonts w:hint="eastAsia" w:cs="Times New Roman"/>
                      <w:color w:val="auto"/>
                      <w:highlight w:val="none"/>
                      <w:lang w:val="en-US" w:eastAsia="zh-CN"/>
                    </w:rPr>
                    <w:t>应</w:t>
                  </w:r>
                  <w:r>
                    <w:rPr>
                      <w:rFonts w:ascii="Times New Roman" w:hAnsi="Times New Roman" w:eastAsia="宋体" w:cs="Times New Roman"/>
                      <w:color w:val="auto"/>
                    </w:rPr>
                    <w:t>对各种</w:t>
                  </w:r>
                  <w:r>
                    <w:rPr>
                      <w:rFonts w:hint="eastAsia" w:ascii="Times New Roman" w:hAnsi="Times New Roman" w:eastAsia="宋体" w:cs="Times New Roman"/>
                      <w:color w:val="auto"/>
                    </w:rPr>
                    <w:t>危险废物</w:t>
                  </w:r>
                  <w:r>
                    <w:rPr>
                      <w:rFonts w:ascii="Times New Roman" w:hAnsi="Times New Roman" w:eastAsia="宋体" w:cs="Times New Roman"/>
                      <w:color w:val="auto"/>
                    </w:rPr>
                    <w:t>进行标识，避免混合、混放。日常管理应专人专管，严格进行日常安全防护管理和监</w:t>
                  </w:r>
                  <w:r>
                    <w:rPr>
                      <w:rFonts w:hint="eastAsia" w:ascii="Times New Roman" w:hAnsi="Times New Roman" w:eastAsia="宋体" w:cs="Times New Roman"/>
                      <w:color w:val="auto"/>
                    </w:rPr>
                    <w:t>测。</w:t>
                  </w:r>
                </w:p>
              </w:tc>
              <w:tc>
                <w:tcPr>
                  <w:tcW w:w="475" w:type="pct"/>
                  <w:vAlign w:val="center"/>
                </w:tcPr>
                <w:p w14:paraId="727A55CF">
                  <w:pPr>
                    <w:keepNext w:val="0"/>
                    <w:keepLines w:val="0"/>
                    <w:suppressLineNumbers w:val="0"/>
                    <w:adjustRightInd w:val="0"/>
                    <w:snapToGrid w:val="0"/>
                    <w:spacing w:before="0" w:beforeAutospacing="0" w:after="0" w:afterAutospacing="0"/>
                    <w:ind w:left="0" w:leftChars="0" w:right="0" w:rightChars="0"/>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新建</w:t>
                  </w:r>
                </w:p>
              </w:tc>
            </w:tr>
            <w:tr w14:paraId="5896B5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6" w:type="pct"/>
                  <w:vMerge w:val="restart"/>
                  <w:vAlign w:val="center"/>
                </w:tcPr>
                <w:p w14:paraId="6987979A">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辅助</w:t>
                  </w:r>
                </w:p>
                <w:p w14:paraId="684924BA">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工程</w:t>
                  </w:r>
                </w:p>
              </w:tc>
              <w:tc>
                <w:tcPr>
                  <w:tcW w:w="837" w:type="pct"/>
                  <w:shd w:val="clear" w:color="auto" w:fill="auto"/>
                  <w:vAlign w:val="center"/>
                </w:tcPr>
                <w:p w14:paraId="2BEA74A8">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办公区</w:t>
                  </w:r>
                </w:p>
              </w:tc>
              <w:tc>
                <w:tcPr>
                  <w:tcW w:w="3230" w:type="pct"/>
                  <w:shd w:val="clear" w:color="auto" w:fill="auto"/>
                  <w:vAlign w:val="center"/>
                </w:tcPr>
                <w:p w14:paraId="7584C520">
                  <w:pPr>
                    <w:keepNext w:val="0"/>
                    <w:keepLines w:val="0"/>
                    <w:suppressLineNumbers w:val="0"/>
                    <w:adjustRightInd w:val="0"/>
                    <w:snapToGrid w:val="0"/>
                    <w:spacing w:before="0" w:beforeAutospacing="0" w:after="0" w:afterAutospacing="0"/>
                    <w:ind w:left="0" w:leftChars="0" w:right="0" w:rightChars="0"/>
                    <w:jc w:val="left"/>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位于拆解车间内东北侧，</w:t>
                  </w:r>
                  <w:r>
                    <w:rPr>
                      <w:rFonts w:hint="eastAsia"/>
                      <w:color w:val="auto"/>
                      <w:lang w:val="en-US" w:eastAsia="zh-CN"/>
                    </w:rPr>
                    <w:t>建筑面积20m</w:t>
                  </w:r>
                  <w:r>
                    <w:rPr>
                      <w:rFonts w:hint="eastAsia"/>
                      <w:color w:val="auto"/>
                      <w:vertAlign w:val="superscript"/>
                      <w:lang w:val="en-US" w:eastAsia="zh-CN"/>
                    </w:rPr>
                    <w:t>2</w:t>
                  </w:r>
                  <w:r>
                    <w:rPr>
                      <w:rFonts w:hint="eastAsia"/>
                      <w:color w:val="auto"/>
                      <w:vertAlign w:val="baseline"/>
                      <w:lang w:val="en-US" w:eastAsia="zh-CN"/>
                    </w:rPr>
                    <w:t>，用于店内工作人员办公。</w:t>
                  </w:r>
                </w:p>
              </w:tc>
              <w:tc>
                <w:tcPr>
                  <w:tcW w:w="475" w:type="pct"/>
                  <w:vAlign w:val="center"/>
                </w:tcPr>
                <w:p w14:paraId="78B6C377">
                  <w:pPr>
                    <w:keepNext w:val="0"/>
                    <w:keepLines w:val="0"/>
                    <w:suppressLineNumbers w:val="0"/>
                    <w:adjustRightInd w:val="0"/>
                    <w:snapToGrid w:val="0"/>
                    <w:spacing w:before="0" w:beforeAutospacing="0" w:after="0" w:afterAutospacing="0"/>
                    <w:ind w:left="0" w:leftChars="0" w:right="0" w:rightChars="0"/>
                    <w:jc w:val="center"/>
                    <w:rPr>
                      <w:rFonts w:hint="eastAsia" w:eastAsia="宋体"/>
                      <w:color w:val="auto"/>
                      <w:szCs w:val="21"/>
                      <w:highlight w:val="none"/>
                      <w:lang w:eastAsia="zh-CN"/>
                    </w:rPr>
                  </w:pPr>
                  <w:r>
                    <w:rPr>
                      <w:rFonts w:hint="eastAsia" w:cs="Times New Roman"/>
                      <w:color w:val="auto"/>
                      <w:kern w:val="2"/>
                      <w:sz w:val="21"/>
                      <w:szCs w:val="21"/>
                      <w:highlight w:val="none"/>
                      <w:lang w:val="en-US" w:eastAsia="zh-CN" w:bidi="ar-SA"/>
                    </w:rPr>
                    <w:t>新建</w:t>
                  </w:r>
                </w:p>
              </w:tc>
            </w:tr>
            <w:tr w14:paraId="258DE4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6" w:type="pct"/>
                  <w:vMerge w:val="continue"/>
                  <w:vAlign w:val="center"/>
                </w:tcPr>
                <w:p w14:paraId="5B629470">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p>
              </w:tc>
              <w:tc>
                <w:tcPr>
                  <w:tcW w:w="837" w:type="pct"/>
                  <w:shd w:val="clear" w:color="auto" w:fill="auto"/>
                  <w:vAlign w:val="center"/>
                </w:tcPr>
                <w:p w14:paraId="685CD002">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highlight w:val="none"/>
                      <w:lang w:val="en-US" w:eastAsia="zh-CN"/>
                    </w:rPr>
                  </w:pPr>
                  <w:r>
                    <w:rPr>
                      <w:rFonts w:hint="eastAsia"/>
                      <w:color w:val="auto"/>
                      <w:szCs w:val="21"/>
                      <w:highlight w:val="none"/>
                      <w:lang w:val="en-US" w:eastAsia="zh-CN"/>
                    </w:rPr>
                    <w:t>锅炉房</w:t>
                  </w:r>
                </w:p>
              </w:tc>
              <w:tc>
                <w:tcPr>
                  <w:tcW w:w="3230" w:type="pct"/>
                  <w:shd w:val="clear" w:color="auto" w:fill="auto"/>
                  <w:vAlign w:val="center"/>
                </w:tcPr>
                <w:p w14:paraId="491CD0EB">
                  <w:pPr>
                    <w:keepNext w:val="0"/>
                    <w:keepLines w:val="0"/>
                    <w:suppressLineNumbers w:val="0"/>
                    <w:adjustRightInd w:val="0"/>
                    <w:snapToGrid w:val="0"/>
                    <w:spacing w:before="0" w:beforeAutospacing="0" w:after="0" w:afterAutospacing="0"/>
                    <w:ind w:left="0" w:leftChars="0" w:right="0" w:rightChars="0"/>
                    <w:jc w:val="left"/>
                    <w:rPr>
                      <w:rFonts w:hint="default"/>
                      <w:color w:val="auto"/>
                      <w:szCs w:val="21"/>
                      <w:highlight w:val="none"/>
                      <w:lang w:val="en-US" w:eastAsia="zh-CN"/>
                    </w:rPr>
                  </w:pPr>
                  <w:r>
                    <w:rPr>
                      <w:rFonts w:hint="eastAsia"/>
                      <w:color w:val="auto"/>
                      <w:szCs w:val="21"/>
                      <w:highlight w:val="none"/>
                      <w:lang w:val="en-US" w:eastAsia="zh-CN"/>
                    </w:rPr>
                    <w:t>位于拆解车间西北侧，建筑面积109</w:t>
                  </w:r>
                  <w:r>
                    <w:rPr>
                      <w:rFonts w:hint="eastAsia"/>
                      <w:color w:val="auto"/>
                      <w:lang w:val="en-US" w:eastAsia="zh-CN"/>
                    </w:rPr>
                    <w:t>m</w:t>
                  </w:r>
                  <w:r>
                    <w:rPr>
                      <w:rFonts w:hint="eastAsia"/>
                      <w:color w:val="auto"/>
                      <w:vertAlign w:val="superscript"/>
                      <w:lang w:val="en-US" w:eastAsia="zh-CN"/>
                    </w:rPr>
                    <w:t>2</w:t>
                  </w:r>
                  <w:r>
                    <w:rPr>
                      <w:rFonts w:hint="eastAsia"/>
                      <w:color w:val="auto"/>
                      <w:vertAlign w:val="baseline"/>
                      <w:lang w:val="en-US" w:eastAsia="zh-CN"/>
                    </w:rPr>
                    <w:t>，砖混结构，用与为拆解车间供暖。</w:t>
                  </w:r>
                </w:p>
              </w:tc>
              <w:tc>
                <w:tcPr>
                  <w:tcW w:w="475" w:type="pct"/>
                  <w:vAlign w:val="center"/>
                </w:tcPr>
                <w:p w14:paraId="3268820C">
                  <w:pPr>
                    <w:keepNext w:val="0"/>
                    <w:keepLines w:val="0"/>
                    <w:suppressLineNumbers w:val="0"/>
                    <w:adjustRightInd w:val="0"/>
                    <w:snapToGrid w:val="0"/>
                    <w:spacing w:before="0" w:beforeAutospacing="0" w:after="0" w:afterAutospacing="0"/>
                    <w:ind w:left="0" w:leftChars="0" w:right="0" w:rightChars="0"/>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新建</w:t>
                  </w:r>
                </w:p>
              </w:tc>
            </w:tr>
            <w:tr w14:paraId="187D80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6" w:type="pct"/>
                  <w:vMerge w:val="continue"/>
                  <w:vAlign w:val="center"/>
                </w:tcPr>
                <w:p w14:paraId="2490A5F2">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p>
              </w:tc>
              <w:tc>
                <w:tcPr>
                  <w:tcW w:w="837" w:type="pct"/>
                  <w:vAlign w:val="center"/>
                </w:tcPr>
                <w:p w14:paraId="2AD561BE">
                  <w:pPr>
                    <w:keepNext w:val="0"/>
                    <w:keepLines w:val="0"/>
                    <w:suppressLineNumbers w:val="0"/>
                    <w:adjustRightInd w:val="0"/>
                    <w:snapToGrid w:val="0"/>
                    <w:spacing w:before="0" w:beforeAutospacing="0" w:after="0" w:afterAutospacing="0"/>
                    <w:ind w:left="0" w:leftChars="0" w:right="0" w:rightChars="0"/>
                    <w:jc w:val="center"/>
                    <w:rPr>
                      <w:rFonts w:hint="default"/>
                      <w:smallCaps w:val="0"/>
                      <w:color w:val="auto"/>
                      <w:sz w:val="21"/>
                      <w:highlight w:val="none"/>
                      <w:lang w:val="en-US" w:eastAsia="zh-CN"/>
                    </w:rPr>
                  </w:pPr>
                  <w:r>
                    <w:rPr>
                      <w:rFonts w:hint="eastAsia"/>
                      <w:smallCaps w:val="0"/>
                      <w:color w:val="auto"/>
                      <w:sz w:val="21"/>
                      <w:highlight w:val="none"/>
                      <w:lang w:val="en-US" w:eastAsia="zh-CN"/>
                    </w:rPr>
                    <w:t>初期雨水收集池</w:t>
                  </w:r>
                </w:p>
              </w:tc>
              <w:tc>
                <w:tcPr>
                  <w:tcW w:w="3230" w:type="pct"/>
                  <w:vAlign w:val="center"/>
                </w:tcPr>
                <w:p w14:paraId="6DAEA04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ind w:left="0" w:leftChars="0" w:right="0" w:rightChars="0"/>
                    <w:jc w:val="left"/>
                    <w:textAlignment w:val="auto"/>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位于厂区西北侧，最大容积为</w:t>
                  </w:r>
                  <w:r>
                    <w:rPr>
                      <w:rFonts w:hint="eastAsia" w:cs="Times New Roman"/>
                      <w:color w:val="auto"/>
                      <w:kern w:val="2"/>
                      <w:sz w:val="21"/>
                      <w:szCs w:val="21"/>
                      <w:highlight w:val="none"/>
                      <w:lang w:val="en-US" w:eastAsia="zh-CN" w:bidi="ar-SA"/>
                    </w:rPr>
                    <w:t>75m</w:t>
                  </w:r>
                  <w:r>
                    <w:rPr>
                      <w:rFonts w:hint="eastAsia" w:cs="Times New Roman"/>
                      <w:color w:val="auto"/>
                      <w:kern w:val="2"/>
                      <w:sz w:val="21"/>
                      <w:szCs w:val="21"/>
                      <w:highlight w:val="none"/>
                      <w:vertAlign w:val="superscript"/>
                      <w:lang w:val="en-US" w:eastAsia="zh-CN" w:bidi="ar-SA"/>
                    </w:rPr>
                    <w:t>3</w:t>
                  </w:r>
                  <w:r>
                    <w:rPr>
                      <w:rFonts w:hint="eastAsia" w:cs="Times New Roman"/>
                      <w:color w:val="auto"/>
                      <w:kern w:val="2"/>
                      <w:sz w:val="21"/>
                      <w:szCs w:val="21"/>
                      <w:highlight w:val="none"/>
                      <w:lang w:val="en-US" w:eastAsia="zh-CN" w:bidi="ar-SA"/>
                    </w:rPr>
                    <w:t>。主要用于收集初期雨水。</w:t>
                  </w:r>
                </w:p>
              </w:tc>
              <w:tc>
                <w:tcPr>
                  <w:tcW w:w="475" w:type="pct"/>
                  <w:vAlign w:val="center"/>
                </w:tcPr>
                <w:p w14:paraId="34ECA7FE">
                  <w:pPr>
                    <w:keepNext w:val="0"/>
                    <w:keepLines w:val="0"/>
                    <w:suppressLineNumbers w:val="0"/>
                    <w:adjustRightInd w:val="0"/>
                    <w:snapToGrid w:val="0"/>
                    <w:spacing w:before="0" w:beforeAutospacing="0" w:after="0" w:afterAutospacing="0"/>
                    <w:ind w:left="0" w:leftChars="0" w:right="0" w:rightChars="0"/>
                    <w:jc w:val="center"/>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新建</w:t>
                  </w:r>
                </w:p>
              </w:tc>
            </w:tr>
            <w:tr w14:paraId="559F9E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6" w:type="pct"/>
                  <w:vMerge w:val="restart"/>
                  <w:vAlign w:val="center"/>
                </w:tcPr>
                <w:p w14:paraId="06D51AA1">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公用</w:t>
                  </w:r>
                </w:p>
                <w:p w14:paraId="2F565A70">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工程</w:t>
                  </w:r>
                </w:p>
              </w:tc>
              <w:tc>
                <w:tcPr>
                  <w:tcW w:w="837" w:type="pct"/>
                  <w:vAlign w:val="center"/>
                </w:tcPr>
                <w:p w14:paraId="4015A5BE">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供水</w:t>
                  </w:r>
                </w:p>
              </w:tc>
              <w:tc>
                <w:tcPr>
                  <w:tcW w:w="3230" w:type="pct"/>
                  <w:vAlign w:val="center"/>
                </w:tcPr>
                <w:p w14:paraId="3D11E8A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ind w:left="0" w:right="0"/>
                    <w:jc w:val="left"/>
                    <w:textAlignment w:val="auto"/>
                    <w:rPr>
                      <w:rFonts w:hint="default" w:eastAsia="宋体"/>
                      <w:color w:val="auto"/>
                      <w:szCs w:val="21"/>
                      <w:highlight w:val="none"/>
                      <w:lang w:val="en-US" w:eastAsia="zh-CN"/>
                    </w:rPr>
                  </w:pPr>
                  <w:r>
                    <w:rPr>
                      <w:rFonts w:hint="eastAsia"/>
                      <w:color w:val="auto"/>
                      <w:szCs w:val="21"/>
                      <w:highlight w:val="none"/>
                      <w:lang w:val="en-US" w:eastAsia="zh-CN"/>
                    </w:rPr>
                    <w:t>本项目用水由市政供水管网提供。本项目总用水量1692.402t/a。</w:t>
                  </w:r>
                </w:p>
              </w:tc>
              <w:tc>
                <w:tcPr>
                  <w:tcW w:w="475" w:type="pct"/>
                  <w:vAlign w:val="center"/>
                </w:tcPr>
                <w:p w14:paraId="26BFC007">
                  <w:pPr>
                    <w:keepNext w:val="0"/>
                    <w:keepLines w:val="0"/>
                    <w:suppressLineNumbers w:val="0"/>
                    <w:adjustRightInd w:val="0"/>
                    <w:snapToGrid w:val="0"/>
                    <w:spacing w:before="0" w:beforeAutospacing="0" w:after="0" w:afterAutospacing="0"/>
                    <w:ind w:left="0" w:right="0"/>
                    <w:jc w:val="center"/>
                    <w:rPr>
                      <w:rFonts w:hint="eastAsia" w:eastAsia="宋体"/>
                      <w:color w:val="auto"/>
                      <w:szCs w:val="21"/>
                      <w:highlight w:val="none"/>
                      <w:lang w:val="en-US" w:eastAsia="zh-CN"/>
                    </w:rPr>
                  </w:pPr>
                  <w:r>
                    <w:rPr>
                      <w:rFonts w:hint="eastAsia" w:cs="Times New Roman"/>
                      <w:color w:val="auto"/>
                      <w:kern w:val="2"/>
                      <w:sz w:val="21"/>
                      <w:szCs w:val="21"/>
                      <w:highlight w:val="none"/>
                      <w:lang w:val="en-US" w:eastAsia="zh-CN" w:bidi="ar-SA"/>
                    </w:rPr>
                    <w:t>新建</w:t>
                  </w:r>
                </w:p>
              </w:tc>
            </w:tr>
            <w:tr w14:paraId="4D036A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6" w:type="pct"/>
                  <w:vMerge w:val="continue"/>
                  <w:vAlign w:val="center"/>
                </w:tcPr>
                <w:p w14:paraId="7BFE5282">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p>
              </w:tc>
              <w:tc>
                <w:tcPr>
                  <w:tcW w:w="837" w:type="pct"/>
                  <w:vAlign w:val="center"/>
                </w:tcPr>
                <w:p w14:paraId="75EDA28B">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排水</w:t>
                  </w:r>
                </w:p>
              </w:tc>
              <w:tc>
                <w:tcPr>
                  <w:tcW w:w="3230" w:type="pct"/>
                  <w:vAlign w:val="center"/>
                </w:tcPr>
                <w:p w14:paraId="721CFD7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ind w:left="0" w:right="0"/>
                    <w:jc w:val="left"/>
                    <w:textAlignment w:val="auto"/>
                    <w:rPr>
                      <w:rFonts w:hint="default" w:eastAsia="宋体"/>
                      <w:color w:val="auto"/>
                      <w:szCs w:val="21"/>
                      <w:highlight w:val="none"/>
                      <w:lang w:val="en-US" w:eastAsia="zh-CN"/>
                    </w:rPr>
                  </w:pPr>
                  <w:r>
                    <w:rPr>
                      <w:rStyle w:val="132"/>
                      <w:rFonts w:hint="eastAsia" w:ascii="Times New Roman" w:hAnsi="Times New Roman" w:eastAsia="宋体" w:cs="Times New Roman"/>
                      <w:color w:val="auto"/>
                      <w:lang w:val="en-US" w:eastAsia="zh-CN"/>
                    </w:rPr>
                    <w:t>本项目建成后初期雨水收集后经</w:t>
                  </w:r>
                  <w:r>
                    <w:rPr>
                      <w:rStyle w:val="132"/>
                      <w:rFonts w:hint="eastAsia" w:cs="Times New Roman"/>
                      <w:color w:val="auto"/>
                      <w:lang w:val="en-US" w:eastAsia="zh-CN"/>
                    </w:rPr>
                    <w:t>油水分离装置</w:t>
                  </w:r>
                  <w:r>
                    <w:rPr>
                      <w:rStyle w:val="132"/>
                      <w:rFonts w:hint="eastAsia" w:ascii="Times New Roman" w:hAnsi="Times New Roman" w:eastAsia="宋体" w:cs="Times New Roman"/>
                      <w:color w:val="auto"/>
                      <w:lang w:val="en-US" w:eastAsia="zh-CN"/>
                    </w:rPr>
                    <w:t>处理后，和锅炉排污水、软化水制备废水和生活污水一同排入市政管网，送入鸡西市鸡冠区污水处理厂，经处理后</w:t>
                  </w:r>
                  <w:r>
                    <w:rPr>
                      <w:rStyle w:val="132"/>
                      <w:rFonts w:hint="eastAsia" w:ascii="Times New Roman" w:hAnsi="Times New Roman" w:eastAsia="宋体" w:cs="Times New Roman"/>
                      <w:color w:val="auto"/>
                    </w:rPr>
                    <w:t>可以达到《城镇污水处理厂污染物排放标准》（GB 18918－2002）中一级A标准</w:t>
                  </w:r>
                  <w:r>
                    <w:rPr>
                      <w:rStyle w:val="132"/>
                      <w:rFonts w:hint="eastAsia" w:ascii="Times New Roman" w:hAnsi="Times New Roman" w:eastAsia="宋体" w:cs="Times New Roman"/>
                      <w:color w:val="auto"/>
                      <w:lang w:eastAsia="zh-CN"/>
                    </w:rPr>
                    <w:t>。</w:t>
                  </w:r>
                  <w:r>
                    <w:rPr>
                      <w:rFonts w:hint="eastAsia" w:cs="Times New Roman"/>
                      <w:color w:val="auto"/>
                      <w:szCs w:val="21"/>
                      <w:highlight w:val="none"/>
                      <w:lang w:val="en-US" w:eastAsia="zh-CN"/>
                    </w:rPr>
                    <w:t>本项目总排水量为</w:t>
                  </w:r>
                  <w:r>
                    <w:rPr>
                      <w:rStyle w:val="132"/>
                      <w:rFonts w:hint="eastAsia" w:cs="Times New Roman"/>
                      <w:color w:val="auto"/>
                      <w:lang w:val="en-US" w:eastAsia="zh-CN"/>
                    </w:rPr>
                    <w:t>1965.802</w:t>
                  </w:r>
                  <w:r>
                    <w:rPr>
                      <w:rStyle w:val="132"/>
                      <w:rFonts w:hint="eastAsia" w:ascii="Times New Roman" w:hAnsi="Times New Roman" w:eastAsia="宋体" w:cs="Times New Roman"/>
                      <w:color w:val="auto"/>
                      <w:lang w:val="en-US" w:eastAsia="zh-CN"/>
                    </w:rPr>
                    <w:t>t/a。</w:t>
                  </w:r>
                </w:p>
              </w:tc>
              <w:tc>
                <w:tcPr>
                  <w:tcW w:w="475" w:type="pct"/>
                  <w:vAlign w:val="center"/>
                </w:tcPr>
                <w:p w14:paraId="09F30852">
                  <w:pPr>
                    <w:keepNext w:val="0"/>
                    <w:keepLines w:val="0"/>
                    <w:suppressLineNumbers w:val="0"/>
                    <w:adjustRightInd w:val="0"/>
                    <w:snapToGrid w:val="0"/>
                    <w:spacing w:before="0" w:beforeAutospacing="0" w:after="0" w:afterAutospacing="0"/>
                    <w:ind w:left="0" w:right="0"/>
                    <w:jc w:val="center"/>
                    <w:rPr>
                      <w:rFonts w:hint="eastAsia" w:eastAsia="宋体"/>
                      <w:color w:val="auto"/>
                      <w:szCs w:val="21"/>
                      <w:highlight w:val="none"/>
                      <w:lang w:eastAsia="zh-CN"/>
                    </w:rPr>
                  </w:pPr>
                  <w:r>
                    <w:rPr>
                      <w:rFonts w:hint="eastAsia" w:cs="Times New Roman"/>
                      <w:color w:val="auto"/>
                      <w:kern w:val="2"/>
                      <w:sz w:val="21"/>
                      <w:szCs w:val="21"/>
                      <w:highlight w:val="none"/>
                      <w:lang w:val="en-US" w:eastAsia="zh-CN" w:bidi="ar-SA"/>
                    </w:rPr>
                    <w:t>新建</w:t>
                  </w:r>
                </w:p>
              </w:tc>
            </w:tr>
            <w:tr w14:paraId="0229FF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6" w:type="pct"/>
                  <w:vMerge w:val="continue"/>
                  <w:vAlign w:val="center"/>
                </w:tcPr>
                <w:p w14:paraId="1B4D1214">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p>
              </w:tc>
              <w:tc>
                <w:tcPr>
                  <w:tcW w:w="837" w:type="pct"/>
                  <w:vAlign w:val="center"/>
                </w:tcPr>
                <w:p w14:paraId="669C8CEE">
                  <w:pPr>
                    <w:keepNext w:val="0"/>
                    <w:keepLines w:val="0"/>
                    <w:suppressLineNumbers w:val="0"/>
                    <w:adjustRightInd w:val="0"/>
                    <w:snapToGrid w:val="0"/>
                    <w:spacing w:before="0" w:beforeAutospacing="0" w:after="0" w:afterAutospacing="0"/>
                    <w:ind w:left="0" w:right="0"/>
                    <w:jc w:val="center"/>
                    <w:rPr>
                      <w:rFonts w:hint="eastAsia" w:eastAsia="宋体"/>
                      <w:color w:val="auto"/>
                      <w:szCs w:val="21"/>
                      <w:highlight w:val="none"/>
                      <w:lang w:eastAsia="zh-CN"/>
                    </w:rPr>
                  </w:pPr>
                  <w:r>
                    <w:rPr>
                      <w:rFonts w:hint="default" w:eastAsia="宋体"/>
                      <w:color w:val="auto"/>
                      <w:szCs w:val="21"/>
                      <w:highlight w:val="none"/>
                    </w:rPr>
                    <w:t>供</w:t>
                  </w:r>
                  <w:r>
                    <w:rPr>
                      <w:rFonts w:hint="eastAsia"/>
                      <w:color w:val="auto"/>
                      <w:szCs w:val="21"/>
                      <w:highlight w:val="none"/>
                      <w:lang w:val="en-US" w:eastAsia="zh-CN"/>
                    </w:rPr>
                    <w:t>热</w:t>
                  </w:r>
                </w:p>
              </w:tc>
              <w:tc>
                <w:tcPr>
                  <w:tcW w:w="3230" w:type="pct"/>
                  <w:vAlign w:val="center"/>
                </w:tcPr>
                <w:p w14:paraId="522D0AA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ind w:left="0" w:right="0"/>
                    <w:jc w:val="left"/>
                    <w:textAlignment w:val="auto"/>
                    <w:rPr>
                      <w:rFonts w:hint="default"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本项目冬季厂区供暖由1台2.5t/h燃生物质锅炉提供。</w:t>
                  </w:r>
                </w:p>
              </w:tc>
              <w:tc>
                <w:tcPr>
                  <w:tcW w:w="475" w:type="pct"/>
                  <w:vAlign w:val="center"/>
                </w:tcPr>
                <w:p w14:paraId="26FFE90C">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lang w:val="en-US"/>
                    </w:rPr>
                  </w:pPr>
                  <w:r>
                    <w:rPr>
                      <w:rFonts w:hint="eastAsia" w:cs="Times New Roman"/>
                      <w:color w:val="auto"/>
                      <w:kern w:val="2"/>
                      <w:sz w:val="21"/>
                      <w:szCs w:val="21"/>
                      <w:highlight w:val="none"/>
                      <w:lang w:val="en-US" w:eastAsia="zh-CN" w:bidi="ar-SA"/>
                    </w:rPr>
                    <w:t>新建</w:t>
                  </w:r>
                </w:p>
              </w:tc>
            </w:tr>
            <w:tr w14:paraId="63D147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6" w:type="pct"/>
                  <w:vMerge w:val="continue"/>
                  <w:vAlign w:val="center"/>
                </w:tcPr>
                <w:p w14:paraId="0C7398DC">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p>
              </w:tc>
              <w:tc>
                <w:tcPr>
                  <w:tcW w:w="837" w:type="pct"/>
                  <w:vAlign w:val="center"/>
                </w:tcPr>
                <w:p w14:paraId="45AE874A">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供电</w:t>
                  </w:r>
                </w:p>
              </w:tc>
              <w:tc>
                <w:tcPr>
                  <w:tcW w:w="3230" w:type="pct"/>
                  <w:vAlign w:val="center"/>
                </w:tcPr>
                <w:p w14:paraId="787D627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ind w:left="0" w:right="0"/>
                    <w:jc w:val="left"/>
                    <w:textAlignment w:val="auto"/>
                    <w:rPr>
                      <w:rFonts w:hint="default" w:cs="Times New Roman"/>
                      <w:color w:val="auto"/>
                      <w:szCs w:val="21"/>
                      <w:highlight w:val="none"/>
                      <w:lang w:val="en-US" w:eastAsia="zh-CN"/>
                    </w:rPr>
                  </w:pPr>
                  <w:r>
                    <w:rPr>
                      <w:rFonts w:hint="default" w:cs="Times New Roman"/>
                      <w:color w:val="auto"/>
                      <w:szCs w:val="21"/>
                      <w:highlight w:val="none"/>
                      <w:lang w:val="en-US" w:eastAsia="zh-CN"/>
                    </w:rPr>
                    <w:t>项目用电由</w:t>
                  </w:r>
                  <w:r>
                    <w:rPr>
                      <w:rFonts w:hint="eastAsia" w:cs="Times New Roman"/>
                      <w:color w:val="auto"/>
                      <w:szCs w:val="21"/>
                      <w:highlight w:val="none"/>
                      <w:lang w:val="en-US" w:eastAsia="zh-CN"/>
                    </w:rPr>
                    <w:t>当地供电局提供。</w:t>
                  </w:r>
                </w:p>
              </w:tc>
              <w:tc>
                <w:tcPr>
                  <w:tcW w:w="475" w:type="pct"/>
                  <w:vAlign w:val="center"/>
                </w:tcPr>
                <w:p w14:paraId="64E4B3A4">
                  <w:pPr>
                    <w:keepNext w:val="0"/>
                    <w:keepLines w:val="0"/>
                    <w:suppressLineNumbers w:val="0"/>
                    <w:adjustRightInd w:val="0"/>
                    <w:snapToGrid w:val="0"/>
                    <w:spacing w:before="0" w:beforeAutospacing="0" w:after="0" w:afterAutospacing="0"/>
                    <w:ind w:left="0" w:right="0"/>
                    <w:jc w:val="center"/>
                    <w:rPr>
                      <w:rFonts w:hint="eastAsia" w:eastAsia="宋体"/>
                      <w:color w:val="auto"/>
                      <w:szCs w:val="21"/>
                      <w:highlight w:val="none"/>
                      <w:lang w:val="en-US" w:eastAsia="zh-CN"/>
                    </w:rPr>
                  </w:pPr>
                  <w:r>
                    <w:rPr>
                      <w:rFonts w:hint="eastAsia" w:cs="Times New Roman"/>
                      <w:color w:val="auto"/>
                      <w:kern w:val="2"/>
                      <w:sz w:val="21"/>
                      <w:szCs w:val="21"/>
                      <w:highlight w:val="none"/>
                      <w:lang w:val="en-US" w:eastAsia="zh-CN" w:bidi="ar-SA"/>
                    </w:rPr>
                    <w:t>新建</w:t>
                  </w:r>
                </w:p>
              </w:tc>
            </w:tr>
            <w:tr w14:paraId="74987F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6" w:type="pct"/>
                  <w:vMerge w:val="restart"/>
                  <w:vAlign w:val="center"/>
                </w:tcPr>
                <w:p w14:paraId="3CF9CE56">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环保</w:t>
                  </w:r>
                </w:p>
                <w:p w14:paraId="00211105">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工程</w:t>
                  </w:r>
                </w:p>
              </w:tc>
              <w:tc>
                <w:tcPr>
                  <w:tcW w:w="837" w:type="pct"/>
                  <w:vAlign w:val="center"/>
                </w:tcPr>
                <w:p w14:paraId="1D3C478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废气防治</w:t>
                  </w:r>
                </w:p>
                <w:p w14:paraId="5E68DE5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措施</w:t>
                  </w:r>
                </w:p>
              </w:tc>
              <w:tc>
                <w:tcPr>
                  <w:tcW w:w="3230" w:type="pct"/>
                  <w:vAlign w:val="center"/>
                </w:tcPr>
                <w:p w14:paraId="5776AFF4">
                  <w:pPr>
                    <w:keepNext w:val="0"/>
                    <w:keepLines w:val="0"/>
                    <w:suppressLineNumbers w:val="0"/>
                    <w:adjustRightInd w:val="0"/>
                    <w:snapToGrid w:val="0"/>
                    <w:spacing w:before="0" w:beforeAutospacing="0" w:after="0" w:afterAutospacing="0"/>
                    <w:ind w:left="0" w:right="0"/>
                    <w:jc w:val="left"/>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本项目预处理过程</w:t>
                  </w:r>
                  <w:r>
                    <w:rPr>
                      <w:rFonts w:hint="eastAsia" w:cs="Times New Roman"/>
                      <w:color w:val="auto"/>
                      <w:szCs w:val="21"/>
                      <w:highlight w:val="none"/>
                      <w:lang w:val="en-US" w:eastAsia="zh-CN"/>
                    </w:rPr>
                    <w:t>废油液挥发的废气在工位上方设置集气罩</w:t>
                  </w:r>
                  <w:r>
                    <w:rPr>
                      <w:rFonts w:hint="eastAsia" w:ascii="Times New Roman" w:hAnsi="Times New Roman" w:eastAsia="宋体" w:cs="Times New Roman"/>
                      <w:color w:val="auto"/>
                      <w:szCs w:val="21"/>
                      <w:highlight w:val="none"/>
                      <w:lang w:val="en-US" w:eastAsia="zh-CN"/>
                    </w:rPr>
                    <w:t>，废气经集气罩收集后经活性炭吸附装置处理，后经15m高排气筒（DA001）排放。</w:t>
                  </w:r>
                </w:p>
                <w:p w14:paraId="7B97865E">
                  <w:pPr>
                    <w:keepNext w:val="0"/>
                    <w:keepLines w:val="0"/>
                    <w:suppressLineNumbers w:val="0"/>
                    <w:adjustRightInd w:val="0"/>
                    <w:snapToGrid w:val="0"/>
                    <w:spacing w:before="0" w:beforeAutospacing="0" w:after="0" w:afterAutospacing="0"/>
                    <w:ind w:left="0" w:right="0"/>
                    <w:jc w:val="left"/>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切割过程中产生的切割废气在切割工位设置集气罩，切割粉尘采用集气罩收集，经布袋除尘器处理后经15m高排气筒（DA001）排放。</w:t>
                  </w:r>
                </w:p>
                <w:p w14:paraId="56288D35">
                  <w:pPr>
                    <w:keepNext w:val="0"/>
                    <w:keepLines w:val="0"/>
                    <w:suppressLineNumbers w:val="0"/>
                    <w:adjustRightInd w:val="0"/>
                    <w:snapToGrid w:val="0"/>
                    <w:spacing w:before="0" w:beforeAutospacing="0" w:after="0" w:afterAutospacing="0"/>
                    <w:ind w:left="0" w:right="0"/>
                    <w:jc w:val="left"/>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本项目燃生物质锅</w:t>
                  </w:r>
                  <w:r>
                    <w:rPr>
                      <w:rFonts w:hint="default" w:ascii="Times New Roman" w:hAnsi="Times New Roman" w:eastAsia="宋体" w:cs="Times New Roman"/>
                      <w:color w:val="auto"/>
                      <w:szCs w:val="21"/>
                      <w:highlight w:val="none"/>
                      <w:lang w:val="en-US" w:eastAsia="zh-CN"/>
                    </w:rPr>
                    <w:t>炉</w:t>
                  </w:r>
                  <w:r>
                    <w:rPr>
                      <w:rFonts w:hint="eastAsia" w:ascii="Times New Roman" w:hAnsi="Times New Roman" w:eastAsia="宋体" w:cs="Times New Roman"/>
                      <w:color w:val="auto"/>
                      <w:szCs w:val="21"/>
                      <w:highlight w:val="none"/>
                      <w:lang w:val="en-US" w:eastAsia="zh-CN"/>
                    </w:rPr>
                    <w:t>废气采用旋风除尘器+布袋除尘器处理，处理后废气经30m高烟囱（DA002）排放。</w:t>
                  </w:r>
                </w:p>
              </w:tc>
              <w:tc>
                <w:tcPr>
                  <w:tcW w:w="475" w:type="pct"/>
                  <w:vAlign w:val="center"/>
                </w:tcPr>
                <w:p w14:paraId="05EE1549">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eastAsia" w:cs="Times New Roman"/>
                      <w:color w:val="auto"/>
                      <w:kern w:val="2"/>
                      <w:sz w:val="21"/>
                      <w:szCs w:val="21"/>
                      <w:highlight w:val="none"/>
                      <w:lang w:val="en-US" w:eastAsia="zh-CN" w:bidi="ar-SA"/>
                    </w:rPr>
                    <w:t>新建</w:t>
                  </w:r>
                </w:p>
              </w:tc>
            </w:tr>
            <w:tr w14:paraId="2CF8BC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6" w:type="pct"/>
                  <w:vMerge w:val="continue"/>
                  <w:vAlign w:val="center"/>
                </w:tcPr>
                <w:p w14:paraId="3A477DAD">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p>
              </w:tc>
              <w:tc>
                <w:tcPr>
                  <w:tcW w:w="837" w:type="pct"/>
                  <w:vAlign w:val="center"/>
                </w:tcPr>
                <w:p w14:paraId="191404A5">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lang w:val="en-US" w:eastAsia="zh-CN"/>
                    </w:rPr>
                  </w:pPr>
                  <w:r>
                    <w:rPr>
                      <w:rFonts w:hint="default" w:eastAsia="宋体"/>
                      <w:color w:val="auto"/>
                      <w:szCs w:val="21"/>
                      <w:highlight w:val="none"/>
                      <w:lang w:val="en-US" w:eastAsia="zh-CN"/>
                    </w:rPr>
                    <w:t>废水防治</w:t>
                  </w:r>
                </w:p>
                <w:p w14:paraId="737A163D">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lang w:val="en-US" w:eastAsia="zh-CN"/>
                    </w:rPr>
                  </w:pPr>
                  <w:r>
                    <w:rPr>
                      <w:rFonts w:hint="default" w:eastAsia="宋体"/>
                      <w:color w:val="auto"/>
                      <w:szCs w:val="21"/>
                      <w:highlight w:val="none"/>
                      <w:lang w:val="en-US" w:eastAsia="zh-CN"/>
                    </w:rPr>
                    <w:t>措施</w:t>
                  </w:r>
                </w:p>
              </w:tc>
              <w:tc>
                <w:tcPr>
                  <w:tcW w:w="3230" w:type="pct"/>
                  <w:vAlign w:val="center"/>
                </w:tcPr>
                <w:p w14:paraId="4E95E96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ind w:left="0" w:right="0"/>
                    <w:jc w:val="left"/>
                    <w:textAlignment w:val="auto"/>
                    <w:rPr>
                      <w:rFonts w:hint="default" w:cs="Times New Roman"/>
                      <w:color w:val="auto"/>
                      <w:szCs w:val="21"/>
                      <w:highlight w:val="none"/>
                      <w:lang w:val="en-US" w:eastAsia="zh-CN"/>
                    </w:rPr>
                  </w:pPr>
                  <w:r>
                    <w:rPr>
                      <w:rStyle w:val="132"/>
                      <w:rFonts w:hint="eastAsia" w:ascii="Times New Roman" w:hAnsi="Times New Roman" w:eastAsia="宋体" w:cs="Times New Roman"/>
                      <w:color w:val="auto"/>
                      <w:lang w:val="en-US" w:eastAsia="zh-CN"/>
                    </w:rPr>
                    <w:t>本项目建成后初期雨水收集后经</w:t>
                  </w:r>
                  <w:r>
                    <w:rPr>
                      <w:rStyle w:val="132"/>
                      <w:rFonts w:hint="eastAsia" w:cs="Times New Roman"/>
                      <w:color w:val="auto"/>
                      <w:lang w:val="en-US" w:eastAsia="zh-CN"/>
                    </w:rPr>
                    <w:t>油水分离装置</w:t>
                  </w:r>
                  <w:r>
                    <w:rPr>
                      <w:rStyle w:val="132"/>
                      <w:rFonts w:hint="eastAsia" w:ascii="Times New Roman" w:hAnsi="Times New Roman" w:eastAsia="宋体" w:cs="Times New Roman"/>
                      <w:color w:val="auto"/>
                      <w:lang w:val="en-US" w:eastAsia="zh-CN"/>
                    </w:rPr>
                    <w:t>处理后，和锅炉排污水、软化水制备废水和生活污水一同排入市政管网，送入鸡西市鸡冠区污水处理厂，经处理后</w:t>
                  </w:r>
                  <w:r>
                    <w:rPr>
                      <w:rStyle w:val="132"/>
                      <w:rFonts w:hint="eastAsia" w:ascii="Times New Roman" w:hAnsi="Times New Roman" w:eastAsia="宋体" w:cs="Times New Roman"/>
                      <w:color w:val="auto"/>
                    </w:rPr>
                    <w:t>可以达到《城镇污水处理厂污染物排放标准》（GB 18918－2002）中一级A标准</w:t>
                  </w:r>
                  <w:r>
                    <w:rPr>
                      <w:rStyle w:val="132"/>
                      <w:rFonts w:hint="eastAsia" w:ascii="Times New Roman" w:hAnsi="Times New Roman" w:eastAsia="宋体" w:cs="Times New Roman"/>
                      <w:color w:val="auto"/>
                      <w:lang w:eastAsia="zh-CN"/>
                    </w:rPr>
                    <w:t>。</w:t>
                  </w:r>
                </w:p>
              </w:tc>
              <w:tc>
                <w:tcPr>
                  <w:tcW w:w="475" w:type="pct"/>
                  <w:vAlign w:val="center"/>
                </w:tcPr>
                <w:p w14:paraId="070B867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新建</w:t>
                  </w:r>
                </w:p>
              </w:tc>
            </w:tr>
            <w:tr w14:paraId="7B2C45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6" w:type="pct"/>
                  <w:vMerge w:val="continue"/>
                  <w:vAlign w:val="center"/>
                </w:tcPr>
                <w:p w14:paraId="2A6E58E5">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p>
              </w:tc>
              <w:tc>
                <w:tcPr>
                  <w:tcW w:w="837" w:type="pct"/>
                  <w:vAlign w:val="center"/>
                </w:tcPr>
                <w:p w14:paraId="65AA4635">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噪声防治</w:t>
                  </w:r>
                </w:p>
                <w:p w14:paraId="7AE6CD2B">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措施</w:t>
                  </w:r>
                </w:p>
              </w:tc>
              <w:tc>
                <w:tcPr>
                  <w:tcW w:w="3230" w:type="pct"/>
                  <w:vAlign w:val="center"/>
                </w:tcPr>
                <w:p w14:paraId="5AD6C0D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ind w:left="0" w:right="0"/>
                    <w:jc w:val="left"/>
                    <w:textAlignment w:val="auto"/>
                    <w:rPr>
                      <w:rFonts w:hint="eastAsia" w:eastAsia="宋体"/>
                      <w:color w:val="auto"/>
                      <w:szCs w:val="21"/>
                      <w:highlight w:val="none"/>
                      <w:lang w:eastAsia="zh-CN"/>
                    </w:rPr>
                  </w:pPr>
                  <w:r>
                    <w:rPr>
                      <w:rFonts w:hint="default" w:eastAsia="宋体"/>
                      <w:color w:val="auto"/>
                      <w:szCs w:val="21"/>
                      <w:highlight w:val="none"/>
                    </w:rPr>
                    <w:t>本项目建成后，选用低噪声设备，通过减振、隔声、降噪、加强管理和设备合理布局等措施</w:t>
                  </w:r>
                  <w:r>
                    <w:rPr>
                      <w:rFonts w:hint="eastAsia"/>
                      <w:color w:val="auto"/>
                      <w:szCs w:val="21"/>
                      <w:highlight w:val="none"/>
                      <w:lang w:eastAsia="zh-CN"/>
                    </w:rPr>
                    <w:t>。</w:t>
                  </w:r>
                </w:p>
              </w:tc>
              <w:tc>
                <w:tcPr>
                  <w:tcW w:w="475" w:type="pct"/>
                  <w:vAlign w:val="center"/>
                </w:tcPr>
                <w:p w14:paraId="4A2BE206">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eastAsia" w:cs="Times New Roman"/>
                      <w:color w:val="auto"/>
                      <w:kern w:val="2"/>
                      <w:sz w:val="21"/>
                      <w:szCs w:val="21"/>
                      <w:highlight w:val="none"/>
                      <w:lang w:val="en-US" w:eastAsia="zh-CN" w:bidi="ar-SA"/>
                    </w:rPr>
                    <w:t>新建</w:t>
                  </w:r>
                </w:p>
              </w:tc>
            </w:tr>
            <w:tr w14:paraId="3027A7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6" w:type="pct"/>
                  <w:vMerge w:val="continue"/>
                  <w:vAlign w:val="center"/>
                </w:tcPr>
                <w:p w14:paraId="4D3064CC">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p>
              </w:tc>
              <w:tc>
                <w:tcPr>
                  <w:tcW w:w="837" w:type="pct"/>
                  <w:vAlign w:val="center"/>
                </w:tcPr>
                <w:p w14:paraId="02AC2FD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固体废物</w:t>
                  </w:r>
                </w:p>
                <w:p w14:paraId="031A823E">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default" w:ascii="Times New Roman" w:hAnsi="Times New Roman" w:eastAsia="宋体" w:cs="Times New Roman"/>
                      <w:color w:val="auto"/>
                      <w:szCs w:val="21"/>
                      <w:highlight w:val="none"/>
                    </w:rPr>
                    <w:t>防治措施</w:t>
                  </w:r>
                </w:p>
              </w:tc>
              <w:tc>
                <w:tcPr>
                  <w:tcW w:w="3230" w:type="pct"/>
                  <w:vAlign w:val="center"/>
                </w:tcPr>
                <w:p w14:paraId="4A4968B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ind w:left="0" w:right="0"/>
                    <w:jc w:val="left"/>
                    <w:textAlignment w:val="auto"/>
                    <w:rPr>
                      <w:rFonts w:hint="default" w:eastAsia="宋体"/>
                      <w:color w:val="auto"/>
                      <w:szCs w:val="21"/>
                      <w:highlight w:val="none"/>
                    </w:rPr>
                  </w:pPr>
                  <w:r>
                    <w:rPr>
                      <w:rFonts w:hint="eastAsia" w:cs="Times New Roman" w:eastAsiaTheme="minorEastAsia"/>
                      <w:color w:val="auto"/>
                      <w:kern w:val="0"/>
                      <w:szCs w:val="21"/>
                      <w:lang w:val="en-US" w:eastAsia="zh-CN"/>
                    </w:rPr>
                    <w:t>不可利用废物外收支废品收购站，少量未收集与生活垃圾一起交由市政部门统一处理；废布袋有除尘器厂家检修后直接带走；铁屑及车间除尘器收尘和废钢铁集中收集后外售至废品回收站；废离子交换树脂</w:t>
                  </w:r>
                  <w:r>
                    <w:rPr>
                      <w:rFonts w:hint="default" w:eastAsia="宋体"/>
                      <w:b w:val="0"/>
                      <w:bCs w:val="0"/>
                      <w:color w:val="auto"/>
                      <w:szCs w:val="21"/>
                      <w:highlight w:val="none"/>
                      <w:lang w:val="en-US" w:eastAsia="zh-CN"/>
                    </w:rPr>
                    <w:t>更换后立即外运，不在锅炉房内存放，由厂家回收再生利用</w:t>
                  </w:r>
                  <w:r>
                    <w:rPr>
                      <w:rFonts w:hint="eastAsia"/>
                      <w:b w:val="0"/>
                      <w:bCs w:val="0"/>
                      <w:color w:val="auto"/>
                      <w:szCs w:val="21"/>
                      <w:highlight w:val="none"/>
                      <w:lang w:val="en-US" w:eastAsia="zh-CN"/>
                    </w:rPr>
                    <w:t>；</w:t>
                  </w:r>
                  <w:r>
                    <w:rPr>
                      <w:rFonts w:hint="eastAsia" w:cs="Times New Roman"/>
                      <w:color w:val="auto"/>
                      <w:kern w:val="2"/>
                      <w:sz w:val="21"/>
                      <w:szCs w:val="24"/>
                      <w:highlight w:val="none"/>
                      <w:lang w:val="en-US" w:eastAsia="zh-CN" w:bidi="ar-SA"/>
                    </w:rPr>
                    <w:t>锅炉除尘灰和锅炉灰渣</w:t>
                  </w:r>
                  <w:r>
                    <w:rPr>
                      <w:rFonts w:hint="eastAsia" w:eastAsia="宋体"/>
                      <w:b w:val="0"/>
                      <w:bCs w:val="0"/>
                      <w:color w:val="auto"/>
                      <w:szCs w:val="21"/>
                      <w:highlight w:val="none"/>
                      <w:lang w:val="en-US" w:eastAsia="zh-CN"/>
                    </w:rPr>
                    <w:t>全部外售制肥综合利用</w:t>
                  </w:r>
                  <w:r>
                    <w:rPr>
                      <w:rFonts w:hint="eastAsia"/>
                      <w:b w:val="0"/>
                      <w:bCs w:val="0"/>
                      <w:color w:val="auto"/>
                      <w:szCs w:val="21"/>
                      <w:highlight w:val="none"/>
                      <w:lang w:val="en-US" w:eastAsia="zh-CN"/>
                    </w:rPr>
                    <w:t>；</w:t>
                  </w:r>
                  <w:r>
                    <w:rPr>
                      <w:rFonts w:hint="eastAsia" w:cs="Times New Roman"/>
                      <w:color w:val="auto"/>
                      <w:highlight w:val="none"/>
                      <w:lang w:val="en-US" w:eastAsia="zh-CN"/>
                    </w:rPr>
                    <w:t>废铅酸蓄电池、废油液及油泥、含油抹布及手套、废活性炭、</w:t>
                  </w:r>
                  <w:r>
                    <w:rPr>
                      <w:rFonts w:hint="eastAsia" w:cs="Times New Roman"/>
                      <w:color w:val="auto"/>
                      <w:kern w:val="2"/>
                      <w:sz w:val="21"/>
                      <w:szCs w:val="24"/>
                      <w:highlight w:val="none"/>
                      <w:lang w:val="en-US" w:eastAsia="zh-CN" w:bidi="ar-SA"/>
                    </w:rPr>
                    <w:t>废防冻液、废电路板</w:t>
                  </w:r>
                  <w:r>
                    <w:rPr>
                      <w:rFonts w:hint="default" w:cs="Times New Roman"/>
                      <w:color w:val="auto"/>
                      <w:kern w:val="0"/>
                      <w:sz w:val="21"/>
                      <w:szCs w:val="21"/>
                      <w:highlight w:val="none"/>
                      <w:lang w:val="en-US" w:eastAsia="zh-CN" w:bidi="ar-SA"/>
                    </w:rPr>
                    <w:t>暂存于</w:t>
                  </w:r>
                  <w:r>
                    <w:rPr>
                      <w:rFonts w:hint="eastAsia" w:cs="Times New Roman"/>
                      <w:color w:val="auto"/>
                      <w:kern w:val="0"/>
                      <w:sz w:val="21"/>
                      <w:szCs w:val="21"/>
                      <w:highlight w:val="none"/>
                      <w:lang w:val="en-US" w:eastAsia="zh-CN" w:bidi="ar-SA"/>
                    </w:rPr>
                    <w:t>危废贮存点</w:t>
                  </w:r>
                  <w:r>
                    <w:rPr>
                      <w:rFonts w:hint="default" w:cs="Times New Roman"/>
                      <w:color w:val="auto"/>
                      <w:kern w:val="0"/>
                      <w:sz w:val="21"/>
                      <w:szCs w:val="21"/>
                      <w:highlight w:val="none"/>
                      <w:lang w:val="en-US" w:eastAsia="zh-CN" w:bidi="ar-SA"/>
                    </w:rPr>
                    <w:t>，交由有危险废物处置资质单位处置</w:t>
                  </w:r>
                  <w:r>
                    <w:rPr>
                      <w:rFonts w:hint="eastAsia" w:cs="Times New Roman"/>
                      <w:color w:val="auto"/>
                      <w:kern w:val="0"/>
                      <w:sz w:val="21"/>
                      <w:szCs w:val="21"/>
                      <w:highlight w:val="none"/>
                      <w:lang w:val="en-US" w:eastAsia="zh-CN" w:bidi="ar-SA"/>
                    </w:rPr>
                    <w:t>。</w:t>
                  </w:r>
                </w:p>
              </w:tc>
              <w:tc>
                <w:tcPr>
                  <w:tcW w:w="475" w:type="pct"/>
                  <w:vAlign w:val="center"/>
                </w:tcPr>
                <w:p w14:paraId="7AC9C7CE">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r>
                    <w:rPr>
                      <w:rFonts w:hint="eastAsia" w:cs="Times New Roman"/>
                      <w:color w:val="auto"/>
                      <w:kern w:val="2"/>
                      <w:sz w:val="21"/>
                      <w:szCs w:val="21"/>
                      <w:highlight w:val="none"/>
                      <w:lang w:val="en-US" w:eastAsia="zh-CN" w:bidi="ar-SA"/>
                    </w:rPr>
                    <w:t>/</w:t>
                  </w:r>
                </w:p>
              </w:tc>
            </w:tr>
            <w:tr w14:paraId="25BEDC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2" w:hRule="atLeast"/>
                <w:jc w:val="center"/>
              </w:trPr>
              <w:tc>
                <w:tcPr>
                  <w:tcW w:w="456" w:type="pct"/>
                  <w:vMerge w:val="continue"/>
                  <w:vAlign w:val="center"/>
                </w:tcPr>
                <w:p w14:paraId="617DFD45">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p>
              </w:tc>
              <w:tc>
                <w:tcPr>
                  <w:tcW w:w="837" w:type="pct"/>
                  <w:vAlign w:val="center"/>
                </w:tcPr>
                <w:p w14:paraId="632CC34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szCs w:val="21"/>
                    </w:rPr>
                    <w:t>土壤及地下水污染防治措施</w:t>
                  </w:r>
                </w:p>
              </w:tc>
              <w:tc>
                <w:tcPr>
                  <w:tcW w:w="3230" w:type="pct"/>
                  <w:vAlign w:val="center"/>
                </w:tcPr>
                <w:p w14:paraId="74604A34">
                  <w:pPr>
                    <w:keepNext w:val="0"/>
                    <w:keepLines w:val="0"/>
                    <w:pageBreakBefore w:val="0"/>
                    <w:widowControl w:val="0"/>
                    <w:kinsoku/>
                    <w:wordWrap/>
                    <w:overflowPunct/>
                    <w:topLinePunct w:val="0"/>
                    <w:autoSpaceDE w:val="0"/>
                    <w:autoSpaceDN w:val="0"/>
                    <w:bidi w:val="0"/>
                    <w:adjustRightInd w:val="0"/>
                    <w:spacing w:beforeAutospacing="0" w:afterAutospacing="0" w:line="240" w:lineRule="auto"/>
                    <w:ind w:left="0" w:leftChars="0" w:right="0" w:rightChars="0" w:firstLine="0" w:firstLineChars="0"/>
                    <w:jc w:val="center"/>
                    <w:textAlignment w:val="auto"/>
                    <w:rPr>
                      <w:rFonts w:hint="eastAsia" w:cs="Times New Roman" w:eastAsiaTheme="minorEastAsia"/>
                      <w:color w:val="auto"/>
                      <w:kern w:val="0"/>
                      <w:szCs w:val="21"/>
                      <w:lang w:val="en-US" w:eastAsia="zh-CN"/>
                    </w:rPr>
                  </w:pPr>
                  <w:r>
                    <w:rPr>
                      <w:rFonts w:hint="eastAsia" w:cs="Times New Roman"/>
                      <w:color w:val="auto"/>
                      <w:highlight w:val="none"/>
                      <w:lang w:val="en-US" w:eastAsia="zh-CN"/>
                    </w:rPr>
                    <w:t>危废贮存点</w:t>
                  </w:r>
                  <w:r>
                    <w:rPr>
                      <w:rFonts w:hint="eastAsia" w:ascii="Times New Roman" w:hAnsi="Times New Roman" w:eastAsia="宋体" w:cs="Times New Roman"/>
                      <w:color w:val="auto"/>
                      <w:highlight w:val="none"/>
                      <w:lang w:val="en-US" w:eastAsia="zh-CN"/>
                    </w:rPr>
                    <w:t>防渗要求按照《危险废物贮存污染控制标准》（GB18597-2023）的要求执行，为重点防渗区，基础敷设2mm厚的高密度聚乙烯防水层，上部敷设10cm厚水泥层，表面铺设防水树脂层，渗透系数≤10</w:t>
                  </w:r>
                  <w:r>
                    <w:rPr>
                      <w:rFonts w:hint="eastAsia" w:ascii="Times New Roman" w:hAnsi="Times New Roman" w:eastAsia="宋体" w:cs="Times New Roman"/>
                      <w:color w:val="auto"/>
                      <w:highlight w:val="none"/>
                      <w:vertAlign w:val="superscript"/>
                      <w:lang w:val="en-US" w:eastAsia="zh-CN"/>
                    </w:rPr>
                    <w:t>-10</w:t>
                  </w:r>
                  <w:r>
                    <w:rPr>
                      <w:rFonts w:hint="eastAsia" w:ascii="Times New Roman" w:hAnsi="Times New Roman" w:eastAsia="宋体" w:cs="Times New Roman"/>
                      <w:color w:val="auto"/>
                      <w:highlight w:val="none"/>
                      <w:lang w:val="en-US" w:eastAsia="zh-CN"/>
                    </w:rPr>
                    <w:t>cm/s。</w:t>
                  </w:r>
                  <w:r>
                    <w:rPr>
                      <w:rFonts w:hint="eastAsia" w:cs="Times New Roman"/>
                      <w:color w:val="auto"/>
                      <w:highlight w:val="none"/>
                      <w:lang w:val="en-US" w:eastAsia="zh-CN"/>
                    </w:rPr>
                    <w:t>待拆车辆暂存区、初期雨水收集池和拆解车间</w:t>
                  </w:r>
                  <w:r>
                    <w:rPr>
                      <w:rFonts w:hint="eastAsia" w:ascii="Times New Roman" w:hAnsi="Times New Roman" w:eastAsia="宋体" w:cs="Times New Roman"/>
                      <w:color w:val="auto"/>
                      <w:highlight w:val="none"/>
                      <w:lang w:val="en-US" w:eastAsia="zh-CN"/>
                    </w:rPr>
                    <w:t>满足《环境影响评价技术导则 地下水环境》（HJ610-2016）表7中</w:t>
                  </w:r>
                  <w:r>
                    <w:rPr>
                      <w:rFonts w:hint="eastAsia" w:cs="Times New Roman"/>
                      <w:color w:val="auto"/>
                      <w:highlight w:val="none"/>
                      <w:lang w:val="en-US" w:eastAsia="zh-CN"/>
                    </w:rPr>
                    <w:t>重点</w:t>
                  </w:r>
                  <w:r>
                    <w:rPr>
                      <w:rFonts w:hint="eastAsia" w:ascii="Times New Roman" w:hAnsi="Times New Roman" w:eastAsia="宋体" w:cs="Times New Roman"/>
                      <w:color w:val="auto"/>
                      <w:highlight w:val="none"/>
                      <w:lang w:val="en-US" w:eastAsia="zh-CN"/>
                    </w:rPr>
                    <w:t>防渗区防渗技术要求（等效黏土防渗层Mb≥</w:t>
                  </w:r>
                  <w:r>
                    <w:rPr>
                      <w:rFonts w:hint="eastAsia" w:cs="Times New Roman"/>
                      <w:color w:val="auto"/>
                      <w:highlight w:val="none"/>
                      <w:lang w:val="en-US" w:eastAsia="zh-CN"/>
                    </w:rPr>
                    <w:t>6.0</w:t>
                  </w:r>
                  <w:r>
                    <w:rPr>
                      <w:rFonts w:hint="eastAsia" w:ascii="Times New Roman" w:hAnsi="Times New Roman" w:eastAsia="宋体" w:cs="Times New Roman"/>
                      <w:color w:val="auto"/>
                      <w:highlight w:val="none"/>
                      <w:lang w:val="en-US" w:eastAsia="zh-CN"/>
                    </w:rPr>
                    <w:t>m，渗透系数≤10</w:t>
                  </w:r>
                  <w:r>
                    <w:rPr>
                      <w:rFonts w:hint="eastAsia" w:ascii="Times New Roman" w:hAnsi="Times New Roman" w:eastAsia="宋体" w:cs="Times New Roman"/>
                      <w:color w:val="auto"/>
                      <w:highlight w:val="none"/>
                      <w:vertAlign w:val="superscript"/>
                      <w:lang w:val="en-US" w:eastAsia="zh-CN"/>
                    </w:rPr>
                    <w:t>-7</w:t>
                  </w:r>
                  <w:r>
                    <w:rPr>
                      <w:rFonts w:hint="eastAsia" w:ascii="Times New Roman" w:hAnsi="Times New Roman" w:eastAsia="宋体" w:cs="Times New Roman"/>
                      <w:color w:val="auto"/>
                      <w:highlight w:val="none"/>
                      <w:lang w:val="en-US" w:eastAsia="zh-CN"/>
                    </w:rPr>
                    <w:t>cm/s）。</w:t>
                  </w:r>
                  <w:r>
                    <w:rPr>
                      <w:rFonts w:hint="eastAsia" w:cs="Times New Roman"/>
                      <w:color w:val="auto"/>
                      <w:highlight w:val="none"/>
                      <w:lang w:val="en-US" w:eastAsia="zh-CN"/>
                    </w:rPr>
                    <w:t>废钢铁与废橡胶贮存库</w:t>
                  </w:r>
                  <w:r>
                    <w:rPr>
                      <w:rFonts w:hint="eastAsia" w:ascii="Times New Roman" w:hAnsi="Times New Roman" w:eastAsia="宋体" w:cs="Times New Roman"/>
                      <w:color w:val="auto"/>
                      <w:highlight w:val="none"/>
                      <w:lang w:val="en-US" w:eastAsia="zh-CN"/>
                    </w:rPr>
                    <w:t>所在区域，采用抗渗等级不低于P6级的抗渗混凝土，满足《环境影响评价技术导则 地下水环境》（HJ610-2016）表7中一般防渗区防渗技术要求（等效黏土防渗层Mb≥1.5m，渗透系数≤10</w:t>
                  </w:r>
                  <w:r>
                    <w:rPr>
                      <w:rFonts w:hint="eastAsia" w:ascii="Times New Roman" w:hAnsi="Times New Roman" w:eastAsia="宋体" w:cs="Times New Roman"/>
                      <w:color w:val="auto"/>
                      <w:highlight w:val="none"/>
                      <w:vertAlign w:val="superscript"/>
                      <w:lang w:val="en-US" w:eastAsia="zh-CN"/>
                    </w:rPr>
                    <w:t>-7</w:t>
                  </w:r>
                  <w:r>
                    <w:rPr>
                      <w:rFonts w:hint="eastAsia" w:ascii="Times New Roman" w:hAnsi="Times New Roman" w:eastAsia="宋体" w:cs="Times New Roman"/>
                      <w:color w:val="auto"/>
                      <w:highlight w:val="none"/>
                      <w:lang w:val="en-US" w:eastAsia="zh-CN"/>
                    </w:rPr>
                    <w:t>cm/s）。</w:t>
                  </w:r>
                  <w:r>
                    <w:rPr>
                      <w:rFonts w:hint="eastAsia" w:cs="Times New Roman"/>
                      <w:color w:val="auto"/>
                      <w:highlight w:val="none"/>
                      <w:lang w:val="en-US" w:eastAsia="zh-CN"/>
                    </w:rPr>
                    <w:t>其他区域采用水泥地面硬化。</w:t>
                  </w:r>
                </w:p>
              </w:tc>
              <w:tc>
                <w:tcPr>
                  <w:tcW w:w="475" w:type="pct"/>
                  <w:vAlign w:val="center"/>
                </w:tcPr>
                <w:p w14:paraId="3763B263">
                  <w:pPr>
                    <w:keepNext w:val="0"/>
                    <w:keepLines w:val="0"/>
                    <w:suppressLineNumbers w:val="0"/>
                    <w:adjustRightInd w:val="0"/>
                    <w:snapToGrid w:val="0"/>
                    <w:spacing w:before="0" w:beforeAutospacing="0" w:after="0" w:afterAutospacing="0"/>
                    <w:ind w:left="0" w:right="0"/>
                    <w:jc w:val="center"/>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r>
            <w:tr w14:paraId="0C2E57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6" w:type="pct"/>
                  <w:vMerge w:val="continue"/>
                  <w:vAlign w:val="center"/>
                </w:tcPr>
                <w:p w14:paraId="6AE23467">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rPr>
                  </w:pPr>
                </w:p>
              </w:tc>
              <w:tc>
                <w:tcPr>
                  <w:tcW w:w="837" w:type="pct"/>
                  <w:vAlign w:val="center"/>
                </w:tcPr>
                <w:p w14:paraId="6065DB69">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环境风险</w:t>
                  </w:r>
                </w:p>
                <w:p w14:paraId="4613ACD0">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cs="Times New Roman"/>
                      <w:color w:val="auto"/>
                      <w:szCs w:val="21"/>
                    </w:rPr>
                    <w:t>防范措施</w:t>
                  </w:r>
                </w:p>
              </w:tc>
              <w:tc>
                <w:tcPr>
                  <w:tcW w:w="3230" w:type="pct"/>
                  <w:shd w:val="clear" w:color="auto" w:fill="auto"/>
                  <w:vAlign w:val="center"/>
                </w:tcPr>
                <w:p w14:paraId="066BDCEF">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cs="Times New Roman"/>
                      <w:color w:val="auto"/>
                      <w:szCs w:val="21"/>
                      <w:lang w:eastAsia="zh-CN"/>
                    </w:rPr>
                  </w:pPr>
                  <w:r>
                    <w:rPr>
                      <w:rFonts w:hint="eastAsia" w:ascii="Times New Roman" w:hAnsi="Times New Roman" w:cs="Times New Roman"/>
                      <w:color w:val="auto"/>
                      <w:szCs w:val="21"/>
                      <w:lang w:eastAsia="zh-CN"/>
                    </w:rPr>
                    <w:t>危废贮存点门口需张贴标注规范的危险废物标识和信息板，屋内张贴《危险废物管理制度》；不同的危险废物应有明显的区域划分，液态危险废物需盛装在完好的容器内，并将容器防治在防泄漏托盘内，并在容器粘贴危险废物信息标签；固态危险废物需包装完好无破损，并系挂危险废物信息标签。需按危险废物转移三联单的要求做好危险废物台账，危险废物暂存间内禁止存放陈危险废物及应急工具以外的其他物品。产生的危险废物应每个月都进行转移处理。危险废物的储存、处置过程中必须严格执行国家《危险废物贮存污染控制标准》（GB18597-2001）及《危险化学品安全管理条例》的有关规定。</w:t>
                  </w:r>
                </w:p>
                <w:p w14:paraId="1949997E">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cs="Times New Roman"/>
                      <w:color w:val="auto"/>
                      <w:szCs w:val="21"/>
                      <w:lang w:eastAsia="zh-CN"/>
                    </w:rPr>
                  </w:pPr>
                  <w:r>
                    <w:rPr>
                      <w:rFonts w:hint="eastAsia" w:ascii="Times New Roman" w:hAnsi="Times New Roman" w:cs="Times New Roman"/>
                      <w:color w:val="auto"/>
                      <w:szCs w:val="21"/>
                      <w:lang w:eastAsia="zh-CN"/>
                    </w:rPr>
                    <w:t>拆解区以及危险品仓库四周均设置导流槽，将泄漏物质导流入密封桶内，存于危废贮存点，得以有效的处理，避免危险有毒物质流入外界造成环境污染。对于发生泄漏引起火灾等事故应把消防产生的废水进行收集，灭火处理完毕后将该废水送至有资质的公司处理，严禁泄漏到环境中去，造成环境风险事故。当拆解过程中发生单个蓄电池破损、电解液泄漏，及时用收集容器对泄漏液体进行收集、密封保存，少量滴落的电解液采用石灰、活性炭等吸附材料覆盖，吸附材料收集后作为危废交由有资质的单位处置。当处理储存箱内泄漏电解液，需将破损的和完好的电池取出、分开隔离贮存，箱内电解液采用专用收集容器收集、密封保存。处理事故的工作人员在进行清理工作时须穿戴防护服、防腐蚀手套、口罩等防护用品，避免在操作中受到伤害。</w:t>
                  </w:r>
                  <w:r>
                    <w:rPr>
                      <w:rFonts w:hint="eastAsia" w:cs="Times New Roman"/>
                      <w:color w:val="auto"/>
                      <w:szCs w:val="21"/>
                      <w:lang w:eastAsia="zh-CN"/>
                    </w:rPr>
                    <w:t>危废暂存点</w:t>
                  </w:r>
                  <w:r>
                    <w:rPr>
                      <w:rFonts w:hint="eastAsia" w:ascii="Times New Roman" w:hAnsi="Times New Roman" w:cs="Times New Roman"/>
                      <w:color w:val="auto"/>
                      <w:szCs w:val="21"/>
                      <w:lang w:eastAsia="zh-CN"/>
                    </w:rPr>
                    <w:t>内设置1座事故池，容积为2m</w:t>
                  </w:r>
                  <w:r>
                    <w:rPr>
                      <w:rFonts w:hint="eastAsia" w:ascii="Times New Roman" w:hAnsi="Times New Roman" w:cs="Times New Roman"/>
                      <w:color w:val="auto"/>
                      <w:szCs w:val="21"/>
                      <w:vertAlign w:val="superscript"/>
                      <w:lang w:eastAsia="zh-CN"/>
                    </w:rPr>
                    <w:t>3</w:t>
                  </w:r>
                  <w:r>
                    <w:rPr>
                      <w:rFonts w:hint="eastAsia" w:ascii="Times New Roman" w:hAnsi="Times New Roman" w:cs="Times New Roman"/>
                      <w:color w:val="auto"/>
                      <w:szCs w:val="21"/>
                      <w:lang w:eastAsia="zh-CN"/>
                    </w:rPr>
                    <w:t>，并设置导流沟，危废贮存点危险废物发生泄漏情况下，通过导流沟进入事故池暂存。可防止对地下水的环境污染。</w:t>
                  </w:r>
                </w:p>
                <w:p w14:paraId="4F45BF07">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cs="Times New Roman"/>
                      <w:color w:val="auto"/>
                      <w:szCs w:val="21"/>
                      <w:lang w:eastAsia="zh-CN"/>
                    </w:rPr>
                  </w:pPr>
                  <w:r>
                    <w:rPr>
                      <w:rFonts w:hint="eastAsia" w:ascii="Times New Roman" w:hAnsi="Times New Roman" w:cs="Times New Roman"/>
                      <w:color w:val="auto"/>
                      <w:szCs w:val="21"/>
                      <w:lang w:eastAsia="zh-CN"/>
                    </w:rPr>
                    <w:t>拆解车间内严禁明火，严禁在未排空废油液的情况下进行油箱拆解。厂内配备满足《建筑设计防火规范》（GB50016-2014）规定的消防设施设备（灭火器、消火栓、消防沙等），设置消防池，每年对灭火器材、设施进行检查，如有损坏或压力不足应及时维修更新。检测内容、时间、人员应有记录保存。安全检测应根据设备的安全性、危险性设定检测频次。在消防器材、设施放置处，安排相应的管理者负责。保持消防器材的完整齐备，严禁将消防器材挪作他用，特殊情况必须经相关管理部门的同意。</w:t>
                  </w:r>
                </w:p>
                <w:p w14:paraId="3AA372A8">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eastAsia="zh-CN"/>
                    </w:rPr>
                    <w:t>建设单位应编制建设项目环境风险应急预案，报环保部门批准后生产中实施，并安排环境风险应急预案及风险污染处置演练，进行应急处置宣传、教育。成立事故应急处理小组，由车间安全负责人担任事故应急小组组长，一旦发火灾等事故，应立即启动事故应急预案，并向有关环境管理部门汇报情况，协助环境管理部门进行应急监测等工作。</w:t>
                  </w:r>
                </w:p>
              </w:tc>
              <w:tc>
                <w:tcPr>
                  <w:tcW w:w="475" w:type="pct"/>
                  <w:vAlign w:val="center"/>
                </w:tcPr>
                <w:p w14:paraId="4EE0ED27">
                  <w:pPr>
                    <w:keepNext w:val="0"/>
                    <w:keepLines w:val="0"/>
                    <w:suppressLineNumbers w:val="0"/>
                    <w:adjustRightInd w:val="0"/>
                    <w:snapToGrid w:val="0"/>
                    <w:spacing w:before="0" w:beforeAutospacing="0" w:after="0" w:afterAutospacing="0"/>
                    <w:ind w:left="0" w:right="0"/>
                    <w:jc w:val="center"/>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r>
            <w:tr w14:paraId="346DEE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6" w:type="pct"/>
                  <w:vAlign w:val="center"/>
                </w:tcPr>
                <w:p w14:paraId="28C968E0">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lang w:val="en-US" w:eastAsia="zh-CN"/>
                    </w:rPr>
                  </w:pPr>
                  <w:r>
                    <w:rPr>
                      <w:rFonts w:hint="eastAsia"/>
                      <w:color w:val="auto"/>
                      <w:szCs w:val="21"/>
                      <w:highlight w:val="none"/>
                      <w:lang w:val="en-US" w:eastAsia="zh-CN"/>
                    </w:rPr>
                    <w:t>依托工程</w:t>
                  </w:r>
                </w:p>
              </w:tc>
              <w:tc>
                <w:tcPr>
                  <w:tcW w:w="837" w:type="pct"/>
                  <w:vAlign w:val="center"/>
                </w:tcPr>
                <w:p w14:paraId="72C4719B">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rPr>
                  </w:pPr>
                  <w:r>
                    <w:rPr>
                      <w:rFonts w:hint="eastAsia"/>
                      <w:color w:val="auto"/>
                      <w:szCs w:val="21"/>
                    </w:rPr>
                    <w:t>鸡西市鸡冠区污水处理厂</w:t>
                  </w:r>
                </w:p>
              </w:tc>
              <w:tc>
                <w:tcPr>
                  <w:tcW w:w="3230" w:type="pct"/>
                  <w:vAlign w:val="center"/>
                </w:tcPr>
                <w:p w14:paraId="5E1FAE0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ind w:left="0" w:right="0"/>
                    <w:jc w:val="left"/>
                    <w:textAlignment w:val="auto"/>
                    <w:rPr>
                      <w:rFonts w:hint="default" w:cs="Times New Roman" w:eastAsiaTheme="minorEastAsia"/>
                      <w:color w:val="auto"/>
                      <w:kern w:val="0"/>
                      <w:sz w:val="21"/>
                      <w:szCs w:val="21"/>
                      <w:lang w:val="en-US" w:eastAsia="zh-CN"/>
                    </w:rPr>
                  </w:pPr>
                  <w:r>
                    <w:rPr>
                      <w:rFonts w:hint="eastAsia"/>
                      <w:color w:val="auto"/>
                      <w:szCs w:val="21"/>
                    </w:rPr>
                    <w:t>鸡西市鸡冠区污水处理厂</w:t>
                  </w:r>
                  <w:r>
                    <w:rPr>
                      <w:rFonts w:hint="eastAsia"/>
                      <w:color w:val="auto"/>
                      <w:szCs w:val="21"/>
                      <w:lang w:val="en-US" w:eastAsia="zh-CN"/>
                    </w:rPr>
                    <w:t>位于</w:t>
                  </w:r>
                  <w:r>
                    <w:rPr>
                      <w:rFonts w:hint="eastAsia"/>
                      <w:color w:val="auto"/>
                      <w:szCs w:val="21"/>
                    </w:rPr>
                    <w:t>黑龙江省鸡西市鸡冠区水利职工综合楼-4-4-3</w:t>
                  </w:r>
                  <w:r>
                    <w:rPr>
                      <w:rFonts w:hint="eastAsia"/>
                      <w:color w:val="auto"/>
                      <w:szCs w:val="21"/>
                      <w:lang w:eastAsia="zh-CN"/>
                    </w:rPr>
                    <w:t>。</w:t>
                  </w:r>
                  <w:r>
                    <w:rPr>
                      <w:color w:val="auto"/>
                      <w:szCs w:val="21"/>
                    </w:rPr>
                    <w:t>于201</w:t>
                  </w:r>
                  <w:r>
                    <w:rPr>
                      <w:rFonts w:hint="eastAsia"/>
                      <w:color w:val="auto"/>
                      <w:szCs w:val="21"/>
                    </w:rPr>
                    <w:t>0</w:t>
                  </w:r>
                  <w:r>
                    <w:rPr>
                      <w:color w:val="auto"/>
                      <w:szCs w:val="21"/>
                    </w:rPr>
                    <w:t>年建</w:t>
                  </w:r>
                  <w:r>
                    <w:rPr>
                      <w:rFonts w:hint="eastAsia"/>
                      <w:color w:val="auto"/>
                      <w:szCs w:val="21"/>
                      <w:lang w:val="en-US" w:eastAsia="zh-CN"/>
                    </w:rPr>
                    <w:t>成</w:t>
                  </w:r>
                  <w:r>
                    <w:rPr>
                      <w:color w:val="auto"/>
                      <w:szCs w:val="21"/>
                    </w:rPr>
                    <w:t>，</w:t>
                  </w:r>
                  <w:r>
                    <w:rPr>
                      <w:rFonts w:hint="eastAsia"/>
                      <w:color w:val="auto"/>
                      <w:szCs w:val="21"/>
                    </w:rPr>
                    <w:t>鸡西市鸡冠区污水处理厂</w:t>
                  </w:r>
                  <w:r>
                    <w:rPr>
                      <w:rFonts w:hint="eastAsia"/>
                      <w:color w:val="auto"/>
                      <w:szCs w:val="21"/>
                      <w:lang w:val="en-US" w:eastAsia="zh-CN"/>
                    </w:rPr>
                    <w:t>采用</w:t>
                  </w:r>
                  <w:r>
                    <w:rPr>
                      <w:color w:val="auto"/>
                      <w:szCs w:val="21"/>
                    </w:rPr>
                    <w:t>污水处理工艺</w:t>
                  </w:r>
                  <w:r>
                    <w:rPr>
                      <w:rFonts w:hint="eastAsia"/>
                      <w:color w:val="auto"/>
                      <w:szCs w:val="21"/>
                      <w:lang w:val="en-US" w:eastAsia="zh-CN"/>
                    </w:rPr>
                    <w:t>为</w:t>
                  </w:r>
                  <w:r>
                    <w:rPr>
                      <w:rFonts w:hint="eastAsia"/>
                      <w:color w:val="auto"/>
                      <w:szCs w:val="21"/>
                    </w:rPr>
                    <w:t>CAST</w:t>
                  </w:r>
                  <w:r>
                    <w:rPr>
                      <w:color w:val="auto"/>
                      <w:szCs w:val="21"/>
                    </w:rPr>
                    <w:t>，日处理规模达到</w:t>
                  </w:r>
                  <w:r>
                    <w:rPr>
                      <w:rFonts w:hint="eastAsia"/>
                      <w:color w:val="auto"/>
                      <w:szCs w:val="21"/>
                    </w:rPr>
                    <w:t>10</w:t>
                  </w:r>
                  <w:r>
                    <w:rPr>
                      <w:color w:val="auto"/>
                      <w:szCs w:val="21"/>
                    </w:rPr>
                    <w:t>万立方米/日，项目投资近</w:t>
                  </w:r>
                  <w:r>
                    <w:rPr>
                      <w:rFonts w:hint="eastAsia"/>
                      <w:color w:val="auto"/>
                      <w:szCs w:val="21"/>
                    </w:rPr>
                    <w:t>32714.4</w:t>
                  </w:r>
                  <w:r>
                    <w:rPr>
                      <w:color w:val="auto"/>
                      <w:szCs w:val="21"/>
                    </w:rPr>
                    <w:t>万元，</w:t>
                  </w:r>
                  <w:r>
                    <w:rPr>
                      <w:rFonts w:hint="eastAsia"/>
                      <w:color w:val="auto"/>
                      <w:szCs w:val="21"/>
                    </w:rPr>
                    <w:t>鸡西市鸡冠区污水处理厂，</w:t>
                  </w:r>
                  <w:r>
                    <w:rPr>
                      <w:color w:val="auto"/>
                      <w:szCs w:val="21"/>
                    </w:rPr>
                    <w:t>处理工艺：</w:t>
                  </w:r>
                  <w:r>
                    <w:rPr>
                      <w:rFonts w:hint="eastAsia"/>
                      <w:color w:val="auto"/>
                      <w:szCs w:val="21"/>
                    </w:rPr>
                    <w:t>预处理-CASS（利用微生物去除污水的有机物和含氮含磷化合物）-深度处理（截留污水中的悬浮物）-紫外消毒</w:t>
                  </w:r>
                  <w:r>
                    <w:rPr>
                      <w:color w:val="auto"/>
                      <w:szCs w:val="21"/>
                    </w:rPr>
                    <w:t>。出水指标可以达到《城镇污水处理厂污染物排放标准》（GB 18918－2002）中一级A标准</w:t>
                  </w:r>
                  <w:r>
                    <w:rPr>
                      <w:rFonts w:hint="eastAsia"/>
                      <w:color w:val="auto"/>
                      <w:szCs w:val="21"/>
                    </w:rPr>
                    <w:t>，</w:t>
                  </w:r>
                  <w:r>
                    <w:rPr>
                      <w:color w:val="auto"/>
                      <w:szCs w:val="21"/>
                    </w:rPr>
                    <w:t>目前污水处理厂收水量约80000t/d，剩余污水处理能力约20000t/d。</w:t>
                  </w:r>
                </w:p>
              </w:tc>
              <w:tc>
                <w:tcPr>
                  <w:tcW w:w="475" w:type="pct"/>
                  <w:vAlign w:val="center"/>
                </w:tcPr>
                <w:p w14:paraId="1DEC8075">
                  <w:pPr>
                    <w:keepNext w:val="0"/>
                    <w:keepLines w:val="0"/>
                    <w:suppressLineNumbers w:val="0"/>
                    <w:adjustRightInd w:val="0"/>
                    <w:snapToGrid w:val="0"/>
                    <w:spacing w:before="0" w:beforeAutospacing="0" w:after="0" w:afterAutospacing="0"/>
                    <w:ind w:left="0" w:right="0"/>
                    <w:jc w:val="center"/>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依托</w:t>
                  </w:r>
                </w:p>
              </w:tc>
            </w:tr>
          </w:tbl>
          <w:p w14:paraId="4E457242">
            <w:pPr>
              <w:keepNext w:val="0"/>
              <w:keepLines w:val="0"/>
              <w:suppressLineNumbers w:val="0"/>
              <w:adjustRightInd w:val="0"/>
              <w:snapToGrid w:val="0"/>
              <w:spacing w:before="0" w:beforeAutospacing="0" w:after="0" w:afterAutospacing="0" w:line="360" w:lineRule="auto"/>
              <w:ind w:left="0" w:right="0" w:firstLine="482" w:firstLineChars="200"/>
              <w:rPr>
                <w:rFonts w:hint="default" w:eastAsia="宋体"/>
                <w:b/>
                <w:color w:val="auto"/>
                <w:sz w:val="24"/>
                <w:highlight w:val="none"/>
                <w:lang w:val="en-US" w:eastAsia="zh-CN"/>
              </w:rPr>
            </w:pPr>
            <w:r>
              <w:rPr>
                <w:rFonts w:hint="eastAsia"/>
                <w:b/>
                <w:color w:val="auto"/>
                <w:sz w:val="24"/>
                <w:highlight w:val="none"/>
                <w:lang w:val="en-US" w:eastAsia="zh-CN"/>
              </w:rPr>
              <w:t>4</w:t>
            </w:r>
            <w:r>
              <w:rPr>
                <w:rFonts w:hint="default" w:eastAsia="宋体"/>
                <w:b/>
                <w:color w:val="auto"/>
                <w:sz w:val="24"/>
                <w:highlight w:val="none"/>
              </w:rPr>
              <w:t>、</w:t>
            </w:r>
            <w:r>
              <w:rPr>
                <w:rFonts w:hint="eastAsia"/>
                <w:b/>
                <w:color w:val="auto"/>
                <w:sz w:val="24"/>
                <w:highlight w:val="none"/>
                <w:lang w:val="en-US" w:eastAsia="zh-CN"/>
              </w:rPr>
              <w:t>主要经济指标</w:t>
            </w:r>
          </w:p>
          <w:p w14:paraId="129A3E79">
            <w:pPr>
              <w:keepNext w:val="0"/>
              <w:keepLines w:val="0"/>
              <w:suppressLineNumbers w:val="0"/>
              <w:adjustRightInd w:val="0"/>
              <w:snapToGrid w:val="0"/>
              <w:spacing w:before="0" w:beforeAutospacing="0" w:after="0" w:afterAutospacing="0" w:line="360" w:lineRule="auto"/>
              <w:ind w:left="0" w:right="0" w:firstLine="480" w:firstLineChars="200"/>
              <w:rPr>
                <w:rFonts w:hint="default" w:eastAsia="宋体"/>
                <w:color w:val="auto"/>
                <w:sz w:val="24"/>
                <w:highlight w:val="none"/>
                <w:lang w:val="en-US" w:eastAsia="zh-CN"/>
              </w:rPr>
            </w:pPr>
            <w:r>
              <w:rPr>
                <w:rFonts w:hint="eastAsia" w:eastAsia="宋体"/>
                <w:color w:val="auto"/>
                <w:sz w:val="24"/>
                <w:highlight w:val="none"/>
                <w:lang w:val="en-US" w:eastAsia="zh-CN"/>
              </w:rPr>
              <w:t>本项目主要技术经济指标见表2-2。</w:t>
            </w:r>
          </w:p>
          <w:p w14:paraId="6250D3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表2-2</w:t>
            </w:r>
            <w:r>
              <w:rPr>
                <w:rFonts w:hint="eastAsia" w:ascii="Times New Roman" w:hAnsi="Times New Roman" w:eastAsia="宋体" w:cs="Times New Roman"/>
                <w:b/>
                <w:color w:val="auto"/>
                <w:sz w:val="21"/>
                <w:szCs w:val="21"/>
                <w:highlight w:val="none"/>
                <w:lang w:val="en-US" w:eastAsia="zh-CN"/>
              </w:rPr>
              <w:t xml:space="preserve">  </w:t>
            </w:r>
            <w:r>
              <w:rPr>
                <w:rFonts w:hint="eastAsia" w:cs="Times New Roman"/>
                <w:b/>
                <w:color w:val="auto"/>
                <w:sz w:val="21"/>
                <w:szCs w:val="21"/>
                <w:highlight w:val="none"/>
                <w:lang w:val="en-US" w:eastAsia="zh-CN"/>
              </w:rPr>
              <w:t>项目主要经济指标</w:t>
            </w:r>
            <w:r>
              <w:rPr>
                <w:rFonts w:hint="default" w:ascii="Times New Roman" w:hAnsi="Times New Roman" w:eastAsia="宋体" w:cs="Times New Roman"/>
                <w:b/>
                <w:color w:val="auto"/>
                <w:sz w:val="21"/>
                <w:szCs w:val="21"/>
                <w:highlight w:val="none"/>
              </w:rPr>
              <w:t>一览表</w:t>
            </w:r>
          </w:p>
          <w:tbl>
            <w:tblPr>
              <w:tblStyle w:val="3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21"/>
              <w:gridCol w:w="2010"/>
              <w:gridCol w:w="1935"/>
              <w:gridCol w:w="3079"/>
            </w:tblGrid>
            <w:tr w14:paraId="36DEA9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21" w:type="dxa"/>
                  <w:tcBorders>
                    <w:tl2br w:val="nil"/>
                    <w:tr2bl w:val="nil"/>
                  </w:tcBorders>
                  <w:vAlign w:val="center"/>
                </w:tcPr>
                <w:p w14:paraId="72AA8AA3">
                  <w:pPr>
                    <w:pStyle w:val="1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序号</w:t>
                  </w:r>
                </w:p>
              </w:tc>
              <w:tc>
                <w:tcPr>
                  <w:tcW w:w="2010" w:type="dxa"/>
                  <w:tcBorders>
                    <w:tl2br w:val="nil"/>
                    <w:tr2bl w:val="nil"/>
                  </w:tcBorders>
                  <w:vAlign w:val="center"/>
                </w:tcPr>
                <w:p w14:paraId="60A341D2">
                  <w:pPr>
                    <w:pStyle w:val="1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项目</w:t>
                  </w:r>
                </w:p>
              </w:tc>
              <w:tc>
                <w:tcPr>
                  <w:tcW w:w="1935" w:type="dxa"/>
                  <w:tcBorders>
                    <w:tl2br w:val="nil"/>
                    <w:tr2bl w:val="nil"/>
                  </w:tcBorders>
                  <w:vAlign w:val="center"/>
                </w:tcPr>
                <w:p w14:paraId="3C526E84">
                  <w:pPr>
                    <w:pStyle w:val="1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单位</w:t>
                  </w:r>
                </w:p>
              </w:tc>
              <w:tc>
                <w:tcPr>
                  <w:tcW w:w="3079" w:type="dxa"/>
                  <w:tcBorders>
                    <w:tl2br w:val="nil"/>
                    <w:tr2bl w:val="nil"/>
                  </w:tcBorders>
                  <w:vAlign w:val="center"/>
                </w:tcPr>
                <w:p w14:paraId="611F0DE8">
                  <w:pPr>
                    <w:pStyle w:val="1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数量</w:t>
                  </w:r>
                </w:p>
              </w:tc>
            </w:tr>
            <w:tr w14:paraId="6C1CF3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21" w:type="dxa"/>
                  <w:tcBorders>
                    <w:tl2br w:val="nil"/>
                    <w:tr2bl w:val="nil"/>
                  </w:tcBorders>
                  <w:vAlign w:val="center"/>
                </w:tcPr>
                <w:p w14:paraId="5953C6C5">
                  <w:pPr>
                    <w:pStyle w:val="1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w:t>
                  </w:r>
                </w:p>
              </w:tc>
              <w:tc>
                <w:tcPr>
                  <w:tcW w:w="2010" w:type="dxa"/>
                  <w:tcBorders>
                    <w:tl2br w:val="nil"/>
                    <w:tr2bl w:val="nil"/>
                  </w:tcBorders>
                  <w:vAlign w:val="center"/>
                </w:tcPr>
                <w:p w14:paraId="4E29F99A">
                  <w:pPr>
                    <w:pStyle w:val="1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建筑面积</w:t>
                  </w:r>
                </w:p>
              </w:tc>
              <w:tc>
                <w:tcPr>
                  <w:tcW w:w="1935" w:type="dxa"/>
                  <w:tcBorders>
                    <w:tl2br w:val="nil"/>
                    <w:tr2bl w:val="nil"/>
                  </w:tcBorders>
                  <w:vAlign w:val="center"/>
                </w:tcPr>
                <w:p w14:paraId="1B5217AF">
                  <w:pPr>
                    <w:pStyle w:val="1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2</w:t>
                  </w:r>
                </w:p>
              </w:tc>
              <w:tc>
                <w:tcPr>
                  <w:tcW w:w="3079" w:type="dxa"/>
                  <w:tcBorders>
                    <w:tl2br w:val="nil"/>
                    <w:tr2bl w:val="nil"/>
                  </w:tcBorders>
                  <w:vAlign w:val="center"/>
                </w:tcPr>
                <w:p w14:paraId="65B1E05A">
                  <w:pPr>
                    <w:pStyle w:val="1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1484</w:t>
                  </w:r>
                </w:p>
              </w:tc>
            </w:tr>
            <w:tr w14:paraId="772C3E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21" w:type="dxa"/>
                  <w:tcBorders>
                    <w:tl2br w:val="nil"/>
                    <w:tr2bl w:val="nil"/>
                  </w:tcBorders>
                  <w:vAlign w:val="center"/>
                </w:tcPr>
                <w:p w14:paraId="6B136D83">
                  <w:pPr>
                    <w:pStyle w:val="1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2010" w:type="dxa"/>
                  <w:tcBorders>
                    <w:tl2br w:val="nil"/>
                    <w:tr2bl w:val="nil"/>
                  </w:tcBorders>
                  <w:vAlign w:val="center"/>
                </w:tcPr>
                <w:p w14:paraId="0C0399A3">
                  <w:pPr>
                    <w:pStyle w:val="1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拆解规模</w:t>
                  </w:r>
                </w:p>
              </w:tc>
              <w:tc>
                <w:tcPr>
                  <w:tcW w:w="1935" w:type="dxa"/>
                  <w:tcBorders>
                    <w:tl2br w:val="nil"/>
                    <w:tr2bl w:val="nil"/>
                  </w:tcBorders>
                  <w:vAlign w:val="center"/>
                </w:tcPr>
                <w:p w14:paraId="417324EA">
                  <w:pPr>
                    <w:pStyle w:val="1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台/a</w:t>
                  </w:r>
                </w:p>
              </w:tc>
              <w:tc>
                <w:tcPr>
                  <w:tcW w:w="3079" w:type="dxa"/>
                  <w:tcBorders>
                    <w:tl2br w:val="nil"/>
                    <w:tr2bl w:val="nil"/>
                  </w:tcBorders>
                  <w:vAlign w:val="center"/>
                </w:tcPr>
                <w:p w14:paraId="04F91913">
                  <w:pPr>
                    <w:pStyle w:val="1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2000</w:t>
                  </w:r>
                </w:p>
              </w:tc>
            </w:tr>
            <w:tr w14:paraId="299D47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21" w:type="dxa"/>
                  <w:tcBorders>
                    <w:tl2br w:val="nil"/>
                    <w:tr2bl w:val="nil"/>
                  </w:tcBorders>
                  <w:vAlign w:val="center"/>
                </w:tcPr>
                <w:p w14:paraId="5CBCF99D">
                  <w:pPr>
                    <w:pStyle w:val="1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w:t>
                  </w:r>
                </w:p>
              </w:tc>
              <w:tc>
                <w:tcPr>
                  <w:tcW w:w="2010" w:type="dxa"/>
                  <w:tcBorders>
                    <w:tl2br w:val="nil"/>
                    <w:tr2bl w:val="nil"/>
                  </w:tcBorders>
                  <w:vAlign w:val="center"/>
                </w:tcPr>
                <w:p w14:paraId="14DB2673">
                  <w:pPr>
                    <w:pStyle w:val="1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总投资</w:t>
                  </w:r>
                </w:p>
              </w:tc>
              <w:tc>
                <w:tcPr>
                  <w:tcW w:w="1935" w:type="dxa"/>
                  <w:tcBorders>
                    <w:tl2br w:val="nil"/>
                    <w:tr2bl w:val="nil"/>
                  </w:tcBorders>
                  <w:vAlign w:val="center"/>
                </w:tcPr>
                <w:p w14:paraId="6DB7B0E7">
                  <w:pPr>
                    <w:pStyle w:val="1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万元</w:t>
                  </w:r>
                </w:p>
              </w:tc>
              <w:tc>
                <w:tcPr>
                  <w:tcW w:w="3079" w:type="dxa"/>
                  <w:tcBorders>
                    <w:tl2br w:val="nil"/>
                    <w:tr2bl w:val="nil"/>
                  </w:tcBorders>
                  <w:vAlign w:val="center"/>
                </w:tcPr>
                <w:p w14:paraId="616C4AC3">
                  <w:pPr>
                    <w:pStyle w:val="1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500</w:t>
                  </w:r>
                </w:p>
              </w:tc>
            </w:tr>
          </w:tbl>
          <w:p w14:paraId="2CC18FB3">
            <w:pPr>
              <w:keepNext w:val="0"/>
              <w:keepLines w:val="0"/>
              <w:suppressLineNumbers w:val="0"/>
              <w:adjustRightInd w:val="0"/>
              <w:snapToGrid w:val="0"/>
              <w:spacing w:before="0" w:beforeAutospacing="0" w:after="0" w:afterAutospacing="0" w:line="360" w:lineRule="auto"/>
              <w:ind w:left="0" w:right="0" w:firstLine="482" w:firstLineChars="200"/>
              <w:rPr>
                <w:rFonts w:hint="default" w:eastAsia="宋体"/>
                <w:b/>
                <w:color w:val="auto"/>
                <w:sz w:val="24"/>
                <w:highlight w:val="none"/>
              </w:rPr>
            </w:pPr>
            <w:r>
              <w:rPr>
                <w:rFonts w:hint="eastAsia"/>
                <w:b/>
                <w:color w:val="auto"/>
                <w:sz w:val="24"/>
                <w:highlight w:val="none"/>
                <w:lang w:val="en-US" w:eastAsia="zh-CN"/>
              </w:rPr>
              <w:t>5、</w:t>
            </w:r>
            <w:r>
              <w:rPr>
                <w:rFonts w:hint="default" w:eastAsia="宋体"/>
                <w:b/>
                <w:color w:val="auto"/>
                <w:sz w:val="24"/>
                <w:highlight w:val="none"/>
              </w:rPr>
              <w:t>主要原辅材料</w:t>
            </w:r>
          </w:p>
          <w:p w14:paraId="2264097E">
            <w:pPr>
              <w:keepNext w:val="0"/>
              <w:keepLines w:val="0"/>
              <w:suppressLineNumbers w:val="0"/>
              <w:adjustRightInd w:val="0"/>
              <w:snapToGrid w:val="0"/>
              <w:spacing w:before="0" w:beforeAutospacing="0" w:after="0" w:afterAutospacing="0" w:line="360" w:lineRule="auto"/>
              <w:ind w:left="0" w:right="0" w:firstLine="480" w:firstLineChars="200"/>
              <w:rPr>
                <w:rFonts w:hint="default" w:eastAsia="宋体"/>
                <w:b/>
                <w:color w:val="auto"/>
                <w:sz w:val="24"/>
                <w:highlight w:val="none"/>
              </w:rPr>
            </w:pPr>
            <w:r>
              <w:rPr>
                <w:rFonts w:hint="default" w:eastAsia="宋体"/>
                <w:color w:val="auto"/>
                <w:sz w:val="24"/>
                <w:highlight w:val="none"/>
              </w:rPr>
              <w:t>本项目主要原辅材料</w:t>
            </w:r>
            <w:r>
              <w:rPr>
                <w:rFonts w:hint="eastAsia" w:eastAsia="宋体"/>
                <w:color w:val="auto"/>
                <w:sz w:val="24"/>
                <w:highlight w:val="none"/>
                <w:lang w:eastAsia="zh-CN"/>
              </w:rPr>
              <w:t>消耗量详见</w:t>
            </w:r>
            <w:r>
              <w:rPr>
                <w:rFonts w:hint="default" w:eastAsia="宋体"/>
                <w:color w:val="auto"/>
                <w:sz w:val="24"/>
                <w:highlight w:val="none"/>
              </w:rPr>
              <w:t>一览表2-</w:t>
            </w:r>
            <w:r>
              <w:rPr>
                <w:rFonts w:hint="eastAsia"/>
                <w:color w:val="auto"/>
                <w:sz w:val="24"/>
                <w:highlight w:val="none"/>
                <w:lang w:val="en-US" w:eastAsia="zh-CN"/>
              </w:rPr>
              <w:t>3</w:t>
            </w:r>
            <w:r>
              <w:rPr>
                <w:rFonts w:hint="default" w:eastAsia="宋体"/>
                <w:snapToGrid w:val="0"/>
                <w:color w:val="auto"/>
                <w:kern w:val="0"/>
                <w:sz w:val="24"/>
                <w:highlight w:val="none"/>
              </w:rPr>
              <w:t>。</w:t>
            </w:r>
          </w:p>
          <w:p w14:paraId="574D53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highlight w:val="none"/>
              </w:rPr>
            </w:pPr>
            <w:bookmarkStart w:id="7" w:name="OLE_LINK4"/>
            <w:r>
              <w:rPr>
                <w:rFonts w:hint="default" w:ascii="Times New Roman" w:hAnsi="Times New Roman" w:eastAsia="宋体" w:cs="Times New Roman"/>
                <w:b/>
                <w:color w:val="auto"/>
                <w:sz w:val="21"/>
                <w:szCs w:val="21"/>
                <w:highlight w:val="none"/>
              </w:rPr>
              <w:t>表2-</w:t>
            </w:r>
            <w:r>
              <w:rPr>
                <w:rFonts w:hint="eastAsia" w:cs="Times New Roman"/>
                <w:b/>
                <w:color w:val="auto"/>
                <w:sz w:val="21"/>
                <w:szCs w:val="21"/>
                <w:highlight w:val="none"/>
                <w:lang w:val="en-US" w:eastAsia="zh-CN"/>
              </w:rPr>
              <w:t>3</w:t>
            </w:r>
            <w:r>
              <w:rPr>
                <w:rFonts w:hint="eastAsia" w:ascii="Times New Roman" w:hAnsi="Times New Roman" w:eastAsia="宋体" w:cs="Times New Roman"/>
                <w:b/>
                <w:color w:val="auto"/>
                <w:sz w:val="21"/>
                <w:szCs w:val="21"/>
                <w:highlight w:val="none"/>
                <w:lang w:val="en-US" w:eastAsia="zh-CN"/>
              </w:rPr>
              <w:t xml:space="preserve">  </w:t>
            </w:r>
            <w:r>
              <w:rPr>
                <w:rFonts w:hint="default" w:ascii="Times New Roman" w:hAnsi="Times New Roman" w:eastAsia="宋体" w:cs="Times New Roman"/>
                <w:b/>
                <w:color w:val="auto"/>
                <w:sz w:val="21"/>
                <w:szCs w:val="21"/>
                <w:highlight w:val="none"/>
              </w:rPr>
              <w:t>主要原辅材料一览表</w:t>
            </w:r>
          </w:p>
          <w:bookmarkEnd w:id="7"/>
          <w:tbl>
            <w:tblPr>
              <w:tblStyle w:val="3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6" w:type="dxa"/>
                <w:bottom w:w="0" w:type="dxa"/>
                <w:right w:w="56" w:type="dxa"/>
              </w:tblCellMar>
            </w:tblPr>
            <w:tblGrid>
              <w:gridCol w:w="1216"/>
              <w:gridCol w:w="1747"/>
              <w:gridCol w:w="1370"/>
              <w:gridCol w:w="1144"/>
              <w:gridCol w:w="2800"/>
            </w:tblGrid>
            <w:tr w14:paraId="12BC97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23" w:hRule="atLeast"/>
                <w:jc w:val="center"/>
              </w:trPr>
              <w:tc>
                <w:tcPr>
                  <w:tcW w:w="734" w:type="pct"/>
                  <w:noWrap w:val="0"/>
                  <w:vAlign w:val="center"/>
                </w:tcPr>
                <w:p w14:paraId="7C86919D">
                  <w:pPr>
                    <w:pStyle w:val="1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序号</w:t>
                  </w:r>
                </w:p>
              </w:tc>
              <w:tc>
                <w:tcPr>
                  <w:tcW w:w="1055" w:type="pct"/>
                  <w:noWrap w:val="0"/>
                  <w:vAlign w:val="center"/>
                </w:tcPr>
                <w:p w14:paraId="4D22E0F5">
                  <w:pPr>
                    <w:pStyle w:val="1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vertAlign w:val="baseline"/>
                      <w:lang w:eastAsia="zh-CN"/>
                    </w:rPr>
                  </w:pPr>
                  <w:r>
                    <w:rPr>
                      <w:rFonts w:hint="default" w:ascii="Times New Roman" w:hAnsi="Times New Roman" w:cs="Times New Roman"/>
                      <w:color w:val="auto"/>
                      <w:sz w:val="21"/>
                      <w:szCs w:val="21"/>
                      <w:highlight w:val="none"/>
                      <w:vertAlign w:val="baseline"/>
                      <w:lang w:eastAsia="zh-CN"/>
                    </w:rPr>
                    <w:t>主要物料名称</w:t>
                  </w:r>
                </w:p>
              </w:tc>
              <w:tc>
                <w:tcPr>
                  <w:tcW w:w="827" w:type="pct"/>
                  <w:noWrap w:val="0"/>
                  <w:vAlign w:val="center"/>
                </w:tcPr>
                <w:p w14:paraId="19464252">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cs="Times New Roman"/>
                      <w:color w:val="auto"/>
                      <w:sz w:val="21"/>
                      <w:szCs w:val="21"/>
                      <w:highlight w:val="none"/>
                      <w:vertAlign w:val="baseline"/>
                      <w:lang w:eastAsia="zh-CN"/>
                    </w:rPr>
                  </w:pPr>
                  <w:r>
                    <w:rPr>
                      <w:rFonts w:hint="default" w:ascii="Times New Roman" w:hAnsi="Times New Roman" w:cs="Times New Roman"/>
                      <w:color w:val="auto"/>
                      <w:sz w:val="21"/>
                      <w:szCs w:val="21"/>
                    </w:rPr>
                    <w:t>数量</w:t>
                  </w:r>
                </w:p>
              </w:tc>
              <w:tc>
                <w:tcPr>
                  <w:tcW w:w="691" w:type="pct"/>
                  <w:noWrap w:val="0"/>
                  <w:vAlign w:val="center"/>
                </w:tcPr>
                <w:p w14:paraId="096296DB">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cs="Times New Roman"/>
                      <w:color w:val="auto"/>
                      <w:sz w:val="21"/>
                      <w:szCs w:val="21"/>
                      <w:highlight w:val="none"/>
                      <w:vertAlign w:val="baseline"/>
                      <w:lang w:eastAsia="zh-CN"/>
                    </w:rPr>
                  </w:pPr>
                  <w:r>
                    <w:rPr>
                      <w:rFonts w:hint="default" w:ascii="Times New Roman" w:hAnsi="Times New Roman" w:cs="Times New Roman"/>
                      <w:color w:val="auto"/>
                      <w:sz w:val="21"/>
                      <w:szCs w:val="21"/>
                    </w:rPr>
                    <w:t>拆解量t/a</w:t>
                  </w:r>
                </w:p>
              </w:tc>
              <w:tc>
                <w:tcPr>
                  <w:tcW w:w="1691" w:type="pct"/>
                  <w:noWrap w:val="0"/>
                  <w:vAlign w:val="center"/>
                </w:tcPr>
                <w:p w14:paraId="0BF0C5C4">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cs="Times New Roman"/>
                      <w:color w:val="auto"/>
                      <w:sz w:val="21"/>
                      <w:szCs w:val="21"/>
                      <w:highlight w:val="none"/>
                      <w:vertAlign w:val="baseline"/>
                      <w:lang w:eastAsia="zh-CN"/>
                    </w:rPr>
                  </w:pPr>
                  <w:r>
                    <w:rPr>
                      <w:rFonts w:hint="default" w:ascii="Times New Roman" w:hAnsi="Times New Roman" w:cs="Times New Roman"/>
                      <w:color w:val="auto"/>
                      <w:sz w:val="21"/>
                      <w:szCs w:val="21"/>
                    </w:rPr>
                    <w:t>备注</w:t>
                  </w:r>
                </w:p>
              </w:tc>
            </w:tr>
            <w:tr w14:paraId="46118F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23" w:hRule="atLeast"/>
                <w:jc w:val="center"/>
              </w:trPr>
              <w:tc>
                <w:tcPr>
                  <w:tcW w:w="734" w:type="pct"/>
                  <w:shd w:val="clear" w:color="auto" w:fill="auto"/>
                  <w:noWrap w:val="0"/>
                  <w:vAlign w:val="center"/>
                </w:tcPr>
                <w:p w14:paraId="033E9708">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055" w:type="pct"/>
                  <w:shd w:val="clear" w:color="auto" w:fill="auto"/>
                  <w:noWrap w:val="0"/>
                  <w:vAlign w:val="center"/>
                </w:tcPr>
                <w:p w14:paraId="52A6C00B">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拖拉机</w:t>
                  </w:r>
                </w:p>
              </w:tc>
              <w:tc>
                <w:tcPr>
                  <w:tcW w:w="827" w:type="pct"/>
                  <w:noWrap w:val="0"/>
                  <w:vAlign w:val="center"/>
                </w:tcPr>
                <w:p w14:paraId="54D8877A">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cs="Times New Roman"/>
                      <w:color w:val="auto"/>
                      <w:sz w:val="21"/>
                      <w:szCs w:val="21"/>
                      <w:highlight w:val="none"/>
                      <w:vertAlign w:val="baseline"/>
                      <w:lang w:eastAsia="zh-CN"/>
                    </w:rPr>
                  </w:pPr>
                  <w:r>
                    <w:rPr>
                      <w:rFonts w:hint="default" w:ascii="Times New Roman" w:hAnsi="Times New Roman" w:cs="Times New Roman"/>
                      <w:color w:val="auto"/>
                      <w:sz w:val="21"/>
                      <w:szCs w:val="21"/>
                    </w:rPr>
                    <w:t>1000辆/a</w:t>
                  </w:r>
                </w:p>
              </w:tc>
              <w:tc>
                <w:tcPr>
                  <w:tcW w:w="691" w:type="pct"/>
                  <w:noWrap w:val="0"/>
                  <w:vAlign w:val="center"/>
                </w:tcPr>
                <w:p w14:paraId="46400782">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cs="Times New Roman"/>
                      <w:color w:val="auto"/>
                      <w:sz w:val="21"/>
                      <w:szCs w:val="21"/>
                      <w:highlight w:val="none"/>
                      <w:vertAlign w:val="baseline"/>
                      <w:lang w:eastAsia="zh-CN"/>
                    </w:rPr>
                  </w:pPr>
                  <w:r>
                    <w:rPr>
                      <w:rFonts w:hint="default" w:ascii="Times New Roman" w:hAnsi="Times New Roman" w:cs="Times New Roman"/>
                      <w:color w:val="auto"/>
                      <w:sz w:val="21"/>
                      <w:szCs w:val="21"/>
                    </w:rPr>
                    <w:t>3000t/a</w:t>
                  </w:r>
                </w:p>
              </w:tc>
              <w:tc>
                <w:tcPr>
                  <w:tcW w:w="1691" w:type="pct"/>
                  <w:noWrap w:val="0"/>
                  <w:vAlign w:val="center"/>
                </w:tcPr>
                <w:p w14:paraId="60FDCA5D">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cs="Times New Roman"/>
                      <w:color w:val="auto"/>
                      <w:sz w:val="21"/>
                      <w:szCs w:val="21"/>
                      <w:highlight w:val="none"/>
                      <w:vertAlign w:val="baseline"/>
                      <w:lang w:eastAsia="zh-CN"/>
                    </w:rPr>
                  </w:pPr>
                  <w:r>
                    <w:rPr>
                      <w:rFonts w:hint="default" w:ascii="Times New Roman" w:hAnsi="Times New Roman" w:cs="Times New Roman"/>
                      <w:color w:val="auto"/>
                      <w:sz w:val="21"/>
                      <w:szCs w:val="21"/>
                    </w:rPr>
                    <w:t>3t/辆</w:t>
                  </w:r>
                </w:p>
              </w:tc>
            </w:tr>
            <w:tr w14:paraId="52D59E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23" w:hRule="atLeast"/>
                <w:jc w:val="center"/>
              </w:trPr>
              <w:tc>
                <w:tcPr>
                  <w:tcW w:w="734" w:type="pct"/>
                  <w:shd w:val="clear" w:color="auto" w:fill="auto"/>
                  <w:noWrap w:val="0"/>
                  <w:vAlign w:val="center"/>
                </w:tcPr>
                <w:p w14:paraId="17855560">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w:t>
                  </w:r>
                </w:p>
              </w:tc>
              <w:tc>
                <w:tcPr>
                  <w:tcW w:w="1055" w:type="pct"/>
                  <w:shd w:val="clear" w:color="auto" w:fill="auto"/>
                  <w:noWrap w:val="0"/>
                  <w:vAlign w:val="center"/>
                </w:tcPr>
                <w:p w14:paraId="33273B81">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联合收割机</w:t>
                  </w:r>
                </w:p>
              </w:tc>
              <w:tc>
                <w:tcPr>
                  <w:tcW w:w="827" w:type="pct"/>
                  <w:noWrap w:val="0"/>
                  <w:vAlign w:val="center"/>
                </w:tcPr>
                <w:p w14:paraId="74B46BBE">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cs="Times New Roman"/>
                      <w:color w:val="auto"/>
                      <w:sz w:val="21"/>
                      <w:szCs w:val="21"/>
                      <w:highlight w:val="none"/>
                      <w:vertAlign w:val="baseline"/>
                      <w:lang w:eastAsia="zh-CN"/>
                    </w:rPr>
                  </w:pPr>
                  <w:r>
                    <w:rPr>
                      <w:rFonts w:hint="default" w:ascii="Times New Roman" w:hAnsi="Times New Roman" w:cs="Times New Roman"/>
                      <w:color w:val="auto"/>
                      <w:sz w:val="21"/>
                      <w:szCs w:val="21"/>
                    </w:rPr>
                    <w:t>300辆/a</w:t>
                  </w:r>
                </w:p>
              </w:tc>
              <w:tc>
                <w:tcPr>
                  <w:tcW w:w="691" w:type="pct"/>
                  <w:noWrap w:val="0"/>
                  <w:vAlign w:val="center"/>
                </w:tcPr>
                <w:p w14:paraId="10002764">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cs="Times New Roman"/>
                      <w:color w:val="auto"/>
                      <w:sz w:val="21"/>
                      <w:szCs w:val="21"/>
                      <w:highlight w:val="none"/>
                      <w:vertAlign w:val="baseline"/>
                      <w:lang w:eastAsia="zh-CN"/>
                    </w:rPr>
                  </w:pPr>
                  <w:r>
                    <w:rPr>
                      <w:rFonts w:hint="default" w:ascii="Times New Roman" w:hAnsi="Times New Roman" w:cs="Times New Roman"/>
                      <w:color w:val="auto"/>
                      <w:sz w:val="21"/>
                      <w:szCs w:val="21"/>
                    </w:rPr>
                    <w:t>1200t/a</w:t>
                  </w:r>
                </w:p>
              </w:tc>
              <w:tc>
                <w:tcPr>
                  <w:tcW w:w="1691" w:type="pct"/>
                  <w:noWrap w:val="0"/>
                  <w:vAlign w:val="center"/>
                </w:tcPr>
                <w:p w14:paraId="1A508A37">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cs="Times New Roman"/>
                      <w:color w:val="auto"/>
                      <w:sz w:val="21"/>
                      <w:szCs w:val="21"/>
                      <w:highlight w:val="none"/>
                      <w:vertAlign w:val="baseline"/>
                      <w:lang w:eastAsia="zh-CN"/>
                    </w:rPr>
                  </w:pPr>
                  <w:r>
                    <w:rPr>
                      <w:rFonts w:hint="default" w:ascii="Times New Roman" w:hAnsi="Times New Roman" w:cs="Times New Roman"/>
                      <w:color w:val="auto"/>
                      <w:sz w:val="21"/>
                      <w:szCs w:val="21"/>
                    </w:rPr>
                    <w:t>4t/辆</w:t>
                  </w:r>
                </w:p>
              </w:tc>
            </w:tr>
            <w:tr w14:paraId="4962FE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23" w:hRule="atLeast"/>
                <w:jc w:val="center"/>
              </w:trPr>
              <w:tc>
                <w:tcPr>
                  <w:tcW w:w="734" w:type="pct"/>
                  <w:shd w:val="clear" w:color="auto" w:fill="auto"/>
                  <w:noWrap w:val="0"/>
                  <w:vAlign w:val="center"/>
                </w:tcPr>
                <w:p w14:paraId="2996A91B">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3</w:t>
                  </w:r>
                </w:p>
              </w:tc>
              <w:tc>
                <w:tcPr>
                  <w:tcW w:w="1055" w:type="pct"/>
                  <w:shd w:val="clear" w:color="auto" w:fill="auto"/>
                  <w:noWrap w:val="0"/>
                  <w:vAlign w:val="center"/>
                </w:tcPr>
                <w:p w14:paraId="2F8B5FE5">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播种机</w:t>
                  </w:r>
                </w:p>
              </w:tc>
              <w:tc>
                <w:tcPr>
                  <w:tcW w:w="827" w:type="pct"/>
                  <w:noWrap w:val="0"/>
                  <w:vAlign w:val="center"/>
                </w:tcPr>
                <w:p w14:paraId="667E8BA8">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cs="Times New Roman"/>
                      <w:color w:val="auto"/>
                      <w:sz w:val="21"/>
                      <w:szCs w:val="21"/>
                      <w:highlight w:val="none"/>
                      <w:vertAlign w:val="baseline"/>
                      <w:lang w:eastAsia="zh-CN"/>
                    </w:rPr>
                  </w:pPr>
                  <w:r>
                    <w:rPr>
                      <w:rFonts w:hint="default" w:ascii="Times New Roman" w:hAnsi="Times New Roman" w:cs="Times New Roman"/>
                      <w:color w:val="auto"/>
                      <w:sz w:val="21"/>
                      <w:szCs w:val="21"/>
                    </w:rPr>
                    <w:t>300辆/a</w:t>
                  </w:r>
                </w:p>
              </w:tc>
              <w:tc>
                <w:tcPr>
                  <w:tcW w:w="691" w:type="pct"/>
                  <w:noWrap w:val="0"/>
                  <w:vAlign w:val="center"/>
                </w:tcPr>
                <w:p w14:paraId="2D7C0E6F">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rPr>
                    <w:t>120 t/a</w:t>
                  </w:r>
                </w:p>
              </w:tc>
              <w:tc>
                <w:tcPr>
                  <w:tcW w:w="1691" w:type="pct"/>
                  <w:noWrap w:val="0"/>
                  <w:vAlign w:val="center"/>
                </w:tcPr>
                <w:p w14:paraId="27DBF91B">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cs="Times New Roman"/>
                      <w:color w:val="auto"/>
                      <w:sz w:val="21"/>
                      <w:szCs w:val="21"/>
                      <w:highlight w:val="none"/>
                      <w:vertAlign w:val="baseline"/>
                      <w:lang w:eastAsia="zh-CN"/>
                    </w:rPr>
                  </w:pPr>
                  <w:r>
                    <w:rPr>
                      <w:rFonts w:hint="default" w:ascii="Times New Roman" w:hAnsi="Times New Roman" w:cs="Times New Roman"/>
                      <w:color w:val="auto"/>
                      <w:sz w:val="21"/>
                      <w:szCs w:val="21"/>
                    </w:rPr>
                    <w:t>0.4t/辆</w:t>
                  </w:r>
                </w:p>
              </w:tc>
            </w:tr>
            <w:tr w14:paraId="1B067A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23" w:hRule="atLeast"/>
                <w:jc w:val="center"/>
              </w:trPr>
              <w:tc>
                <w:tcPr>
                  <w:tcW w:w="734" w:type="pct"/>
                  <w:shd w:val="clear" w:color="auto" w:fill="auto"/>
                  <w:noWrap w:val="0"/>
                  <w:vAlign w:val="center"/>
                </w:tcPr>
                <w:p w14:paraId="4529E066">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4</w:t>
                  </w:r>
                </w:p>
              </w:tc>
              <w:tc>
                <w:tcPr>
                  <w:tcW w:w="1055" w:type="pct"/>
                  <w:shd w:val="clear" w:color="auto" w:fill="auto"/>
                  <w:noWrap w:val="0"/>
                  <w:vAlign w:val="center"/>
                </w:tcPr>
                <w:p w14:paraId="7438BFA4">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水稻插秧机</w:t>
                  </w:r>
                </w:p>
              </w:tc>
              <w:tc>
                <w:tcPr>
                  <w:tcW w:w="827" w:type="pct"/>
                  <w:noWrap w:val="0"/>
                  <w:vAlign w:val="center"/>
                </w:tcPr>
                <w:p w14:paraId="2E9F4F6E">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cs="Times New Roman"/>
                      <w:color w:val="auto"/>
                      <w:sz w:val="21"/>
                      <w:szCs w:val="21"/>
                      <w:highlight w:val="none"/>
                      <w:vertAlign w:val="baseline"/>
                      <w:lang w:eastAsia="zh-CN"/>
                    </w:rPr>
                  </w:pPr>
                  <w:r>
                    <w:rPr>
                      <w:rFonts w:hint="default" w:ascii="Times New Roman" w:hAnsi="Times New Roman" w:cs="Times New Roman"/>
                      <w:color w:val="auto"/>
                      <w:sz w:val="21"/>
                      <w:szCs w:val="21"/>
                    </w:rPr>
                    <w:t>200辆/a</w:t>
                  </w:r>
                </w:p>
              </w:tc>
              <w:tc>
                <w:tcPr>
                  <w:tcW w:w="691" w:type="pct"/>
                  <w:noWrap w:val="0"/>
                  <w:vAlign w:val="center"/>
                </w:tcPr>
                <w:p w14:paraId="7F3D3EF6">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cs="Times New Roman"/>
                      <w:color w:val="auto"/>
                      <w:sz w:val="21"/>
                      <w:szCs w:val="21"/>
                      <w:highlight w:val="none"/>
                      <w:vertAlign w:val="baseline"/>
                      <w:lang w:eastAsia="zh-CN"/>
                    </w:rPr>
                  </w:pPr>
                  <w:r>
                    <w:rPr>
                      <w:rFonts w:hint="default" w:ascii="Times New Roman" w:hAnsi="Times New Roman" w:cs="Times New Roman"/>
                      <w:color w:val="auto"/>
                      <w:sz w:val="21"/>
                      <w:szCs w:val="21"/>
                    </w:rPr>
                    <w:t>160 t/a</w:t>
                  </w:r>
                </w:p>
              </w:tc>
              <w:tc>
                <w:tcPr>
                  <w:tcW w:w="1691" w:type="pct"/>
                  <w:noWrap w:val="0"/>
                  <w:vAlign w:val="center"/>
                </w:tcPr>
                <w:p w14:paraId="2E5D4F9E">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cs="Times New Roman"/>
                      <w:color w:val="auto"/>
                      <w:sz w:val="21"/>
                      <w:szCs w:val="21"/>
                      <w:highlight w:val="none"/>
                      <w:vertAlign w:val="baseline"/>
                      <w:lang w:eastAsia="zh-CN"/>
                    </w:rPr>
                  </w:pPr>
                  <w:r>
                    <w:rPr>
                      <w:rFonts w:hint="default" w:ascii="Times New Roman" w:hAnsi="Times New Roman" w:cs="Times New Roman"/>
                      <w:color w:val="auto"/>
                      <w:sz w:val="21"/>
                      <w:szCs w:val="21"/>
                    </w:rPr>
                    <w:t>0.8t/辆</w:t>
                  </w:r>
                </w:p>
              </w:tc>
            </w:tr>
            <w:tr w14:paraId="21A9D6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23" w:hRule="atLeast"/>
                <w:jc w:val="center"/>
              </w:trPr>
              <w:tc>
                <w:tcPr>
                  <w:tcW w:w="734" w:type="pct"/>
                  <w:shd w:val="clear" w:color="auto" w:fill="auto"/>
                  <w:noWrap w:val="0"/>
                  <w:vAlign w:val="center"/>
                </w:tcPr>
                <w:p w14:paraId="09F09FDA">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5</w:t>
                  </w:r>
                </w:p>
              </w:tc>
              <w:tc>
                <w:tcPr>
                  <w:tcW w:w="1055" w:type="pct"/>
                  <w:shd w:val="clear" w:color="auto" w:fill="auto"/>
                  <w:noWrap w:val="0"/>
                  <w:vAlign w:val="center"/>
                </w:tcPr>
                <w:p w14:paraId="35CD54B5">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打捆机</w:t>
                  </w:r>
                </w:p>
              </w:tc>
              <w:tc>
                <w:tcPr>
                  <w:tcW w:w="827" w:type="pct"/>
                  <w:noWrap w:val="0"/>
                  <w:vAlign w:val="center"/>
                </w:tcPr>
                <w:p w14:paraId="457316D6">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cs="Times New Roman"/>
                      <w:color w:val="auto"/>
                      <w:sz w:val="21"/>
                      <w:szCs w:val="21"/>
                      <w:highlight w:val="none"/>
                      <w:vertAlign w:val="baseline"/>
                      <w:lang w:eastAsia="zh-CN"/>
                    </w:rPr>
                  </w:pPr>
                  <w:r>
                    <w:rPr>
                      <w:rFonts w:hint="default" w:ascii="Times New Roman" w:hAnsi="Times New Roman" w:cs="Times New Roman"/>
                      <w:color w:val="auto"/>
                      <w:sz w:val="21"/>
                      <w:szCs w:val="21"/>
                    </w:rPr>
                    <w:t>50辆/a</w:t>
                  </w:r>
                </w:p>
              </w:tc>
              <w:tc>
                <w:tcPr>
                  <w:tcW w:w="691" w:type="pct"/>
                  <w:noWrap w:val="0"/>
                  <w:vAlign w:val="center"/>
                </w:tcPr>
                <w:p w14:paraId="506C25A3">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cs="Times New Roman"/>
                      <w:color w:val="auto"/>
                      <w:sz w:val="21"/>
                      <w:szCs w:val="21"/>
                      <w:highlight w:val="none"/>
                      <w:vertAlign w:val="baseline"/>
                      <w:lang w:eastAsia="zh-CN"/>
                    </w:rPr>
                  </w:pPr>
                  <w:r>
                    <w:rPr>
                      <w:rFonts w:hint="default" w:ascii="Times New Roman" w:hAnsi="Times New Roman" w:cs="Times New Roman"/>
                      <w:color w:val="auto"/>
                      <w:sz w:val="21"/>
                      <w:szCs w:val="21"/>
                    </w:rPr>
                    <w:t>200t/a</w:t>
                  </w:r>
                </w:p>
              </w:tc>
              <w:tc>
                <w:tcPr>
                  <w:tcW w:w="1691" w:type="pct"/>
                  <w:noWrap w:val="0"/>
                  <w:vAlign w:val="center"/>
                </w:tcPr>
                <w:p w14:paraId="427B841C">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cs="Times New Roman"/>
                      <w:color w:val="auto"/>
                      <w:sz w:val="21"/>
                      <w:szCs w:val="21"/>
                      <w:highlight w:val="none"/>
                      <w:vertAlign w:val="baseline"/>
                      <w:lang w:eastAsia="zh-CN"/>
                    </w:rPr>
                  </w:pPr>
                  <w:r>
                    <w:rPr>
                      <w:rFonts w:hint="default" w:ascii="Times New Roman" w:hAnsi="Times New Roman" w:cs="Times New Roman"/>
                      <w:color w:val="auto"/>
                      <w:sz w:val="21"/>
                      <w:szCs w:val="21"/>
                    </w:rPr>
                    <w:t>4t/辆</w:t>
                  </w:r>
                </w:p>
              </w:tc>
            </w:tr>
            <w:tr w14:paraId="1F0DEF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23" w:hRule="atLeast"/>
                <w:jc w:val="center"/>
              </w:trPr>
              <w:tc>
                <w:tcPr>
                  <w:tcW w:w="734" w:type="pct"/>
                  <w:shd w:val="clear" w:color="auto" w:fill="auto"/>
                  <w:noWrap w:val="0"/>
                  <w:vAlign w:val="center"/>
                </w:tcPr>
                <w:p w14:paraId="542B530A">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6</w:t>
                  </w:r>
                </w:p>
              </w:tc>
              <w:tc>
                <w:tcPr>
                  <w:tcW w:w="1055" w:type="pct"/>
                  <w:shd w:val="clear" w:color="auto" w:fill="auto"/>
                  <w:noWrap w:val="0"/>
                  <w:vAlign w:val="center"/>
                </w:tcPr>
                <w:p w14:paraId="5F8C3526">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铧式犁</w:t>
                  </w:r>
                </w:p>
              </w:tc>
              <w:tc>
                <w:tcPr>
                  <w:tcW w:w="827" w:type="pct"/>
                  <w:noWrap w:val="0"/>
                  <w:vAlign w:val="center"/>
                </w:tcPr>
                <w:p w14:paraId="1745D59D">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rPr>
                    <w:t>150辆/a</w:t>
                  </w:r>
                </w:p>
              </w:tc>
              <w:tc>
                <w:tcPr>
                  <w:tcW w:w="691" w:type="pct"/>
                  <w:noWrap w:val="0"/>
                  <w:vAlign w:val="center"/>
                </w:tcPr>
                <w:p w14:paraId="6121A3F1">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rPr>
                    <w:t>75t/a</w:t>
                  </w:r>
                </w:p>
              </w:tc>
              <w:tc>
                <w:tcPr>
                  <w:tcW w:w="1691" w:type="pct"/>
                  <w:noWrap w:val="0"/>
                  <w:vAlign w:val="center"/>
                </w:tcPr>
                <w:p w14:paraId="365AC49C">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rPr>
                    <w:t>0.5</w:t>
                  </w:r>
                  <w:r>
                    <w:rPr>
                      <w:rFonts w:hint="default" w:ascii="Times New Roman" w:hAnsi="Times New Roman" w:cs="Times New Roman"/>
                      <w:color w:val="auto"/>
                      <w:sz w:val="21"/>
                      <w:szCs w:val="21"/>
                      <w:lang w:val="en-US" w:eastAsia="zh-CN"/>
                    </w:rPr>
                    <w:t>t</w:t>
                  </w:r>
                  <w:r>
                    <w:rPr>
                      <w:rFonts w:hint="default" w:ascii="Times New Roman" w:hAnsi="Times New Roman" w:cs="Times New Roman"/>
                      <w:color w:val="auto"/>
                      <w:sz w:val="21"/>
                      <w:szCs w:val="21"/>
                    </w:rPr>
                    <w:t>/辆</w:t>
                  </w:r>
                </w:p>
              </w:tc>
            </w:tr>
            <w:tr w14:paraId="7B1224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23" w:hRule="atLeast"/>
                <w:jc w:val="center"/>
              </w:trPr>
              <w:tc>
                <w:tcPr>
                  <w:tcW w:w="734" w:type="pct"/>
                  <w:shd w:val="clear" w:color="auto" w:fill="auto"/>
                  <w:noWrap w:val="0"/>
                  <w:vAlign w:val="center"/>
                </w:tcPr>
                <w:p w14:paraId="1DD55BEB">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合计</w:t>
                  </w:r>
                </w:p>
              </w:tc>
              <w:tc>
                <w:tcPr>
                  <w:tcW w:w="1055" w:type="pct"/>
                  <w:shd w:val="clear" w:color="auto" w:fill="auto"/>
                  <w:noWrap w:val="0"/>
                  <w:vAlign w:val="center"/>
                </w:tcPr>
                <w:p w14:paraId="7C02C1A9">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827" w:type="pct"/>
                  <w:noWrap w:val="0"/>
                  <w:vAlign w:val="center"/>
                </w:tcPr>
                <w:p w14:paraId="7BFC562C">
                  <w:pPr>
                    <w:overflowPunct w:val="0"/>
                    <w:topLinePunct/>
                    <w:autoSpaceDE w:val="0"/>
                    <w:autoSpaceDN w:val="0"/>
                    <w:spacing w:line="240" w:lineRule="auto"/>
                    <w:ind w:firstLine="0" w:firstLineChars="0"/>
                    <w:jc w:val="center"/>
                    <w:rPr>
                      <w:rFonts w:hint="default" w:ascii="Times New Roman" w:hAnsi="Times New Roman" w:cs="Times New Roman"/>
                      <w:color w:val="auto"/>
                      <w:sz w:val="21"/>
                      <w:szCs w:val="21"/>
                    </w:rPr>
                  </w:pPr>
                  <w:r>
                    <w:rPr>
                      <w:rFonts w:hint="eastAsia" w:ascii="Times New Roman" w:hAnsi="Times New Roman"/>
                      <w:color w:val="auto"/>
                      <w:sz w:val="21"/>
                      <w:szCs w:val="21"/>
                    </w:rPr>
                    <w:t>2</w:t>
                  </w:r>
                  <w:r>
                    <w:rPr>
                      <w:rFonts w:ascii="Times New Roman" w:hAnsi="Times New Roman"/>
                      <w:color w:val="auto"/>
                      <w:sz w:val="21"/>
                      <w:szCs w:val="21"/>
                    </w:rPr>
                    <w:t>000辆/a</w:t>
                  </w:r>
                </w:p>
              </w:tc>
              <w:tc>
                <w:tcPr>
                  <w:tcW w:w="691" w:type="pct"/>
                  <w:noWrap w:val="0"/>
                  <w:vAlign w:val="center"/>
                </w:tcPr>
                <w:p w14:paraId="3475E182">
                  <w:pPr>
                    <w:overflowPunct w:val="0"/>
                    <w:topLinePunct/>
                    <w:autoSpaceDE w:val="0"/>
                    <w:autoSpaceDN w:val="0"/>
                    <w:spacing w:line="240" w:lineRule="auto"/>
                    <w:ind w:firstLine="0" w:firstLineChars="0"/>
                    <w:jc w:val="center"/>
                    <w:rPr>
                      <w:rFonts w:hint="default" w:ascii="Times New Roman" w:hAnsi="Times New Roman" w:cs="Times New Roman"/>
                      <w:color w:val="auto"/>
                      <w:sz w:val="21"/>
                      <w:szCs w:val="21"/>
                    </w:rPr>
                  </w:pPr>
                  <w:r>
                    <w:rPr>
                      <w:rFonts w:ascii="Times New Roman" w:hAnsi="Times New Roman"/>
                      <w:color w:val="auto"/>
                      <w:sz w:val="21"/>
                      <w:szCs w:val="21"/>
                    </w:rPr>
                    <w:t>4755t/a</w:t>
                  </w:r>
                </w:p>
              </w:tc>
              <w:tc>
                <w:tcPr>
                  <w:tcW w:w="1691" w:type="pct"/>
                  <w:noWrap w:val="0"/>
                  <w:vAlign w:val="center"/>
                </w:tcPr>
                <w:p w14:paraId="3ACF28B3">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r w14:paraId="02DB24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23" w:hRule="atLeast"/>
                <w:jc w:val="center"/>
              </w:trPr>
              <w:tc>
                <w:tcPr>
                  <w:tcW w:w="734" w:type="pct"/>
                  <w:noWrap w:val="0"/>
                  <w:vAlign w:val="center"/>
                </w:tcPr>
                <w:p w14:paraId="1EB2BAF3">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7</w:t>
                  </w:r>
                </w:p>
              </w:tc>
              <w:tc>
                <w:tcPr>
                  <w:tcW w:w="1055" w:type="pct"/>
                  <w:noWrap w:val="0"/>
                  <w:vAlign w:val="center"/>
                </w:tcPr>
                <w:p w14:paraId="54275241">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rPr>
                    <w:t>乙炔</w:t>
                  </w:r>
                </w:p>
              </w:tc>
              <w:tc>
                <w:tcPr>
                  <w:tcW w:w="827" w:type="pct"/>
                  <w:noWrap w:val="0"/>
                  <w:vAlign w:val="center"/>
                </w:tcPr>
                <w:p w14:paraId="3155CFA8">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100钢瓶/a</w:t>
                  </w:r>
                </w:p>
                <w:p w14:paraId="71DEC5CB">
                  <w:pPr>
                    <w:pStyle w:val="42"/>
                    <w:keepNext w:val="0"/>
                    <w:keepLines w:val="0"/>
                    <w:pageBreakBefore w:val="0"/>
                    <w:widowControl w:val="0"/>
                    <w:kinsoku/>
                    <w:wordWrap/>
                    <w:bidi w:val="0"/>
                    <w:spacing w:line="240" w:lineRule="auto"/>
                    <w:ind w:firstLine="0"/>
                    <w:jc w:val="center"/>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lang w:eastAsia="zh-CN"/>
                    </w:rPr>
                    <w:t>（</w:t>
                  </w:r>
                  <w:r>
                    <w:rPr>
                      <w:rFonts w:hint="default" w:ascii="Times New Roman" w:hAnsi="Times New Roman" w:cs="Times New Roman"/>
                      <w:color w:val="auto"/>
                    </w:rPr>
                    <w:t>0.6t/a</w:t>
                  </w:r>
                  <w:r>
                    <w:rPr>
                      <w:rFonts w:hint="eastAsia" w:ascii="Times New Roman" w:hAnsi="Times New Roman" w:cs="Times New Roman"/>
                      <w:color w:val="auto"/>
                      <w:lang w:eastAsia="zh-CN"/>
                    </w:rPr>
                    <w:t>）</w:t>
                  </w:r>
                </w:p>
              </w:tc>
              <w:tc>
                <w:tcPr>
                  <w:tcW w:w="691" w:type="pct"/>
                  <w:noWrap w:val="0"/>
                  <w:vAlign w:val="center"/>
                </w:tcPr>
                <w:p w14:paraId="10DFC2AE">
                  <w:pPr>
                    <w:pStyle w:val="42"/>
                    <w:keepNext w:val="0"/>
                    <w:keepLines w:val="0"/>
                    <w:pageBreakBefore w:val="0"/>
                    <w:widowControl w:val="0"/>
                    <w:kinsoku/>
                    <w:wordWrap/>
                    <w:bidi w:val="0"/>
                    <w:spacing w:line="240" w:lineRule="auto"/>
                    <w:ind w:firstLine="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rPr>
                    <w:t>/</w:t>
                  </w:r>
                </w:p>
              </w:tc>
              <w:tc>
                <w:tcPr>
                  <w:tcW w:w="1691" w:type="pct"/>
                  <w:noWrap w:val="0"/>
                  <w:vAlign w:val="center"/>
                </w:tcPr>
                <w:p w14:paraId="39E12B2D">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rPr>
                    <w:t>6kg/瓶，由厂家定时送入，车间一次最大存储量为5瓶</w:t>
                  </w:r>
                </w:p>
              </w:tc>
            </w:tr>
            <w:tr w14:paraId="6D3ADF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23" w:hRule="atLeast"/>
                <w:jc w:val="center"/>
              </w:trPr>
              <w:tc>
                <w:tcPr>
                  <w:tcW w:w="734" w:type="pct"/>
                  <w:noWrap w:val="0"/>
                  <w:vAlign w:val="center"/>
                </w:tcPr>
                <w:p w14:paraId="0050B999">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8</w:t>
                  </w:r>
                </w:p>
              </w:tc>
              <w:tc>
                <w:tcPr>
                  <w:tcW w:w="1055" w:type="pct"/>
                  <w:noWrap w:val="0"/>
                  <w:vAlign w:val="center"/>
                </w:tcPr>
                <w:p w14:paraId="320162AC">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rPr>
                    <w:t>氧气</w:t>
                  </w:r>
                </w:p>
              </w:tc>
              <w:tc>
                <w:tcPr>
                  <w:tcW w:w="827" w:type="pct"/>
                  <w:noWrap w:val="0"/>
                  <w:vAlign w:val="center"/>
                </w:tcPr>
                <w:p w14:paraId="27B4C868">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eastAsia"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rPr>
                    <w:t>300瓶/a（0.9</w:t>
                  </w:r>
                  <w:r>
                    <w:rPr>
                      <w:rFonts w:hint="default" w:ascii="Times New Roman" w:hAnsi="Times New Roman" w:cs="Times New Roman"/>
                      <w:color w:val="auto"/>
                    </w:rPr>
                    <w:t>t/a</w:t>
                  </w:r>
                  <w:r>
                    <w:rPr>
                      <w:rFonts w:hint="eastAsia" w:cs="Times New Roman"/>
                      <w:color w:val="auto"/>
                      <w:lang w:eastAsia="zh-CN"/>
                    </w:rPr>
                    <w:t>）</w:t>
                  </w:r>
                </w:p>
              </w:tc>
              <w:tc>
                <w:tcPr>
                  <w:tcW w:w="691" w:type="pct"/>
                  <w:noWrap w:val="0"/>
                  <w:vAlign w:val="center"/>
                </w:tcPr>
                <w:p w14:paraId="607EE708">
                  <w:pPr>
                    <w:keepNext w:val="0"/>
                    <w:keepLines w:val="0"/>
                    <w:pageBreakBefore w:val="0"/>
                    <w:widowControl w:val="0"/>
                    <w:kinsoku/>
                    <w:wordWrap/>
                    <w:overflowPunct w:val="0"/>
                    <w:topLinePunct/>
                    <w:autoSpaceDE w:val="0"/>
                    <w:autoSpaceDN w:val="0"/>
                    <w:bidi w:val="0"/>
                    <w:spacing w:line="240" w:lineRule="auto"/>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rPr>
                    <w:t>/</w:t>
                  </w:r>
                </w:p>
              </w:tc>
              <w:tc>
                <w:tcPr>
                  <w:tcW w:w="1691" w:type="pct"/>
                  <w:noWrap w:val="0"/>
                  <w:vAlign w:val="center"/>
                </w:tcPr>
                <w:p w14:paraId="5E069CE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rPr>
                    <w:t>6kg/瓶，由厂家定时送入，车间一次最大存储量为19瓶</w:t>
                  </w:r>
                </w:p>
              </w:tc>
            </w:tr>
          </w:tbl>
          <w:p w14:paraId="39639D6E">
            <w:pPr>
              <w:widowControl/>
              <w:spacing w:line="360" w:lineRule="auto"/>
              <w:ind w:firstLine="480" w:firstLineChars="200"/>
              <w:jc w:val="left"/>
              <w:rPr>
                <w:color w:val="auto"/>
                <w:sz w:val="24"/>
              </w:rPr>
            </w:pPr>
            <w:r>
              <w:rPr>
                <w:rFonts w:hint="eastAsia"/>
                <w:color w:val="auto"/>
                <w:sz w:val="24"/>
              </w:rPr>
              <w:t>乙炔：乙炔为无色无味的易燃气体。而电石制的乙炔因混有硫化氢H</w:t>
            </w:r>
            <w:r>
              <w:rPr>
                <w:color w:val="auto"/>
                <w:sz w:val="24"/>
              </w:rPr>
              <w:t>2S、磷化氢PH</w:t>
            </w:r>
            <w:r>
              <w:rPr>
                <w:color w:val="auto"/>
                <w:sz w:val="24"/>
                <w:vertAlign w:val="subscript"/>
              </w:rPr>
              <w:t>3</w:t>
            </w:r>
            <w:r>
              <w:rPr>
                <w:color w:val="auto"/>
                <w:sz w:val="24"/>
              </w:rPr>
              <w:t>、砷化氢而有毒，并且带有特殊的臭味。熔点-81.8°C（198K，升华），沸点-84°C，相对密度0.6208（-82/4℃），闪点（开杯）-17.78℃，自燃点305℃。在空气中爆炸极限2.3%-72.3%（vol）。在液态和固态下或在气态和一定压力下有猛烈爆炸的危险，受热、震动、电火花等因素都可以引发爆炸，因此不能在加压液化后贮存或运输。微溶于水，溶于乙醇、苯、丙酮。在15℃和1.5MPa时，乙炔在丙酮中的溶解度为237g/L，溶液是稳定的。</w:t>
            </w:r>
            <w:r>
              <w:rPr>
                <w:rFonts w:hint="eastAsia"/>
                <w:color w:val="auto"/>
                <w:sz w:val="24"/>
              </w:rPr>
              <w:t>乙炔（acetylene）最简单的炔烃，又称电石气。结构式H-C≡C-H，结构简式CH≡CH，最简式（又称实验式）CH，分子式C</w:t>
            </w:r>
            <w:r>
              <w:rPr>
                <w:color w:val="auto"/>
                <w:sz w:val="24"/>
                <w:vertAlign w:val="subscript"/>
              </w:rPr>
              <w:t>2</w:t>
            </w:r>
            <w:r>
              <w:rPr>
                <w:color w:val="auto"/>
                <w:sz w:val="24"/>
              </w:rPr>
              <w:t>H</w:t>
            </w:r>
            <w:r>
              <w:rPr>
                <w:color w:val="auto"/>
                <w:sz w:val="24"/>
                <w:vertAlign w:val="subscript"/>
              </w:rPr>
              <w:t>2</w:t>
            </w:r>
            <w:r>
              <w:rPr>
                <w:color w:val="auto"/>
                <w:sz w:val="24"/>
              </w:rPr>
              <w:t>，乙炔中心C原子采用sp杂化。电子式H：C┇┇C：H乙炔分子量26.04，气体比重0.91（kg/m</w:t>
            </w:r>
            <w:r>
              <w:rPr>
                <w:color w:val="auto"/>
                <w:sz w:val="24"/>
                <w:vertAlign w:val="superscript"/>
              </w:rPr>
              <w:t>3</w:t>
            </w:r>
            <w:r>
              <w:rPr>
                <w:color w:val="auto"/>
                <w:sz w:val="24"/>
              </w:rPr>
              <w:t>），火焰温度3150℃，热值12800（kcal/m</w:t>
            </w:r>
            <w:r>
              <w:rPr>
                <w:color w:val="auto"/>
                <w:sz w:val="24"/>
                <w:vertAlign w:val="superscript"/>
              </w:rPr>
              <w:t>3</w:t>
            </w:r>
            <w:r>
              <w:rPr>
                <w:color w:val="auto"/>
                <w:sz w:val="24"/>
              </w:rPr>
              <w:t>）在氧气中燃烧速度7.5，纯乙炔在空气中燃烧2100度左右，在氧气中燃烧可达3600度。化学性质很活泼，能起加成、氧化、聚合及金属取代等反应。</w:t>
            </w:r>
          </w:p>
          <w:p w14:paraId="7BA8F949">
            <w:pPr>
              <w:keepNext w:val="0"/>
              <w:keepLines w:val="0"/>
              <w:suppressLineNumbers w:val="0"/>
              <w:adjustRightInd w:val="0"/>
              <w:snapToGrid w:val="0"/>
              <w:spacing w:before="0" w:beforeAutospacing="0" w:after="0" w:afterAutospacing="0" w:line="360" w:lineRule="auto"/>
              <w:ind w:left="0" w:right="0" w:firstLine="480" w:firstLineChars="200"/>
              <w:rPr>
                <w:rFonts w:hint="eastAsia"/>
                <w:b/>
                <w:color w:val="auto"/>
                <w:sz w:val="24"/>
                <w:highlight w:val="none"/>
                <w:lang w:val="en-US" w:eastAsia="zh-CN"/>
              </w:rPr>
            </w:pPr>
            <w:r>
              <w:rPr>
                <w:rFonts w:hint="eastAsia"/>
                <w:color w:val="auto"/>
                <w:sz w:val="24"/>
              </w:rPr>
              <w:t>氧气：无色无味气体，熔点-218.8℃，沸点-183.1℃，相对密度1.14（-183℃，水=1），相对蒸气密度1.11（空气=1）</w:t>
            </w:r>
            <w:r>
              <w:rPr>
                <w:color w:val="auto"/>
                <w:sz w:val="24"/>
              </w:rPr>
              <w:t>，</w:t>
            </w:r>
            <w:r>
              <w:rPr>
                <w:color w:val="auto"/>
              </w:rPr>
              <w:fldChar w:fldCharType="begin"/>
            </w:r>
            <w:r>
              <w:rPr>
                <w:color w:val="auto"/>
              </w:rPr>
              <w:instrText xml:space="preserve"> HYPERLINK "https://baike.baidu.com/item/%E9%A5%B1%E5%92%8C%E8%92%B8%E6%B0%94%E5%8E%8B" \t "https://baike.baidu.com/item/%E6%B0%A7%E6%B0%94/_blank" </w:instrText>
            </w:r>
            <w:r>
              <w:rPr>
                <w:color w:val="auto"/>
              </w:rPr>
              <w:fldChar w:fldCharType="separate"/>
            </w:r>
            <w:r>
              <w:rPr>
                <w:color w:val="auto"/>
                <w:sz w:val="24"/>
              </w:rPr>
              <w:t>饱和蒸气压</w:t>
            </w:r>
            <w:r>
              <w:rPr>
                <w:color w:val="auto"/>
                <w:sz w:val="24"/>
              </w:rPr>
              <w:fldChar w:fldCharType="end"/>
            </w:r>
            <w:r>
              <w:rPr>
                <w:color w:val="auto"/>
                <w:sz w:val="24"/>
              </w:rPr>
              <w:t>506.62kPa（-164℃），</w:t>
            </w:r>
            <w:r>
              <w:rPr>
                <w:color w:val="auto"/>
              </w:rPr>
              <w:fldChar w:fldCharType="begin"/>
            </w:r>
            <w:r>
              <w:rPr>
                <w:color w:val="auto"/>
              </w:rPr>
              <w:instrText xml:space="preserve"> HYPERLINK "https://baike.baidu.com/item/%E4%B8%B4%E7%95%8C%E6%B8%A9%E5%BA%A6/22831" \t "https://baike.baidu.com/item/%E6%B0%A7%E6%B0%94/_blank" </w:instrText>
            </w:r>
            <w:r>
              <w:rPr>
                <w:color w:val="auto"/>
              </w:rPr>
              <w:fldChar w:fldCharType="separate"/>
            </w:r>
            <w:r>
              <w:rPr>
                <w:color w:val="auto"/>
                <w:sz w:val="24"/>
              </w:rPr>
              <w:t>临界温度</w:t>
            </w:r>
            <w:r>
              <w:rPr>
                <w:color w:val="auto"/>
                <w:sz w:val="24"/>
              </w:rPr>
              <w:fldChar w:fldCharType="end"/>
            </w:r>
            <w:r>
              <w:rPr>
                <w:color w:val="auto"/>
                <w:sz w:val="24"/>
              </w:rPr>
              <w:t>-118.95℃，</w:t>
            </w:r>
            <w:r>
              <w:rPr>
                <w:color w:val="auto"/>
              </w:rPr>
              <w:fldChar w:fldCharType="begin"/>
            </w:r>
            <w:r>
              <w:rPr>
                <w:color w:val="auto"/>
              </w:rPr>
              <w:instrText xml:space="preserve"> HYPERLINK "https://baike.baidu.com/item/%E4%B8%B4%E7%95%8C%E5%8E%8B%E5%8A%9B" \t "https://baike.baidu.com/item/%E6%B0%A7%E6%B0%94/_blank" </w:instrText>
            </w:r>
            <w:r>
              <w:rPr>
                <w:color w:val="auto"/>
              </w:rPr>
              <w:fldChar w:fldCharType="separate"/>
            </w:r>
            <w:r>
              <w:rPr>
                <w:color w:val="auto"/>
                <w:sz w:val="24"/>
              </w:rPr>
              <w:t>临界压力</w:t>
            </w:r>
            <w:r>
              <w:rPr>
                <w:color w:val="auto"/>
                <w:sz w:val="24"/>
              </w:rPr>
              <w:fldChar w:fldCharType="end"/>
            </w:r>
            <w:r>
              <w:rPr>
                <w:color w:val="auto"/>
                <w:sz w:val="24"/>
              </w:rPr>
              <w:t>5.08MPa，辛醇/水分配系数：0.65。大气中体积分数：20.95%（约21%）。</w:t>
            </w:r>
            <w:r>
              <w:rPr>
                <w:rFonts w:hint="eastAsia"/>
                <w:color w:val="auto"/>
                <w:sz w:val="24"/>
              </w:rPr>
              <w:t>氧气的化学性质比较活泼。除了</w:t>
            </w:r>
            <w:r>
              <w:rPr>
                <w:color w:val="auto"/>
              </w:rPr>
              <w:fldChar w:fldCharType="begin"/>
            </w:r>
            <w:r>
              <w:rPr>
                <w:color w:val="auto"/>
              </w:rPr>
              <w:instrText xml:space="preserve"> HYPERLINK "https://baike.baidu.com/item/%E7%A8%80%E6%9C%89%E6%B0%94%E4%BD%93" \t "https://baike.baidu.com/item/%E6%B0%A7%E6%B0%94/_blank" </w:instrText>
            </w:r>
            <w:r>
              <w:rPr>
                <w:color w:val="auto"/>
              </w:rPr>
              <w:fldChar w:fldCharType="separate"/>
            </w:r>
            <w:r>
              <w:rPr>
                <w:color w:val="auto"/>
                <w:sz w:val="24"/>
              </w:rPr>
              <w:t>稀有气体</w:t>
            </w:r>
            <w:r>
              <w:rPr>
                <w:color w:val="auto"/>
                <w:sz w:val="24"/>
              </w:rPr>
              <w:fldChar w:fldCharType="end"/>
            </w:r>
            <w:r>
              <w:rPr>
                <w:color w:val="auto"/>
                <w:sz w:val="24"/>
              </w:rPr>
              <w:t>、活性小的</w:t>
            </w:r>
            <w:r>
              <w:rPr>
                <w:color w:val="auto"/>
              </w:rPr>
              <w:fldChar w:fldCharType="begin"/>
            </w:r>
            <w:r>
              <w:rPr>
                <w:color w:val="auto"/>
              </w:rPr>
              <w:instrText xml:space="preserve"> HYPERLINK "https://baike.baidu.com/item/%E9%87%91%E5%B1%9E%E5%85%83%E7%B4%A0" \t "https://baike.baidu.com/item/%E6%B0%A7%E6%B0%94/_blank" </w:instrText>
            </w:r>
            <w:r>
              <w:rPr>
                <w:color w:val="auto"/>
              </w:rPr>
              <w:fldChar w:fldCharType="separate"/>
            </w:r>
            <w:r>
              <w:rPr>
                <w:color w:val="auto"/>
                <w:sz w:val="24"/>
              </w:rPr>
              <w:t>金属元素</w:t>
            </w:r>
            <w:r>
              <w:rPr>
                <w:color w:val="auto"/>
                <w:sz w:val="24"/>
              </w:rPr>
              <w:fldChar w:fldCharType="end"/>
            </w:r>
            <w:r>
              <w:rPr>
                <w:color w:val="auto"/>
                <w:sz w:val="24"/>
              </w:rPr>
              <w:t>如</w:t>
            </w:r>
            <w:r>
              <w:rPr>
                <w:color w:val="auto"/>
              </w:rPr>
              <w:fldChar w:fldCharType="begin"/>
            </w:r>
            <w:r>
              <w:rPr>
                <w:color w:val="auto"/>
              </w:rPr>
              <w:instrText xml:space="preserve"> HYPERLINK "https://baike.baidu.com/item/%E9%87%91/8243" \t "https://baike.baidu.com/item/%E6%B0%A7%E6%B0%94/_blank" </w:instrText>
            </w:r>
            <w:r>
              <w:rPr>
                <w:color w:val="auto"/>
              </w:rPr>
              <w:fldChar w:fldCharType="separate"/>
            </w:r>
            <w:r>
              <w:rPr>
                <w:color w:val="auto"/>
                <w:sz w:val="24"/>
              </w:rPr>
              <w:t>金</w:t>
            </w:r>
            <w:r>
              <w:rPr>
                <w:color w:val="auto"/>
                <w:sz w:val="24"/>
              </w:rPr>
              <w:fldChar w:fldCharType="end"/>
            </w:r>
            <w:r>
              <w:rPr>
                <w:color w:val="auto"/>
                <w:sz w:val="24"/>
              </w:rPr>
              <w:t>、</w:t>
            </w:r>
            <w:r>
              <w:rPr>
                <w:color w:val="auto"/>
              </w:rPr>
              <w:fldChar w:fldCharType="begin"/>
            </w:r>
            <w:r>
              <w:rPr>
                <w:color w:val="auto"/>
              </w:rPr>
              <w:instrText xml:space="preserve"> HYPERLINK "https://baike.baidu.com/item/%E9%93%82/3593455" \t "https://baike.baidu.com/item/%E6%B0%A7%E6%B0%94/_blank" </w:instrText>
            </w:r>
            <w:r>
              <w:rPr>
                <w:color w:val="auto"/>
              </w:rPr>
              <w:fldChar w:fldCharType="separate"/>
            </w:r>
            <w:r>
              <w:rPr>
                <w:color w:val="auto"/>
                <w:sz w:val="24"/>
              </w:rPr>
              <w:t>铂</w:t>
            </w:r>
            <w:r>
              <w:rPr>
                <w:color w:val="auto"/>
                <w:sz w:val="24"/>
              </w:rPr>
              <w:fldChar w:fldCharType="end"/>
            </w:r>
            <w:r>
              <w:rPr>
                <w:color w:val="auto"/>
                <w:sz w:val="24"/>
              </w:rPr>
              <w:t>、银之外，大部分的元素都能与氧气反应，这些反应称为氧化反应，而经过反应产生的化合物（有两种元素构成，且一种元素为氧元素）称为</w:t>
            </w:r>
            <w:r>
              <w:rPr>
                <w:color w:val="auto"/>
              </w:rPr>
              <w:fldChar w:fldCharType="begin"/>
            </w:r>
            <w:r>
              <w:rPr>
                <w:color w:val="auto"/>
              </w:rPr>
              <w:instrText xml:space="preserve"> HYPERLINK "https://baike.baidu.com/item/%E6%B0%A7%E5%8C%96%E7%89%A9/273048" \t "https://baike.baidu.com/item/%E6%B0%A7%E6%B0%94/_blank" </w:instrText>
            </w:r>
            <w:r>
              <w:rPr>
                <w:color w:val="auto"/>
              </w:rPr>
              <w:fldChar w:fldCharType="separate"/>
            </w:r>
            <w:r>
              <w:rPr>
                <w:color w:val="auto"/>
                <w:sz w:val="24"/>
              </w:rPr>
              <w:t>氧化物</w:t>
            </w:r>
            <w:r>
              <w:rPr>
                <w:color w:val="auto"/>
                <w:sz w:val="24"/>
              </w:rPr>
              <w:fldChar w:fldCharType="end"/>
            </w:r>
            <w:r>
              <w:rPr>
                <w:color w:val="auto"/>
                <w:sz w:val="24"/>
              </w:rPr>
              <w:t>。一般而言，</w:t>
            </w:r>
            <w:r>
              <w:rPr>
                <w:color w:val="auto"/>
              </w:rPr>
              <w:fldChar w:fldCharType="begin"/>
            </w:r>
            <w:r>
              <w:rPr>
                <w:color w:val="auto"/>
              </w:rPr>
              <w:instrText xml:space="preserve"> HYPERLINK "https://baike.baidu.com/item/%E9%9D%9E%E9%87%91%E5%B1%9E%E6%B0%A7%E5%8C%96%E7%89%A9" \t "https://baike.baidu.com/item/%E6%B0%A7%E6%B0%94/_blank" </w:instrText>
            </w:r>
            <w:r>
              <w:rPr>
                <w:color w:val="auto"/>
              </w:rPr>
              <w:fldChar w:fldCharType="separate"/>
            </w:r>
            <w:r>
              <w:rPr>
                <w:color w:val="auto"/>
                <w:sz w:val="24"/>
              </w:rPr>
              <w:t>非金属氧化物</w:t>
            </w:r>
            <w:r>
              <w:rPr>
                <w:color w:val="auto"/>
                <w:sz w:val="24"/>
              </w:rPr>
              <w:fldChar w:fldCharType="end"/>
            </w:r>
            <w:r>
              <w:rPr>
                <w:color w:val="auto"/>
                <w:sz w:val="24"/>
              </w:rPr>
              <w:t>的水溶液呈酸性，而碱金属或碱土金属氧化物则为碱性。此外，几乎所有的有机化合物，可在氧中剧烈燃烧生成二氧化碳与水。化学上曾将物质与氧气发生的化学反应定义为氧化反应，氧化还原反应指发生</w:t>
            </w:r>
            <w:r>
              <w:rPr>
                <w:color w:val="auto"/>
              </w:rPr>
              <w:fldChar w:fldCharType="begin"/>
            </w:r>
            <w:r>
              <w:rPr>
                <w:color w:val="auto"/>
              </w:rPr>
              <w:instrText xml:space="preserve"> HYPERLINK "https://baike.baidu.com/item/%E7%94%B5%E5%AD%90%E8%BD%AC%E7%A7%BB/12729605" \t "https://baike.baidu.com/item/%E6%B0%A7%E6%B0%94/_blank" </w:instrText>
            </w:r>
            <w:r>
              <w:rPr>
                <w:color w:val="auto"/>
              </w:rPr>
              <w:fldChar w:fldCharType="separate"/>
            </w:r>
            <w:r>
              <w:rPr>
                <w:color w:val="auto"/>
                <w:sz w:val="24"/>
              </w:rPr>
              <w:t>电子转移</w:t>
            </w:r>
            <w:r>
              <w:rPr>
                <w:color w:val="auto"/>
                <w:sz w:val="24"/>
              </w:rPr>
              <w:fldChar w:fldCharType="end"/>
            </w:r>
            <w:r>
              <w:rPr>
                <w:color w:val="auto"/>
                <w:sz w:val="24"/>
              </w:rPr>
              <w:t>或偏移的反应。氧气具有</w:t>
            </w:r>
            <w:r>
              <w:rPr>
                <w:color w:val="auto"/>
              </w:rPr>
              <w:fldChar w:fldCharType="begin"/>
            </w:r>
            <w:r>
              <w:rPr>
                <w:color w:val="auto"/>
              </w:rPr>
              <w:instrText xml:space="preserve"> HYPERLINK "https://baike.baidu.com/item/%E5%8A%A9%E7%87%83%E6%80%A7/4572136" \t "https://baike.baidu.com/item/%E6%B0%A7%E6%B0%94/_blank" </w:instrText>
            </w:r>
            <w:r>
              <w:rPr>
                <w:color w:val="auto"/>
              </w:rPr>
              <w:fldChar w:fldCharType="separate"/>
            </w:r>
            <w:r>
              <w:rPr>
                <w:color w:val="auto"/>
                <w:sz w:val="24"/>
              </w:rPr>
              <w:t>助燃性</w:t>
            </w:r>
            <w:r>
              <w:rPr>
                <w:color w:val="auto"/>
                <w:sz w:val="24"/>
              </w:rPr>
              <w:fldChar w:fldCharType="end"/>
            </w:r>
            <w:r>
              <w:rPr>
                <w:color w:val="auto"/>
                <w:sz w:val="24"/>
              </w:rPr>
              <w:t>，</w:t>
            </w:r>
            <w:r>
              <w:rPr>
                <w:color w:val="auto"/>
              </w:rPr>
              <w:fldChar w:fldCharType="begin"/>
            </w:r>
            <w:r>
              <w:rPr>
                <w:color w:val="auto"/>
              </w:rPr>
              <w:instrText xml:space="preserve"> HYPERLINK "https://baike.baidu.com/item/%E6%B0%A7%E5%8C%96%E6%80%A7/4826093" \t "https://baike.baidu.com/item/%E6%B0%A7%E6%B0%94/_blank" </w:instrText>
            </w:r>
            <w:r>
              <w:rPr>
                <w:color w:val="auto"/>
              </w:rPr>
              <w:fldChar w:fldCharType="separate"/>
            </w:r>
            <w:r>
              <w:rPr>
                <w:color w:val="auto"/>
                <w:sz w:val="24"/>
              </w:rPr>
              <w:t>氧化性</w:t>
            </w:r>
            <w:r>
              <w:rPr>
                <w:color w:val="auto"/>
                <w:sz w:val="24"/>
              </w:rPr>
              <w:fldChar w:fldCharType="end"/>
            </w:r>
            <w:r>
              <w:rPr>
                <w:color w:val="auto"/>
                <w:sz w:val="24"/>
              </w:rPr>
              <w:t>。</w:t>
            </w:r>
          </w:p>
          <w:p w14:paraId="3D91E897">
            <w:pPr>
              <w:keepNext w:val="0"/>
              <w:keepLines w:val="0"/>
              <w:suppressLineNumbers w:val="0"/>
              <w:adjustRightInd w:val="0"/>
              <w:snapToGrid w:val="0"/>
              <w:spacing w:before="0" w:beforeAutospacing="0" w:after="0" w:afterAutospacing="0" w:line="360" w:lineRule="auto"/>
              <w:ind w:left="0" w:right="0" w:firstLine="482" w:firstLineChars="200"/>
              <w:rPr>
                <w:rFonts w:hint="default" w:eastAsia="宋体"/>
                <w:color w:val="auto"/>
                <w:sz w:val="24"/>
                <w:highlight w:val="none"/>
              </w:rPr>
            </w:pPr>
            <w:r>
              <w:rPr>
                <w:rFonts w:hint="eastAsia"/>
                <w:b/>
                <w:color w:val="auto"/>
                <w:sz w:val="24"/>
                <w:highlight w:val="none"/>
                <w:lang w:val="en-US" w:eastAsia="zh-CN"/>
              </w:rPr>
              <w:t>6</w:t>
            </w:r>
            <w:r>
              <w:rPr>
                <w:rFonts w:hint="default" w:eastAsia="宋体"/>
                <w:b/>
                <w:color w:val="auto"/>
                <w:sz w:val="24"/>
                <w:highlight w:val="none"/>
              </w:rPr>
              <w:t>、主要产品方案</w:t>
            </w:r>
          </w:p>
          <w:p w14:paraId="1A80B06D">
            <w:pPr>
              <w:pStyle w:val="42"/>
              <w:spacing w:line="360" w:lineRule="auto"/>
              <w:ind w:firstLine="480" w:firstLineChars="200"/>
              <w:jc w:val="both"/>
              <w:rPr>
                <w:rFonts w:hint="eastAsia" w:ascii="Times New Roman"/>
                <w:snapToGrid w:val="0"/>
                <w:color w:val="auto"/>
              </w:rPr>
            </w:pPr>
            <w:r>
              <w:rPr>
                <w:rFonts w:hint="eastAsia" w:ascii="Times New Roman"/>
                <w:snapToGrid w:val="0"/>
                <w:color w:val="auto"/>
              </w:rPr>
              <w:t>本项目年回收拆解报废农机</w:t>
            </w:r>
            <w:r>
              <w:rPr>
                <w:rFonts w:hint="eastAsia" w:ascii="Times New Roman"/>
                <w:snapToGrid w:val="0"/>
                <w:color w:val="auto"/>
                <w:lang w:val="en-US" w:eastAsia="zh-CN"/>
              </w:rPr>
              <w:t>2</w:t>
            </w:r>
            <w:r>
              <w:rPr>
                <w:rFonts w:hint="eastAsia" w:ascii="Times New Roman"/>
                <w:snapToGrid w:val="0"/>
                <w:color w:val="auto"/>
              </w:rPr>
              <w:t>000台，报废农机拆解产物主要为农机的外部金属部件及机架类</w:t>
            </w:r>
            <w:r>
              <w:rPr>
                <w:rFonts w:hint="eastAsia" w:ascii="Times New Roman"/>
                <w:snapToGrid w:val="0"/>
                <w:color w:val="auto"/>
                <w:lang w:eastAsia="zh-CN"/>
              </w:rPr>
              <w:t>；</w:t>
            </w:r>
            <w:r>
              <w:rPr>
                <w:rFonts w:hint="eastAsia" w:ascii="Times New Roman"/>
                <w:snapToGrid w:val="0"/>
                <w:color w:val="auto"/>
              </w:rPr>
              <w:t>非金属类</w:t>
            </w:r>
            <w:r>
              <w:rPr>
                <w:rFonts w:hint="eastAsia" w:ascii="Times New Roman"/>
                <w:snapToGrid w:val="0"/>
                <w:color w:val="auto"/>
                <w:lang w:eastAsia="zh-CN"/>
              </w:rPr>
              <w:t>；</w:t>
            </w:r>
            <w:r>
              <w:rPr>
                <w:rFonts w:hint="eastAsia" w:ascii="Times New Roman"/>
                <w:snapToGrid w:val="0"/>
                <w:color w:val="auto"/>
                <w:lang w:val="en-US" w:eastAsia="zh-CN"/>
              </w:rPr>
              <w:t>橡</w:t>
            </w:r>
            <w:r>
              <w:rPr>
                <w:rFonts w:hint="eastAsia" w:ascii="Times New Roman"/>
                <w:snapToGrid w:val="0"/>
                <w:color w:val="auto"/>
              </w:rPr>
              <w:t>胶</w:t>
            </w:r>
            <w:r>
              <w:rPr>
                <w:rFonts w:hint="eastAsia" w:ascii="Times New Roman"/>
                <w:snapToGrid w:val="0"/>
                <w:color w:val="auto"/>
                <w:lang w:eastAsia="zh-CN"/>
              </w:rPr>
              <w:t>（</w:t>
            </w:r>
            <w:r>
              <w:rPr>
                <w:rFonts w:hint="eastAsia" w:ascii="Times New Roman"/>
                <w:snapToGrid w:val="0"/>
                <w:color w:val="auto"/>
              </w:rPr>
              <w:t>废带胶板、废旧轮胎</w:t>
            </w:r>
            <w:r>
              <w:rPr>
                <w:rFonts w:hint="eastAsia" w:ascii="Times New Roman"/>
                <w:snapToGrid w:val="0"/>
                <w:color w:val="auto"/>
                <w:lang w:eastAsia="zh-CN"/>
              </w:rPr>
              <w:t>）</w:t>
            </w:r>
            <w:r>
              <w:rPr>
                <w:rFonts w:hint="eastAsia" w:ascii="Times New Roman"/>
                <w:snapToGrid w:val="0"/>
                <w:color w:val="auto"/>
              </w:rPr>
              <w:t>、塑料外壳</w:t>
            </w:r>
            <w:r>
              <w:rPr>
                <w:rFonts w:hint="eastAsia" w:ascii="Times New Roman"/>
                <w:snapToGrid w:val="0"/>
                <w:color w:val="auto"/>
                <w:lang w:eastAsia="zh-CN"/>
              </w:rPr>
              <w:t>；</w:t>
            </w:r>
            <w:r>
              <w:rPr>
                <w:rFonts w:hint="eastAsia" w:ascii="Times New Roman"/>
                <w:snapToGrid w:val="0"/>
                <w:color w:val="auto"/>
              </w:rPr>
              <w:t>一般固废</w:t>
            </w:r>
            <w:r>
              <w:rPr>
                <w:rFonts w:hint="eastAsia" w:ascii="Times New Roman"/>
                <w:snapToGrid w:val="0"/>
                <w:color w:val="auto"/>
                <w:lang w:eastAsia="zh-CN"/>
              </w:rPr>
              <w:t>：</w:t>
            </w:r>
            <w:r>
              <w:rPr>
                <w:rFonts w:hint="eastAsia" w:ascii="Times New Roman"/>
                <w:snapToGrid w:val="0"/>
                <w:color w:val="auto"/>
              </w:rPr>
              <w:t>土屑、废革片等</w:t>
            </w:r>
            <w:r>
              <w:rPr>
                <w:rFonts w:hint="eastAsia" w:ascii="Times New Roman"/>
                <w:snapToGrid w:val="0"/>
                <w:color w:val="auto"/>
                <w:lang w:eastAsia="zh-CN"/>
              </w:rPr>
              <w:t>；</w:t>
            </w:r>
            <w:r>
              <w:rPr>
                <w:rFonts w:hint="eastAsia" w:ascii="Times New Roman"/>
                <w:snapToGrid w:val="0"/>
                <w:color w:val="auto"/>
              </w:rPr>
              <w:t>危险废物</w:t>
            </w:r>
            <w:r>
              <w:rPr>
                <w:rFonts w:hint="eastAsia" w:ascii="Times New Roman"/>
                <w:snapToGrid w:val="0"/>
                <w:color w:val="auto"/>
                <w:lang w:eastAsia="zh-CN"/>
              </w:rPr>
              <w:t>：</w:t>
            </w:r>
            <w:r>
              <w:rPr>
                <w:rFonts w:hint="eastAsia" w:ascii="Times New Roman"/>
                <w:snapToGrid w:val="0"/>
                <w:color w:val="auto"/>
              </w:rPr>
              <w:t>废铅酸蓄电池、废油液、废含油抹布和手套。其中金属类及非金属类具有回收利用价值，可卖与回收单位。其他一般固废经收集后交由</w:t>
            </w:r>
            <w:r>
              <w:rPr>
                <w:rFonts w:hint="eastAsia" w:ascii="Times New Roman"/>
                <w:snapToGrid w:val="0"/>
                <w:color w:val="auto"/>
                <w:lang w:val="en-US" w:eastAsia="zh-CN"/>
              </w:rPr>
              <w:t>市政环卫部门</w:t>
            </w:r>
            <w:r>
              <w:rPr>
                <w:rFonts w:hint="eastAsia" w:ascii="Times New Roman"/>
                <w:snapToGrid w:val="0"/>
                <w:color w:val="auto"/>
              </w:rPr>
              <w:t>处置</w:t>
            </w:r>
            <w:r>
              <w:rPr>
                <w:rFonts w:hint="eastAsia" w:ascii="Times New Roman"/>
                <w:snapToGrid w:val="0"/>
                <w:color w:val="auto"/>
                <w:lang w:eastAsia="zh-CN"/>
              </w:rPr>
              <w:t>，</w:t>
            </w:r>
            <w:r>
              <w:rPr>
                <w:rFonts w:hint="eastAsia" w:ascii="Times New Roman"/>
                <w:snapToGrid w:val="0"/>
                <w:color w:val="auto"/>
              </w:rPr>
              <w:t>危险废物暂存于危废</w:t>
            </w:r>
            <w:r>
              <w:rPr>
                <w:rFonts w:hint="eastAsia" w:ascii="Times New Roman"/>
                <w:snapToGrid w:val="0"/>
                <w:color w:val="auto"/>
                <w:lang w:val="en-US" w:eastAsia="zh-CN"/>
              </w:rPr>
              <w:t>贮存点</w:t>
            </w:r>
            <w:r>
              <w:rPr>
                <w:rFonts w:hint="eastAsia" w:ascii="Times New Roman"/>
                <w:snapToGrid w:val="0"/>
                <w:color w:val="auto"/>
              </w:rPr>
              <w:t>，并交由有资质的单位进行处置。</w:t>
            </w:r>
          </w:p>
          <w:p w14:paraId="7BD46AD3">
            <w:pPr>
              <w:pStyle w:val="42"/>
              <w:spacing w:line="360" w:lineRule="auto"/>
              <w:ind w:firstLine="480" w:firstLineChars="200"/>
              <w:jc w:val="both"/>
              <w:rPr>
                <w:rFonts w:hint="eastAsia" w:ascii="Times New Roman"/>
                <w:snapToGrid w:val="0"/>
                <w:color w:val="auto"/>
              </w:rPr>
            </w:pPr>
            <w:r>
              <w:rPr>
                <w:rFonts w:hint="eastAsia" w:ascii="Times New Roman"/>
                <w:snapToGrid w:val="0"/>
                <w:color w:val="auto"/>
              </w:rPr>
              <w:t>根据物料平衡图</w:t>
            </w:r>
            <w:r>
              <w:rPr>
                <w:rFonts w:hint="eastAsia" w:ascii="Times New Roman"/>
                <w:snapToGrid w:val="0"/>
                <w:color w:val="auto"/>
                <w:lang w:eastAsia="zh-CN"/>
              </w:rPr>
              <w:t>（</w:t>
            </w:r>
            <w:r>
              <w:rPr>
                <w:rFonts w:hint="eastAsia" w:ascii="Times New Roman"/>
                <w:snapToGrid w:val="0"/>
                <w:color w:val="auto"/>
              </w:rPr>
              <w:t>图</w:t>
            </w:r>
            <w:r>
              <w:rPr>
                <w:rFonts w:hint="eastAsia" w:ascii="Times New Roman"/>
                <w:snapToGrid w:val="0"/>
                <w:color w:val="auto"/>
                <w:lang w:val="en-US" w:eastAsia="zh-CN"/>
              </w:rPr>
              <w:t>2</w:t>
            </w:r>
            <w:r>
              <w:rPr>
                <w:rFonts w:hint="eastAsia" w:ascii="Times New Roman"/>
                <w:snapToGrid w:val="0"/>
                <w:color w:val="auto"/>
              </w:rPr>
              <w:t>-1</w:t>
            </w:r>
            <w:r>
              <w:rPr>
                <w:rFonts w:hint="eastAsia" w:ascii="Times New Roman"/>
                <w:snapToGrid w:val="0"/>
                <w:color w:val="auto"/>
                <w:lang w:eastAsia="zh-CN"/>
              </w:rPr>
              <w:t>）</w:t>
            </w:r>
            <w:r>
              <w:rPr>
                <w:rFonts w:hint="eastAsia" w:ascii="Times New Roman"/>
                <w:snapToGrid w:val="0"/>
                <w:color w:val="auto"/>
              </w:rPr>
              <w:t>，待处理废旧农机包括拖拉机</w:t>
            </w:r>
            <w:r>
              <w:rPr>
                <w:rFonts w:hint="eastAsia" w:ascii="Times New Roman"/>
                <w:snapToGrid w:val="0"/>
                <w:color w:val="auto"/>
                <w:lang w:eastAsia="zh-CN"/>
              </w:rPr>
              <w:t>（</w:t>
            </w:r>
            <w:r>
              <w:rPr>
                <w:rFonts w:hint="eastAsia" w:ascii="Times New Roman"/>
                <w:snapToGrid w:val="0"/>
                <w:color w:val="auto"/>
                <w:lang w:val="en-US" w:eastAsia="zh-CN"/>
              </w:rPr>
              <w:t>3t/辆</w:t>
            </w:r>
            <w:r>
              <w:rPr>
                <w:rFonts w:hint="eastAsia" w:ascii="Times New Roman"/>
                <w:snapToGrid w:val="0"/>
                <w:color w:val="auto"/>
                <w:lang w:eastAsia="zh-CN"/>
              </w:rPr>
              <w:t>）</w:t>
            </w:r>
            <w:r>
              <w:rPr>
                <w:rFonts w:hint="eastAsia" w:ascii="Times New Roman"/>
                <w:snapToGrid w:val="0"/>
                <w:color w:val="auto"/>
              </w:rPr>
              <w:t>、</w:t>
            </w:r>
            <w:r>
              <w:rPr>
                <w:rFonts w:hint="eastAsia" w:ascii="Times New Roman"/>
                <w:snapToGrid w:val="0"/>
                <w:color w:val="auto"/>
                <w:lang w:val="en-US" w:eastAsia="zh-CN"/>
              </w:rPr>
              <w:t>联合</w:t>
            </w:r>
            <w:r>
              <w:rPr>
                <w:rFonts w:hint="eastAsia" w:ascii="Times New Roman"/>
                <w:snapToGrid w:val="0"/>
                <w:color w:val="auto"/>
              </w:rPr>
              <w:t>收割机</w:t>
            </w:r>
            <w:r>
              <w:rPr>
                <w:rFonts w:hint="eastAsia" w:ascii="Times New Roman"/>
                <w:snapToGrid w:val="0"/>
                <w:color w:val="auto"/>
                <w:lang w:eastAsia="zh-CN"/>
              </w:rPr>
              <w:t>（</w:t>
            </w:r>
            <w:r>
              <w:rPr>
                <w:rFonts w:hint="eastAsia" w:ascii="Times New Roman"/>
                <w:snapToGrid w:val="0"/>
                <w:color w:val="auto"/>
                <w:lang w:val="en-US" w:eastAsia="zh-CN"/>
              </w:rPr>
              <w:t>4t/辆</w:t>
            </w:r>
            <w:r>
              <w:rPr>
                <w:rFonts w:hint="eastAsia" w:ascii="Times New Roman"/>
                <w:snapToGrid w:val="0"/>
                <w:color w:val="auto"/>
                <w:lang w:eastAsia="zh-CN"/>
              </w:rPr>
              <w:t>）</w:t>
            </w:r>
            <w:r>
              <w:rPr>
                <w:rFonts w:hint="eastAsia" w:ascii="Times New Roman"/>
                <w:snapToGrid w:val="0"/>
                <w:color w:val="auto"/>
              </w:rPr>
              <w:t>、水稻插秧机</w:t>
            </w:r>
            <w:r>
              <w:rPr>
                <w:rFonts w:hint="eastAsia" w:ascii="Times New Roman"/>
                <w:snapToGrid w:val="0"/>
                <w:color w:val="auto"/>
                <w:lang w:eastAsia="zh-CN"/>
              </w:rPr>
              <w:t>（</w:t>
            </w:r>
            <w:r>
              <w:rPr>
                <w:rFonts w:hint="eastAsia" w:ascii="Times New Roman"/>
                <w:snapToGrid w:val="0"/>
                <w:color w:val="auto"/>
                <w:lang w:val="en-US" w:eastAsia="zh-CN"/>
              </w:rPr>
              <w:t>0.8t/辆</w:t>
            </w:r>
            <w:r>
              <w:rPr>
                <w:rFonts w:hint="eastAsia" w:ascii="Times New Roman"/>
                <w:snapToGrid w:val="0"/>
                <w:color w:val="auto"/>
                <w:lang w:eastAsia="zh-CN"/>
              </w:rPr>
              <w:t>）</w:t>
            </w:r>
            <w:r>
              <w:rPr>
                <w:rFonts w:hint="eastAsia" w:ascii="Times New Roman"/>
                <w:snapToGrid w:val="0"/>
                <w:color w:val="auto"/>
              </w:rPr>
              <w:t>、</w:t>
            </w:r>
            <w:r>
              <w:rPr>
                <w:rFonts w:hint="eastAsia" w:ascii="Times New Roman"/>
                <w:snapToGrid w:val="0"/>
                <w:color w:val="auto"/>
                <w:lang w:val="en-US" w:eastAsia="zh-CN"/>
              </w:rPr>
              <w:t>播种机（0.4t/辆）、打捆机（4t/辆）、铧式犁（0.5t/辆）</w:t>
            </w:r>
            <w:r>
              <w:rPr>
                <w:rFonts w:hint="eastAsia" w:ascii="Times New Roman"/>
                <w:snapToGrid w:val="0"/>
                <w:color w:val="auto"/>
              </w:rPr>
              <w:t>等，年处理总重量</w:t>
            </w:r>
            <w:r>
              <w:rPr>
                <w:rFonts w:hint="eastAsia" w:ascii="Times New Roman"/>
                <w:snapToGrid w:val="0"/>
                <w:color w:val="auto"/>
                <w:lang w:val="en-US" w:eastAsia="zh-CN"/>
              </w:rPr>
              <w:t>4755</w:t>
            </w:r>
            <w:r>
              <w:rPr>
                <w:rFonts w:hint="eastAsia" w:ascii="Times New Roman"/>
                <w:snapToGrid w:val="0"/>
                <w:color w:val="auto"/>
              </w:rPr>
              <w:t>t</w:t>
            </w:r>
            <w:r>
              <w:rPr>
                <w:rFonts w:hint="eastAsia" w:ascii="Times New Roman"/>
                <w:snapToGrid w:val="0"/>
                <w:color w:val="auto"/>
                <w:lang w:val="en-US" w:eastAsia="zh-CN"/>
              </w:rPr>
              <w:t>/a</w:t>
            </w:r>
            <w:r>
              <w:rPr>
                <w:rFonts w:hint="eastAsia" w:ascii="Times New Roman"/>
                <w:snapToGrid w:val="0"/>
                <w:color w:val="auto"/>
              </w:rPr>
              <w:t>。废农机拆解下来的金属类为3628</w:t>
            </w:r>
            <w:r>
              <w:rPr>
                <w:rFonts w:hint="eastAsia" w:ascii="Times New Roman"/>
                <w:snapToGrid w:val="0"/>
                <w:color w:val="auto"/>
                <w:lang w:val="en-US" w:eastAsia="zh-CN"/>
              </w:rPr>
              <w:t>.54</w:t>
            </w:r>
            <w:r>
              <w:rPr>
                <w:rFonts w:hint="eastAsia" w:ascii="Times New Roman"/>
                <w:snapToGrid w:val="0"/>
                <w:color w:val="auto"/>
              </w:rPr>
              <w:t>ta，非金属类为</w:t>
            </w:r>
            <w:r>
              <w:rPr>
                <w:rFonts w:hint="eastAsia" w:ascii="Times New Roman"/>
                <w:snapToGrid w:val="0"/>
                <w:color w:val="auto"/>
                <w:lang w:val="en-US" w:eastAsia="zh-CN"/>
              </w:rPr>
              <w:t>1126.46</w:t>
            </w:r>
            <w:r>
              <w:rPr>
                <w:rFonts w:hint="eastAsia" w:ascii="Times New Roman"/>
                <w:snapToGrid w:val="0"/>
                <w:color w:val="auto"/>
              </w:rPr>
              <w:t>t/a。</w:t>
            </w:r>
          </w:p>
          <w:p w14:paraId="3882029E">
            <w:pPr>
              <w:pStyle w:val="42"/>
              <w:spacing w:line="360" w:lineRule="auto"/>
              <w:ind w:firstLine="480" w:firstLineChars="200"/>
              <w:jc w:val="both"/>
              <w:rPr>
                <w:rFonts w:hint="eastAsia" w:ascii="Times New Roman"/>
                <w:snapToGrid w:val="0"/>
                <w:color w:val="auto"/>
              </w:rPr>
            </w:pPr>
            <w:r>
              <w:rPr>
                <w:rFonts w:hint="eastAsia" w:ascii="Times New Roman"/>
                <w:snapToGrid w:val="0"/>
                <w:color w:val="auto"/>
              </w:rPr>
              <w:t>备注</w:t>
            </w:r>
            <w:r>
              <w:rPr>
                <w:rFonts w:hint="eastAsia" w:ascii="Times New Roman"/>
                <w:snapToGrid w:val="0"/>
                <w:color w:val="auto"/>
                <w:lang w:eastAsia="zh-CN"/>
              </w:rPr>
              <w:t>：</w:t>
            </w:r>
            <w:r>
              <w:rPr>
                <w:rFonts w:hint="eastAsia" w:ascii="Times New Roman"/>
                <w:snapToGrid w:val="0"/>
                <w:color w:val="auto"/>
              </w:rPr>
              <w:t>本项目发动机和变速箱进行总成拆解采用冲击变形</w:t>
            </w:r>
            <w:r>
              <w:rPr>
                <w:rFonts w:hint="eastAsia" w:ascii="Times New Roman"/>
                <w:snapToGrid w:val="0"/>
                <w:color w:val="auto"/>
                <w:lang w:eastAsia="zh-CN"/>
              </w:rPr>
              <w:t>（</w:t>
            </w:r>
            <w:r>
              <w:rPr>
                <w:rFonts w:hint="eastAsia" w:ascii="Times New Roman"/>
                <w:snapToGrid w:val="0"/>
                <w:color w:val="auto"/>
              </w:rPr>
              <w:t>不使用切割机械</w:t>
            </w:r>
            <w:r>
              <w:rPr>
                <w:rFonts w:hint="eastAsia" w:ascii="Times New Roman"/>
                <w:snapToGrid w:val="0"/>
                <w:color w:val="auto"/>
                <w:lang w:eastAsia="zh-CN"/>
              </w:rPr>
              <w:t>）</w:t>
            </w:r>
            <w:r>
              <w:rPr>
                <w:rFonts w:hint="eastAsia" w:ascii="Times New Roman"/>
                <w:snapToGrid w:val="0"/>
                <w:color w:val="auto"/>
              </w:rPr>
              <w:t>，并按《报废农业机械回收办法》对以上总成进行毁形</w:t>
            </w:r>
            <w:r>
              <w:rPr>
                <w:rFonts w:hint="eastAsia" w:ascii="Times New Roman"/>
                <w:snapToGrid w:val="0"/>
                <w:color w:val="auto"/>
                <w:lang w:eastAsia="zh-CN"/>
              </w:rPr>
              <w:t>（</w:t>
            </w:r>
            <w:r>
              <w:rPr>
                <w:rFonts w:hint="eastAsia" w:ascii="Times New Roman"/>
                <w:snapToGrid w:val="0"/>
                <w:color w:val="auto"/>
              </w:rPr>
              <w:t>留证</w:t>
            </w:r>
            <w:r>
              <w:rPr>
                <w:rFonts w:hint="eastAsia" w:ascii="Times New Roman"/>
                <w:snapToGrid w:val="0"/>
                <w:color w:val="auto"/>
                <w:lang w:eastAsia="zh-CN"/>
              </w:rPr>
              <w:t>）</w:t>
            </w:r>
            <w:r>
              <w:rPr>
                <w:rFonts w:hint="eastAsia" w:ascii="Times New Roman"/>
                <w:snapToGrid w:val="0"/>
                <w:color w:val="auto"/>
              </w:rPr>
              <w:t>、解体，项目不回收/拆解报废机动车、不回收及加工废金属。</w:t>
            </w:r>
          </w:p>
          <w:p w14:paraId="7F5A5F99">
            <w:pPr>
              <w:pStyle w:val="42"/>
              <w:spacing w:line="360" w:lineRule="auto"/>
              <w:ind w:firstLine="480" w:firstLineChars="200"/>
              <w:jc w:val="both"/>
              <w:rPr>
                <w:rFonts w:ascii="Times New Roman"/>
                <w:snapToGrid w:val="0"/>
                <w:color w:val="auto"/>
              </w:rPr>
            </w:pPr>
            <w:r>
              <w:rPr>
                <w:rFonts w:ascii="Times New Roman"/>
                <w:snapToGrid w:val="0"/>
                <w:color w:val="auto"/>
              </w:rPr>
              <w:t>拆解产生的物品组成数量见表2-</w:t>
            </w:r>
            <w:r>
              <w:rPr>
                <w:rFonts w:hint="eastAsia" w:ascii="Times New Roman"/>
                <w:snapToGrid w:val="0"/>
                <w:color w:val="auto"/>
                <w:lang w:val="en-US" w:eastAsia="zh-CN"/>
              </w:rPr>
              <w:t>4，物料平衡见图2-1</w:t>
            </w:r>
            <w:r>
              <w:rPr>
                <w:rFonts w:ascii="Times New Roman"/>
                <w:snapToGrid w:val="0"/>
                <w:color w:val="auto"/>
              </w:rPr>
              <w:t>。</w:t>
            </w:r>
          </w:p>
          <w:p w14:paraId="3A4AB8A7">
            <w:pPr>
              <w:adjustRightInd w:val="0"/>
              <w:snapToGrid w:val="0"/>
              <w:jc w:val="center"/>
              <w:rPr>
                <w:b/>
                <w:bCs/>
                <w:color w:val="auto"/>
                <w:szCs w:val="21"/>
              </w:rPr>
            </w:pPr>
            <w:r>
              <w:rPr>
                <w:b/>
                <w:bCs/>
                <w:color w:val="auto"/>
                <w:szCs w:val="21"/>
              </w:rPr>
              <w:t>表2-</w:t>
            </w:r>
            <w:r>
              <w:rPr>
                <w:rFonts w:hint="eastAsia"/>
                <w:b/>
                <w:bCs/>
                <w:color w:val="auto"/>
                <w:szCs w:val="21"/>
                <w:lang w:val="en-US" w:eastAsia="zh-CN"/>
              </w:rPr>
              <w:t>4</w:t>
            </w:r>
            <w:r>
              <w:rPr>
                <w:rFonts w:hint="eastAsia"/>
                <w:b/>
                <w:bCs/>
                <w:color w:val="auto"/>
                <w:szCs w:val="21"/>
              </w:rPr>
              <w:t xml:space="preserve"> </w:t>
            </w:r>
            <w:r>
              <w:rPr>
                <w:b/>
                <w:bCs/>
                <w:color w:val="auto"/>
                <w:szCs w:val="21"/>
              </w:rPr>
              <w:t xml:space="preserve"> 报废</w:t>
            </w:r>
            <w:r>
              <w:rPr>
                <w:rFonts w:hint="eastAsia"/>
                <w:b/>
                <w:bCs/>
                <w:color w:val="auto"/>
                <w:szCs w:val="21"/>
              </w:rPr>
              <w:t>机动</w:t>
            </w:r>
            <w:r>
              <w:rPr>
                <w:b/>
                <w:bCs/>
                <w:color w:val="auto"/>
                <w:szCs w:val="21"/>
              </w:rPr>
              <w:t>车拆解产生的物品组成比例及数量一览表</w:t>
            </w:r>
          </w:p>
          <w:tbl>
            <w:tblPr>
              <w:tblStyle w:val="32"/>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52"/>
              <w:gridCol w:w="2484"/>
              <w:gridCol w:w="1782"/>
              <w:gridCol w:w="3159"/>
            </w:tblGrid>
            <w:tr w14:paraId="5C2B469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15" w:type="pct"/>
                  <w:vAlign w:val="center"/>
                </w:tcPr>
                <w:p w14:paraId="24BF9100">
                  <w:pPr>
                    <w:adjustRightInd w:val="0"/>
                    <w:snapToGrid w:val="0"/>
                    <w:jc w:val="center"/>
                    <w:rPr>
                      <w:bCs/>
                      <w:color w:val="auto"/>
                      <w:szCs w:val="21"/>
                    </w:rPr>
                  </w:pPr>
                  <w:r>
                    <w:rPr>
                      <w:bCs/>
                      <w:color w:val="auto"/>
                      <w:szCs w:val="21"/>
                    </w:rPr>
                    <w:t>序号</w:t>
                  </w:r>
                </w:p>
              </w:tc>
              <w:tc>
                <w:tcPr>
                  <w:tcW w:w="1499" w:type="pct"/>
                  <w:vAlign w:val="center"/>
                </w:tcPr>
                <w:p w14:paraId="497BA397">
                  <w:pPr>
                    <w:adjustRightInd w:val="0"/>
                    <w:snapToGrid w:val="0"/>
                    <w:jc w:val="center"/>
                    <w:rPr>
                      <w:bCs/>
                      <w:color w:val="auto"/>
                      <w:szCs w:val="21"/>
                    </w:rPr>
                  </w:pPr>
                  <w:r>
                    <w:rPr>
                      <w:bCs/>
                      <w:color w:val="auto"/>
                      <w:szCs w:val="21"/>
                    </w:rPr>
                    <w:t>名称</w:t>
                  </w:r>
                </w:p>
              </w:tc>
              <w:tc>
                <w:tcPr>
                  <w:tcW w:w="1076" w:type="pct"/>
                  <w:vAlign w:val="center"/>
                </w:tcPr>
                <w:p w14:paraId="11513E40">
                  <w:pPr>
                    <w:adjustRightInd w:val="0"/>
                    <w:snapToGrid w:val="0"/>
                    <w:jc w:val="center"/>
                    <w:rPr>
                      <w:bCs/>
                      <w:color w:val="auto"/>
                      <w:szCs w:val="21"/>
                    </w:rPr>
                  </w:pPr>
                  <w:r>
                    <w:rPr>
                      <w:bCs/>
                      <w:color w:val="auto"/>
                      <w:szCs w:val="21"/>
                    </w:rPr>
                    <w:t>数量（t/a）</w:t>
                  </w:r>
                </w:p>
              </w:tc>
              <w:tc>
                <w:tcPr>
                  <w:tcW w:w="1908" w:type="pct"/>
                  <w:vAlign w:val="center"/>
                </w:tcPr>
                <w:p w14:paraId="315A3597">
                  <w:pPr>
                    <w:adjustRightInd w:val="0"/>
                    <w:snapToGrid w:val="0"/>
                    <w:jc w:val="center"/>
                    <w:rPr>
                      <w:bCs/>
                      <w:color w:val="auto"/>
                      <w:szCs w:val="21"/>
                    </w:rPr>
                  </w:pPr>
                  <w:r>
                    <w:rPr>
                      <w:bCs/>
                      <w:color w:val="auto"/>
                      <w:szCs w:val="21"/>
                    </w:rPr>
                    <w:t>备注</w:t>
                  </w:r>
                </w:p>
              </w:tc>
            </w:tr>
            <w:tr w14:paraId="17263AD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15" w:type="pct"/>
                  <w:vAlign w:val="center"/>
                </w:tcPr>
                <w:p w14:paraId="009B3BCD">
                  <w:pPr>
                    <w:adjustRightInd w:val="0"/>
                    <w:snapToGrid w:val="0"/>
                    <w:jc w:val="center"/>
                    <w:rPr>
                      <w:bCs/>
                      <w:color w:val="auto"/>
                      <w:szCs w:val="21"/>
                    </w:rPr>
                  </w:pPr>
                  <w:r>
                    <w:rPr>
                      <w:bCs/>
                      <w:color w:val="auto"/>
                      <w:szCs w:val="21"/>
                    </w:rPr>
                    <w:t>1</w:t>
                  </w:r>
                </w:p>
              </w:tc>
              <w:tc>
                <w:tcPr>
                  <w:tcW w:w="1499" w:type="pct"/>
                  <w:vAlign w:val="center"/>
                </w:tcPr>
                <w:p w14:paraId="36E03C3B">
                  <w:pPr>
                    <w:adjustRightInd w:val="0"/>
                    <w:snapToGrid w:val="0"/>
                    <w:jc w:val="center"/>
                    <w:rPr>
                      <w:rFonts w:hint="eastAsia" w:eastAsia="宋体"/>
                      <w:bCs/>
                      <w:color w:val="auto"/>
                      <w:szCs w:val="21"/>
                      <w:lang w:val="en-US" w:eastAsia="zh-CN"/>
                    </w:rPr>
                  </w:pPr>
                  <w:r>
                    <w:rPr>
                      <w:bCs/>
                      <w:color w:val="auto"/>
                      <w:szCs w:val="21"/>
                    </w:rPr>
                    <w:t>废钢</w:t>
                  </w:r>
                  <w:r>
                    <w:rPr>
                      <w:rFonts w:hint="eastAsia"/>
                      <w:bCs/>
                      <w:color w:val="auto"/>
                      <w:szCs w:val="21"/>
                      <w:lang w:val="en-US" w:eastAsia="zh-CN"/>
                    </w:rPr>
                    <w:t>铁</w:t>
                  </w:r>
                </w:p>
              </w:tc>
              <w:tc>
                <w:tcPr>
                  <w:tcW w:w="1076" w:type="pct"/>
                  <w:vAlign w:val="center"/>
                </w:tcPr>
                <w:p w14:paraId="30348778">
                  <w:pPr>
                    <w:widowControl/>
                    <w:jc w:val="center"/>
                    <w:rPr>
                      <w:color w:val="auto"/>
                      <w:kern w:val="0"/>
                      <w:szCs w:val="21"/>
                    </w:rPr>
                  </w:pPr>
                  <w:r>
                    <w:rPr>
                      <w:rFonts w:hint="eastAsia"/>
                      <w:color w:val="auto"/>
                      <w:kern w:val="0"/>
                      <w:szCs w:val="21"/>
                    </w:rPr>
                    <w:t>2677.54</w:t>
                  </w:r>
                </w:p>
              </w:tc>
              <w:tc>
                <w:tcPr>
                  <w:tcW w:w="1908" w:type="pct"/>
                  <w:vAlign w:val="center"/>
                </w:tcPr>
                <w:p w14:paraId="727E1211">
                  <w:pPr>
                    <w:adjustRightInd w:val="0"/>
                    <w:snapToGrid w:val="0"/>
                    <w:jc w:val="center"/>
                    <w:rPr>
                      <w:bCs/>
                      <w:color w:val="auto"/>
                      <w:szCs w:val="21"/>
                    </w:rPr>
                  </w:pPr>
                  <w:r>
                    <w:rPr>
                      <w:bCs/>
                      <w:color w:val="auto"/>
                      <w:szCs w:val="21"/>
                    </w:rPr>
                    <w:t>车门、车身、悬架、轴承</w:t>
                  </w:r>
                </w:p>
              </w:tc>
            </w:tr>
            <w:tr w14:paraId="5742705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15" w:type="pct"/>
                  <w:vAlign w:val="center"/>
                </w:tcPr>
                <w:p w14:paraId="7D6BB235">
                  <w:pPr>
                    <w:adjustRightInd w:val="0"/>
                    <w:snapToGrid w:val="0"/>
                    <w:jc w:val="center"/>
                    <w:rPr>
                      <w:bCs/>
                      <w:color w:val="auto"/>
                      <w:szCs w:val="21"/>
                    </w:rPr>
                  </w:pPr>
                  <w:r>
                    <w:rPr>
                      <w:bCs/>
                      <w:color w:val="auto"/>
                      <w:szCs w:val="21"/>
                    </w:rPr>
                    <w:t>2</w:t>
                  </w:r>
                </w:p>
              </w:tc>
              <w:tc>
                <w:tcPr>
                  <w:tcW w:w="1499" w:type="pct"/>
                  <w:vAlign w:val="center"/>
                </w:tcPr>
                <w:p w14:paraId="3465B8E9">
                  <w:pPr>
                    <w:adjustRightInd w:val="0"/>
                    <w:snapToGrid w:val="0"/>
                    <w:jc w:val="center"/>
                    <w:rPr>
                      <w:bCs/>
                      <w:color w:val="auto"/>
                      <w:szCs w:val="21"/>
                    </w:rPr>
                  </w:pPr>
                  <w:r>
                    <w:rPr>
                      <w:bCs/>
                      <w:color w:val="auto"/>
                      <w:szCs w:val="21"/>
                    </w:rPr>
                    <w:t>废有色金属</w:t>
                  </w:r>
                </w:p>
              </w:tc>
              <w:tc>
                <w:tcPr>
                  <w:tcW w:w="1076" w:type="pct"/>
                  <w:vAlign w:val="center"/>
                </w:tcPr>
                <w:p w14:paraId="602423CA">
                  <w:pPr>
                    <w:jc w:val="center"/>
                    <w:rPr>
                      <w:rFonts w:hint="default" w:eastAsia="宋体"/>
                      <w:color w:val="auto"/>
                      <w:szCs w:val="21"/>
                      <w:lang w:val="en-US" w:eastAsia="zh-CN"/>
                    </w:rPr>
                  </w:pPr>
                  <w:r>
                    <w:rPr>
                      <w:rFonts w:hint="eastAsia"/>
                      <w:color w:val="auto"/>
                      <w:szCs w:val="21"/>
                      <w:lang w:val="en-US" w:eastAsia="zh-CN"/>
                    </w:rPr>
                    <w:t>475.5</w:t>
                  </w:r>
                </w:p>
              </w:tc>
              <w:tc>
                <w:tcPr>
                  <w:tcW w:w="1908" w:type="pct"/>
                  <w:vAlign w:val="center"/>
                </w:tcPr>
                <w:p w14:paraId="070AF9DF">
                  <w:pPr>
                    <w:widowControl/>
                    <w:jc w:val="center"/>
                    <w:rPr>
                      <w:bCs/>
                      <w:color w:val="auto"/>
                      <w:szCs w:val="21"/>
                    </w:rPr>
                  </w:pPr>
                  <w:r>
                    <w:rPr>
                      <w:bCs/>
                      <w:color w:val="auto"/>
                      <w:kern w:val="0"/>
                      <w:szCs w:val="21"/>
                      <w:lang w:bidi="ar"/>
                    </w:rPr>
                    <w:t>铝71%、铜21%、其他8%</w:t>
                  </w:r>
                </w:p>
              </w:tc>
            </w:tr>
            <w:tr w14:paraId="280FEC3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15" w:type="pct"/>
                  <w:vAlign w:val="center"/>
                </w:tcPr>
                <w:p w14:paraId="03358745">
                  <w:pPr>
                    <w:adjustRightInd w:val="0"/>
                    <w:snapToGrid w:val="0"/>
                    <w:jc w:val="center"/>
                    <w:rPr>
                      <w:bCs/>
                      <w:color w:val="auto"/>
                      <w:szCs w:val="21"/>
                    </w:rPr>
                  </w:pPr>
                  <w:r>
                    <w:rPr>
                      <w:bCs/>
                      <w:color w:val="auto"/>
                      <w:szCs w:val="21"/>
                    </w:rPr>
                    <w:t>3</w:t>
                  </w:r>
                </w:p>
              </w:tc>
              <w:tc>
                <w:tcPr>
                  <w:tcW w:w="1499" w:type="pct"/>
                  <w:vAlign w:val="center"/>
                </w:tcPr>
                <w:p w14:paraId="744C0C19">
                  <w:pPr>
                    <w:adjustRightInd w:val="0"/>
                    <w:snapToGrid w:val="0"/>
                    <w:jc w:val="center"/>
                    <w:rPr>
                      <w:bCs/>
                      <w:color w:val="auto"/>
                      <w:szCs w:val="21"/>
                    </w:rPr>
                  </w:pPr>
                  <w:r>
                    <w:rPr>
                      <w:bCs/>
                      <w:color w:val="auto"/>
                      <w:szCs w:val="21"/>
                    </w:rPr>
                    <w:t>零部件</w:t>
                  </w:r>
                </w:p>
              </w:tc>
              <w:tc>
                <w:tcPr>
                  <w:tcW w:w="1076" w:type="pct"/>
                  <w:vAlign w:val="center"/>
                </w:tcPr>
                <w:p w14:paraId="6AB1E53E">
                  <w:pPr>
                    <w:jc w:val="center"/>
                    <w:rPr>
                      <w:rFonts w:hint="default" w:eastAsia="宋体"/>
                      <w:color w:val="auto"/>
                      <w:lang w:val="en-US" w:eastAsia="zh-CN"/>
                    </w:rPr>
                  </w:pPr>
                  <w:r>
                    <w:rPr>
                      <w:rFonts w:hint="eastAsia"/>
                      <w:color w:val="auto"/>
                      <w:lang w:val="en-US" w:eastAsia="zh-CN"/>
                    </w:rPr>
                    <w:t>475.5</w:t>
                  </w:r>
                </w:p>
              </w:tc>
              <w:tc>
                <w:tcPr>
                  <w:tcW w:w="1908" w:type="pct"/>
                  <w:vAlign w:val="center"/>
                </w:tcPr>
                <w:p w14:paraId="21813664">
                  <w:pPr>
                    <w:widowControl/>
                    <w:jc w:val="center"/>
                    <w:rPr>
                      <w:bCs/>
                      <w:color w:val="auto"/>
                      <w:kern w:val="0"/>
                      <w:szCs w:val="21"/>
                      <w:lang w:bidi="ar"/>
                    </w:rPr>
                  </w:pPr>
                  <w:r>
                    <w:rPr>
                      <w:bCs/>
                      <w:color w:val="auto"/>
                      <w:kern w:val="0"/>
                      <w:szCs w:val="21"/>
                      <w:lang w:bidi="ar"/>
                    </w:rPr>
                    <w:t>发动机、变速器、散热器、前桥、后桥等</w:t>
                  </w:r>
                </w:p>
              </w:tc>
            </w:tr>
            <w:tr w14:paraId="1C49078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15" w:type="pct"/>
                  <w:vAlign w:val="center"/>
                </w:tcPr>
                <w:p w14:paraId="733AA52D">
                  <w:pPr>
                    <w:adjustRightInd w:val="0"/>
                    <w:snapToGrid w:val="0"/>
                    <w:jc w:val="center"/>
                    <w:rPr>
                      <w:bCs/>
                      <w:color w:val="auto"/>
                      <w:szCs w:val="21"/>
                    </w:rPr>
                  </w:pPr>
                  <w:r>
                    <w:rPr>
                      <w:bCs/>
                      <w:color w:val="auto"/>
                      <w:szCs w:val="21"/>
                    </w:rPr>
                    <w:t>4</w:t>
                  </w:r>
                </w:p>
              </w:tc>
              <w:tc>
                <w:tcPr>
                  <w:tcW w:w="1499" w:type="pct"/>
                  <w:vAlign w:val="center"/>
                </w:tcPr>
                <w:p w14:paraId="5C107CA4">
                  <w:pPr>
                    <w:adjustRightInd w:val="0"/>
                    <w:snapToGrid w:val="0"/>
                    <w:jc w:val="center"/>
                    <w:rPr>
                      <w:bCs/>
                      <w:color w:val="auto"/>
                      <w:szCs w:val="21"/>
                    </w:rPr>
                  </w:pPr>
                  <w:r>
                    <w:rPr>
                      <w:bCs/>
                      <w:color w:val="auto"/>
                      <w:szCs w:val="21"/>
                    </w:rPr>
                    <w:t>废塑料</w:t>
                  </w:r>
                </w:p>
              </w:tc>
              <w:tc>
                <w:tcPr>
                  <w:tcW w:w="1076" w:type="pct"/>
                  <w:vAlign w:val="center"/>
                </w:tcPr>
                <w:p w14:paraId="4B3DFC08">
                  <w:pPr>
                    <w:jc w:val="center"/>
                    <w:rPr>
                      <w:rFonts w:hint="default" w:eastAsia="宋体"/>
                      <w:color w:val="auto"/>
                      <w:szCs w:val="21"/>
                      <w:lang w:val="en-US" w:eastAsia="zh-CN"/>
                    </w:rPr>
                  </w:pPr>
                  <w:r>
                    <w:rPr>
                      <w:rFonts w:hint="eastAsia"/>
                      <w:color w:val="auto"/>
                      <w:szCs w:val="21"/>
                      <w:lang w:val="en-US" w:eastAsia="zh-CN"/>
                    </w:rPr>
                    <w:t>408.93</w:t>
                  </w:r>
                </w:p>
              </w:tc>
              <w:tc>
                <w:tcPr>
                  <w:tcW w:w="1908" w:type="pct"/>
                  <w:vAlign w:val="center"/>
                </w:tcPr>
                <w:p w14:paraId="74C2DDE6">
                  <w:pPr>
                    <w:adjustRightInd w:val="0"/>
                    <w:snapToGrid w:val="0"/>
                    <w:jc w:val="center"/>
                    <w:rPr>
                      <w:b/>
                      <w:color w:val="auto"/>
                      <w:szCs w:val="21"/>
                    </w:rPr>
                  </w:pPr>
                  <w:r>
                    <w:rPr>
                      <w:b/>
                      <w:color w:val="auto"/>
                      <w:szCs w:val="21"/>
                    </w:rPr>
                    <w:t>/</w:t>
                  </w:r>
                </w:p>
              </w:tc>
            </w:tr>
            <w:tr w14:paraId="330FA0F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15" w:type="pct"/>
                  <w:vAlign w:val="center"/>
                </w:tcPr>
                <w:p w14:paraId="2A3499AB">
                  <w:pPr>
                    <w:adjustRightInd w:val="0"/>
                    <w:snapToGrid w:val="0"/>
                    <w:jc w:val="center"/>
                    <w:rPr>
                      <w:bCs/>
                      <w:color w:val="auto"/>
                      <w:szCs w:val="21"/>
                    </w:rPr>
                  </w:pPr>
                  <w:r>
                    <w:rPr>
                      <w:rFonts w:hint="eastAsia"/>
                      <w:bCs/>
                      <w:color w:val="auto"/>
                      <w:szCs w:val="21"/>
                    </w:rPr>
                    <w:t>5</w:t>
                  </w:r>
                </w:p>
              </w:tc>
              <w:tc>
                <w:tcPr>
                  <w:tcW w:w="1499" w:type="pct"/>
                  <w:vAlign w:val="center"/>
                </w:tcPr>
                <w:p w14:paraId="0954F8BC">
                  <w:pPr>
                    <w:adjustRightInd w:val="0"/>
                    <w:snapToGrid w:val="0"/>
                    <w:jc w:val="center"/>
                    <w:rPr>
                      <w:bCs/>
                      <w:color w:val="auto"/>
                      <w:szCs w:val="21"/>
                    </w:rPr>
                  </w:pPr>
                  <w:r>
                    <w:rPr>
                      <w:bCs/>
                      <w:color w:val="auto"/>
                      <w:szCs w:val="21"/>
                    </w:rPr>
                    <w:t>废玻璃</w:t>
                  </w:r>
                </w:p>
              </w:tc>
              <w:tc>
                <w:tcPr>
                  <w:tcW w:w="1076" w:type="pct"/>
                  <w:vAlign w:val="center"/>
                </w:tcPr>
                <w:p w14:paraId="089CCFDE">
                  <w:pPr>
                    <w:jc w:val="center"/>
                    <w:rPr>
                      <w:rFonts w:hint="default" w:eastAsia="宋体"/>
                      <w:color w:val="auto"/>
                      <w:szCs w:val="21"/>
                      <w:lang w:val="en-US" w:eastAsia="zh-CN"/>
                    </w:rPr>
                  </w:pPr>
                  <w:r>
                    <w:rPr>
                      <w:rFonts w:hint="eastAsia"/>
                      <w:color w:val="auto"/>
                      <w:szCs w:val="21"/>
                      <w:lang w:val="en-US" w:eastAsia="zh-CN"/>
                    </w:rPr>
                    <w:t>218.73</w:t>
                  </w:r>
                </w:p>
              </w:tc>
              <w:tc>
                <w:tcPr>
                  <w:tcW w:w="1908" w:type="pct"/>
                  <w:vAlign w:val="center"/>
                </w:tcPr>
                <w:p w14:paraId="0C007E02">
                  <w:pPr>
                    <w:adjustRightInd w:val="0"/>
                    <w:snapToGrid w:val="0"/>
                    <w:jc w:val="center"/>
                    <w:rPr>
                      <w:b/>
                      <w:color w:val="auto"/>
                      <w:szCs w:val="21"/>
                    </w:rPr>
                  </w:pPr>
                  <w:r>
                    <w:rPr>
                      <w:b/>
                      <w:color w:val="auto"/>
                      <w:szCs w:val="21"/>
                    </w:rPr>
                    <w:t>/</w:t>
                  </w:r>
                </w:p>
              </w:tc>
            </w:tr>
            <w:tr w14:paraId="1ADF46A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15" w:type="pct"/>
                  <w:vAlign w:val="center"/>
                </w:tcPr>
                <w:p w14:paraId="19ADC6AA">
                  <w:pPr>
                    <w:adjustRightInd w:val="0"/>
                    <w:snapToGrid w:val="0"/>
                    <w:jc w:val="center"/>
                    <w:rPr>
                      <w:bCs/>
                      <w:color w:val="auto"/>
                      <w:szCs w:val="21"/>
                    </w:rPr>
                  </w:pPr>
                  <w:r>
                    <w:rPr>
                      <w:rFonts w:hint="eastAsia"/>
                      <w:bCs/>
                      <w:color w:val="auto"/>
                      <w:szCs w:val="21"/>
                    </w:rPr>
                    <w:t>6</w:t>
                  </w:r>
                </w:p>
              </w:tc>
              <w:tc>
                <w:tcPr>
                  <w:tcW w:w="1499" w:type="pct"/>
                  <w:vAlign w:val="center"/>
                </w:tcPr>
                <w:p w14:paraId="30F0B5BC">
                  <w:pPr>
                    <w:adjustRightInd w:val="0"/>
                    <w:snapToGrid w:val="0"/>
                    <w:jc w:val="center"/>
                    <w:rPr>
                      <w:bCs/>
                      <w:color w:val="auto"/>
                      <w:szCs w:val="21"/>
                    </w:rPr>
                  </w:pPr>
                  <w:r>
                    <w:rPr>
                      <w:bCs/>
                      <w:color w:val="auto"/>
                      <w:szCs w:val="21"/>
                    </w:rPr>
                    <w:t>废橡胶</w:t>
                  </w:r>
                </w:p>
              </w:tc>
              <w:tc>
                <w:tcPr>
                  <w:tcW w:w="1076" w:type="pct"/>
                  <w:vAlign w:val="center"/>
                </w:tcPr>
                <w:p w14:paraId="23578A9F">
                  <w:pPr>
                    <w:jc w:val="center"/>
                    <w:rPr>
                      <w:rFonts w:hint="default" w:eastAsia="宋体"/>
                      <w:color w:val="auto"/>
                      <w:lang w:val="en-US" w:eastAsia="zh-CN"/>
                    </w:rPr>
                  </w:pPr>
                  <w:r>
                    <w:rPr>
                      <w:rFonts w:hint="eastAsia"/>
                      <w:color w:val="auto"/>
                      <w:lang w:val="en-US" w:eastAsia="zh-CN"/>
                    </w:rPr>
                    <w:t>294.81</w:t>
                  </w:r>
                </w:p>
              </w:tc>
              <w:tc>
                <w:tcPr>
                  <w:tcW w:w="1908" w:type="pct"/>
                  <w:vAlign w:val="center"/>
                </w:tcPr>
                <w:p w14:paraId="1B24263F">
                  <w:pPr>
                    <w:adjustRightInd w:val="0"/>
                    <w:snapToGrid w:val="0"/>
                    <w:jc w:val="center"/>
                    <w:rPr>
                      <w:bCs/>
                      <w:color w:val="auto"/>
                      <w:szCs w:val="21"/>
                    </w:rPr>
                  </w:pPr>
                  <w:r>
                    <w:rPr>
                      <w:rFonts w:hint="eastAsia"/>
                      <w:bCs/>
                      <w:color w:val="auto"/>
                      <w:szCs w:val="21"/>
                    </w:rPr>
                    <w:t>含废轮胎</w:t>
                  </w:r>
                </w:p>
              </w:tc>
            </w:tr>
            <w:tr w14:paraId="5F76598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15" w:type="pct"/>
                  <w:shd w:val="clear" w:color="auto" w:fill="auto"/>
                  <w:vAlign w:val="center"/>
                </w:tcPr>
                <w:p w14:paraId="1B53CC1B">
                  <w:pPr>
                    <w:adjustRightInd w:val="0"/>
                    <w:snapToGrid w:val="0"/>
                    <w:jc w:val="center"/>
                    <w:rPr>
                      <w:rFonts w:ascii="Times New Roman" w:hAnsi="Times New Roman" w:eastAsia="宋体" w:cs="Times New Roman"/>
                      <w:bCs/>
                      <w:color w:val="auto"/>
                      <w:kern w:val="2"/>
                      <w:sz w:val="21"/>
                      <w:szCs w:val="21"/>
                      <w:lang w:val="en-US" w:eastAsia="zh-CN" w:bidi="ar-SA"/>
                    </w:rPr>
                  </w:pPr>
                  <w:r>
                    <w:rPr>
                      <w:bCs/>
                      <w:color w:val="auto"/>
                      <w:szCs w:val="21"/>
                    </w:rPr>
                    <w:t>7</w:t>
                  </w:r>
                </w:p>
              </w:tc>
              <w:tc>
                <w:tcPr>
                  <w:tcW w:w="1499" w:type="pct"/>
                  <w:vAlign w:val="center"/>
                </w:tcPr>
                <w:p w14:paraId="018FDD29">
                  <w:pPr>
                    <w:adjustRightInd w:val="0"/>
                    <w:snapToGrid w:val="0"/>
                    <w:jc w:val="center"/>
                    <w:rPr>
                      <w:bCs/>
                      <w:color w:val="auto"/>
                      <w:szCs w:val="21"/>
                    </w:rPr>
                  </w:pPr>
                  <w:r>
                    <w:rPr>
                      <w:rFonts w:hint="eastAsia"/>
                      <w:bCs/>
                      <w:color w:val="auto"/>
                      <w:szCs w:val="21"/>
                    </w:rPr>
                    <w:t>废电子电器部件</w:t>
                  </w:r>
                </w:p>
              </w:tc>
              <w:tc>
                <w:tcPr>
                  <w:tcW w:w="1076" w:type="pct"/>
                  <w:vAlign w:val="center"/>
                </w:tcPr>
                <w:p w14:paraId="703A602E">
                  <w:pPr>
                    <w:jc w:val="center"/>
                    <w:rPr>
                      <w:rFonts w:hint="default" w:eastAsia="宋体"/>
                      <w:color w:val="auto"/>
                      <w:szCs w:val="21"/>
                      <w:lang w:val="en-US" w:eastAsia="zh-CN"/>
                    </w:rPr>
                  </w:pPr>
                  <w:r>
                    <w:rPr>
                      <w:rFonts w:hint="eastAsia"/>
                      <w:color w:val="auto"/>
                      <w:szCs w:val="21"/>
                      <w:lang w:val="en-US" w:eastAsia="zh-CN"/>
                    </w:rPr>
                    <w:t>23.775</w:t>
                  </w:r>
                </w:p>
              </w:tc>
              <w:tc>
                <w:tcPr>
                  <w:tcW w:w="1908" w:type="pct"/>
                  <w:vAlign w:val="center"/>
                </w:tcPr>
                <w:p w14:paraId="5B5135FF">
                  <w:pPr>
                    <w:adjustRightInd w:val="0"/>
                    <w:snapToGrid w:val="0"/>
                    <w:jc w:val="center"/>
                    <w:rPr>
                      <w:bCs/>
                      <w:color w:val="auto"/>
                      <w:szCs w:val="21"/>
                    </w:rPr>
                  </w:pPr>
                  <w:r>
                    <w:rPr>
                      <w:rFonts w:hint="eastAsia"/>
                      <w:bCs/>
                      <w:color w:val="auto"/>
                      <w:szCs w:val="21"/>
                    </w:rPr>
                    <w:t>包括仪表盘、电动机和发电机、电线电缆以及其他电子电器</w:t>
                  </w:r>
                </w:p>
              </w:tc>
            </w:tr>
            <w:tr w14:paraId="70F3938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15" w:type="pct"/>
                  <w:shd w:val="clear" w:color="auto" w:fill="auto"/>
                  <w:vAlign w:val="center"/>
                </w:tcPr>
                <w:p w14:paraId="77A592D0">
                  <w:pPr>
                    <w:adjustRightInd w:val="0"/>
                    <w:snapToGrid w:val="0"/>
                    <w:jc w:val="center"/>
                    <w:rPr>
                      <w:rFonts w:ascii="Times New Roman" w:hAnsi="Times New Roman" w:eastAsia="宋体" w:cs="Times New Roman"/>
                      <w:bCs/>
                      <w:color w:val="auto"/>
                      <w:kern w:val="2"/>
                      <w:sz w:val="21"/>
                      <w:szCs w:val="21"/>
                      <w:lang w:val="en-US" w:eastAsia="zh-CN" w:bidi="ar-SA"/>
                    </w:rPr>
                  </w:pPr>
                  <w:r>
                    <w:rPr>
                      <w:bCs/>
                      <w:color w:val="auto"/>
                      <w:szCs w:val="21"/>
                    </w:rPr>
                    <w:t>8</w:t>
                  </w:r>
                </w:p>
              </w:tc>
              <w:tc>
                <w:tcPr>
                  <w:tcW w:w="1499" w:type="pct"/>
                  <w:vAlign w:val="center"/>
                </w:tcPr>
                <w:p w14:paraId="19485EA2">
                  <w:pPr>
                    <w:adjustRightInd w:val="0"/>
                    <w:snapToGrid w:val="0"/>
                    <w:jc w:val="center"/>
                    <w:rPr>
                      <w:bCs/>
                      <w:color w:val="auto"/>
                      <w:szCs w:val="21"/>
                    </w:rPr>
                  </w:pPr>
                  <w:r>
                    <w:rPr>
                      <w:bCs/>
                      <w:color w:val="auto"/>
                      <w:szCs w:val="21"/>
                    </w:rPr>
                    <w:t>废陶瓷、泡沫</w:t>
                  </w:r>
                </w:p>
              </w:tc>
              <w:tc>
                <w:tcPr>
                  <w:tcW w:w="1076" w:type="pct"/>
                  <w:vAlign w:val="center"/>
                </w:tcPr>
                <w:p w14:paraId="13E0CE0E">
                  <w:pPr>
                    <w:jc w:val="center"/>
                    <w:rPr>
                      <w:rFonts w:hint="default"/>
                      <w:color w:val="auto"/>
                      <w:szCs w:val="21"/>
                      <w:lang w:val="en-US"/>
                    </w:rPr>
                  </w:pPr>
                  <w:r>
                    <w:rPr>
                      <w:rFonts w:hint="eastAsia"/>
                      <w:color w:val="auto"/>
                      <w:szCs w:val="21"/>
                      <w:lang w:val="en-US" w:eastAsia="zh-CN"/>
                    </w:rPr>
                    <w:t>13.314</w:t>
                  </w:r>
                </w:p>
              </w:tc>
              <w:tc>
                <w:tcPr>
                  <w:tcW w:w="1908" w:type="pct"/>
                  <w:vAlign w:val="center"/>
                </w:tcPr>
                <w:p w14:paraId="10DFFAF9">
                  <w:pPr>
                    <w:adjustRightInd w:val="0"/>
                    <w:snapToGrid w:val="0"/>
                    <w:jc w:val="center"/>
                    <w:rPr>
                      <w:b/>
                      <w:color w:val="auto"/>
                      <w:szCs w:val="21"/>
                    </w:rPr>
                  </w:pPr>
                  <w:r>
                    <w:rPr>
                      <w:b/>
                      <w:color w:val="auto"/>
                      <w:szCs w:val="21"/>
                    </w:rPr>
                    <w:t>/</w:t>
                  </w:r>
                </w:p>
              </w:tc>
            </w:tr>
            <w:tr w14:paraId="0624645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42" w:hRule="atLeast"/>
              </w:trPr>
              <w:tc>
                <w:tcPr>
                  <w:tcW w:w="515" w:type="pct"/>
                  <w:vAlign w:val="center"/>
                </w:tcPr>
                <w:p w14:paraId="53A210F4">
                  <w:pPr>
                    <w:adjustRightInd w:val="0"/>
                    <w:snapToGrid w:val="0"/>
                    <w:jc w:val="center"/>
                    <w:rPr>
                      <w:rFonts w:hint="default" w:eastAsia="宋体"/>
                      <w:bCs/>
                      <w:color w:val="auto"/>
                      <w:szCs w:val="21"/>
                      <w:lang w:val="en-US" w:eastAsia="zh-CN"/>
                    </w:rPr>
                  </w:pPr>
                  <w:r>
                    <w:rPr>
                      <w:bCs/>
                      <w:color w:val="auto"/>
                      <w:szCs w:val="21"/>
                    </w:rPr>
                    <w:t>9</w:t>
                  </w:r>
                </w:p>
              </w:tc>
              <w:tc>
                <w:tcPr>
                  <w:tcW w:w="1499" w:type="pct"/>
                  <w:vAlign w:val="center"/>
                </w:tcPr>
                <w:p w14:paraId="58E1A630">
                  <w:pPr>
                    <w:adjustRightInd w:val="0"/>
                    <w:snapToGrid w:val="0"/>
                    <w:jc w:val="center"/>
                    <w:rPr>
                      <w:bCs/>
                      <w:color w:val="auto"/>
                      <w:szCs w:val="21"/>
                    </w:rPr>
                  </w:pPr>
                  <w:r>
                    <w:rPr>
                      <w:bCs/>
                      <w:color w:val="auto"/>
                      <w:szCs w:val="21"/>
                    </w:rPr>
                    <w:t>废制冷剂</w:t>
                  </w:r>
                </w:p>
              </w:tc>
              <w:tc>
                <w:tcPr>
                  <w:tcW w:w="1076" w:type="pct"/>
                  <w:vAlign w:val="center"/>
                </w:tcPr>
                <w:p w14:paraId="0343F2F5">
                  <w:pPr>
                    <w:widowControl/>
                    <w:jc w:val="center"/>
                    <w:rPr>
                      <w:rFonts w:hint="default" w:eastAsia="宋体"/>
                      <w:color w:val="auto"/>
                      <w:kern w:val="0"/>
                      <w:szCs w:val="21"/>
                      <w:lang w:val="en-US" w:eastAsia="zh-CN"/>
                    </w:rPr>
                  </w:pPr>
                  <w:r>
                    <w:rPr>
                      <w:rFonts w:hint="eastAsia"/>
                      <w:color w:val="auto"/>
                      <w:kern w:val="0"/>
                      <w:szCs w:val="21"/>
                      <w:lang w:val="en-US" w:eastAsia="zh-CN"/>
                    </w:rPr>
                    <w:t>2.378</w:t>
                  </w:r>
                </w:p>
              </w:tc>
              <w:tc>
                <w:tcPr>
                  <w:tcW w:w="1908" w:type="pct"/>
                  <w:tcBorders>
                    <w:bottom w:val="single" w:color="auto" w:sz="4" w:space="0"/>
                  </w:tcBorders>
                  <w:vAlign w:val="center"/>
                </w:tcPr>
                <w:p w14:paraId="53967E14">
                  <w:pPr>
                    <w:adjustRightInd w:val="0"/>
                    <w:snapToGrid w:val="0"/>
                    <w:jc w:val="center"/>
                    <w:rPr>
                      <w:bCs/>
                      <w:color w:val="auto"/>
                      <w:szCs w:val="21"/>
                    </w:rPr>
                  </w:pPr>
                  <w:r>
                    <w:rPr>
                      <w:bCs/>
                      <w:color w:val="auto"/>
                      <w:szCs w:val="21"/>
                    </w:rPr>
                    <w:t>危险废物</w:t>
                  </w:r>
                </w:p>
              </w:tc>
            </w:tr>
            <w:tr w14:paraId="4E67A28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15" w:type="pct"/>
                  <w:shd w:val="clear" w:color="auto" w:fill="auto"/>
                  <w:vAlign w:val="center"/>
                </w:tcPr>
                <w:p w14:paraId="535B10E4">
                  <w:pPr>
                    <w:adjustRightInd w:val="0"/>
                    <w:snapToGrid w:val="0"/>
                    <w:jc w:val="center"/>
                    <w:rPr>
                      <w:rFonts w:ascii="Times New Roman" w:hAnsi="Times New Roman" w:eastAsia="宋体" w:cs="Times New Roman"/>
                      <w:bCs/>
                      <w:color w:val="auto"/>
                      <w:kern w:val="2"/>
                      <w:sz w:val="21"/>
                      <w:szCs w:val="21"/>
                      <w:lang w:val="en-US" w:eastAsia="zh-CN" w:bidi="ar-SA"/>
                    </w:rPr>
                  </w:pPr>
                  <w:r>
                    <w:rPr>
                      <w:rFonts w:hint="eastAsia"/>
                      <w:bCs/>
                      <w:color w:val="auto"/>
                      <w:szCs w:val="21"/>
                    </w:rPr>
                    <w:t>10</w:t>
                  </w:r>
                </w:p>
              </w:tc>
              <w:tc>
                <w:tcPr>
                  <w:tcW w:w="1499" w:type="pct"/>
                  <w:vAlign w:val="center"/>
                </w:tcPr>
                <w:p w14:paraId="6FE2167F">
                  <w:pPr>
                    <w:adjustRightInd w:val="0"/>
                    <w:snapToGrid w:val="0"/>
                    <w:jc w:val="center"/>
                    <w:rPr>
                      <w:bCs/>
                      <w:color w:val="auto"/>
                      <w:szCs w:val="21"/>
                    </w:rPr>
                  </w:pPr>
                  <w:r>
                    <w:rPr>
                      <w:bCs/>
                      <w:color w:val="auto"/>
                      <w:szCs w:val="21"/>
                    </w:rPr>
                    <w:t>废防冻液</w:t>
                  </w:r>
                </w:p>
              </w:tc>
              <w:tc>
                <w:tcPr>
                  <w:tcW w:w="1076" w:type="pct"/>
                  <w:vAlign w:val="center"/>
                </w:tcPr>
                <w:p w14:paraId="477E05FF">
                  <w:pPr>
                    <w:jc w:val="center"/>
                    <w:rPr>
                      <w:bCs/>
                      <w:color w:val="auto"/>
                      <w:szCs w:val="21"/>
                    </w:rPr>
                  </w:pPr>
                  <w:r>
                    <w:rPr>
                      <w:rFonts w:hint="eastAsia"/>
                      <w:color w:val="auto"/>
                      <w:kern w:val="0"/>
                      <w:szCs w:val="21"/>
                      <w:lang w:val="en-US" w:eastAsia="zh-CN"/>
                    </w:rPr>
                    <w:t>2.378</w:t>
                  </w:r>
                </w:p>
              </w:tc>
              <w:tc>
                <w:tcPr>
                  <w:tcW w:w="1908" w:type="pct"/>
                  <w:tcBorders>
                    <w:top w:val="single" w:color="auto" w:sz="4" w:space="0"/>
                    <w:bottom w:val="single" w:color="auto" w:sz="4" w:space="0"/>
                  </w:tcBorders>
                  <w:vAlign w:val="center"/>
                </w:tcPr>
                <w:p w14:paraId="1BE4E533">
                  <w:pPr>
                    <w:adjustRightInd w:val="0"/>
                    <w:snapToGrid w:val="0"/>
                    <w:jc w:val="center"/>
                    <w:rPr>
                      <w:bCs/>
                      <w:color w:val="auto"/>
                      <w:szCs w:val="21"/>
                    </w:rPr>
                  </w:pPr>
                  <w:r>
                    <w:rPr>
                      <w:bCs/>
                      <w:color w:val="auto"/>
                      <w:szCs w:val="21"/>
                    </w:rPr>
                    <w:t>危险废物</w:t>
                  </w:r>
                  <w:r>
                    <w:rPr>
                      <w:rFonts w:hint="eastAsia"/>
                      <w:bCs/>
                      <w:color w:val="auto"/>
                      <w:szCs w:val="21"/>
                    </w:rPr>
                    <w:t>，内含有机溶剂</w:t>
                  </w:r>
                </w:p>
              </w:tc>
            </w:tr>
            <w:tr w14:paraId="05EB073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15" w:type="pct"/>
                  <w:shd w:val="clear" w:color="auto" w:fill="auto"/>
                  <w:vAlign w:val="center"/>
                </w:tcPr>
                <w:p w14:paraId="10E7BC92">
                  <w:pPr>
                    <w:adjustRightInd w:val="0"/>
                    <w:snapToGrid w:val="0"/>
                    <w:jc w:val="center"/>
                    <w:rPr>
                      <w:rFonts w:hint="default" w:ascii="Times New Roman" w:hAnsi="Times New Roman" w:eastAsia="宋体" w:cs="Times New Roman"/>
                      <w:bCs/>
                      <w:color w:val="auto"/>
                      <w:kern w:val="2"/>
                      <w:sz w:val="21"/>
                      <w:szCs w:val="21"/>
                      <w:lang w:val="en-US" w:eastAsia="zh-CN" w:bidi="ar-SA"/>
                    </w:rPr>
                  </w:pPr>
                  <w:r>
                    <w:rPr>
                      <w:rFonts w:hint="eastAsia"/>
                      <w:bCs/>
                      <w:color w:val="auto"/>
                      <w:szCs w:val="21"/>
                      <w:lang w:val="en-US" w:eastAsia="zh-CN"/>
                    </w:rPr>
                    <w:t>11</w:t>
                  </w:r>
                </w:p>
              </w:tc>
              <w:tc>
                <w:tcPr>
                  <w:tcW w:w="1499" w:type="pct"/>
                  <w:vAlign w:val="center"/>
                </w:tcPr>
                <w:p w14:paraId="3D8804E1">
                  <w:pPr>
                    <w:adjustRightInd w:val="0"/>
                    <w:snapToGrid w:val="0"/>
                    <w:jc w:val="center"/>
                    <w:rPr>
                      <w:bCs/>
                      <w:color w:val="auto"/>
                      <w:szCs w:val="21"/>
                    </w:rPr>
                  </w:pPr>
                  <w:r>
                    <w:rPr>
                      <w:bCs/>
                      <w:color w:val="auto"/>
                      <w:szCs w:val="21"/>
                    </w:rPr>
                    <w:t>废蓄电池</w:t>
                  </w:r>
                </w:p>
              </w:tc>
              <w:tc>
                <w:tcPr>
                  <w:tcW w:w="1076" w:type="pct"/>
                  <w:vAlign w:val="center"/>
                </w:tcPr>
                <w:p w14:paraId="64583768">
                  <w:pPr>
                    <w:jc w:val="center"/>
                    <w:rPr>
                      <w:rFonts w:hint="default" w:eastAsia="宋体"/>
                      <w:bCs/>
                      <w:color w:val="auto"/>
                      <w:szCs w:val="21"/>
                      <w:lang w:val="en-US" w:eastAsia="zh-CN"/>
                    </w:rPr>
                  </w:pPr>
                  <w:r>
                    <w:rPr>
                      <w:rFonts w:hint="eastAsia"/>
                      <w:bCs/>
                      <w:color w:val="auto"/>
                      <w:szCs w:val="21"/>
                      <w:lang w:val="en-US" w:eastAsia="zh-CN"/>
                    </w:rPr>
                    <w:t>46.599</w:t>
                  </w:r>
                </w:p>
              </w:tc>
              <w:tc>
                <w:tcPr>
                  <w:tcW w:w="1908" w:type="pct"/>
                  <w:tcBorders>
                    <w:top w:val="single" w:color="auto" w:sz="4" w:space="0"/>
                  </w:tcBorders>
                  <w:vAlign w:val="center"/>
                </w:tcPr>
                <w:p w14:paraId="5E91E561">
                  <w:pPr>
                    <w:adjustRightInd w:val="0"/>
                    <w:snapToGrid w:val="0"/>
                    <w:jc w:val="center"/>
                    <w:rPr>
                      <w:b/>
                      <w:color w:val="auto"/>
                      <w:szCs w:val="21"/>
                    </w:rPr>
                  </w:pPr>
                  <w:r>
                    <w:rPr>
                      <w:bCs/>
                      <w:color w:val="auto"/>
                      <w:szCs w:val="21"/>
                    </w:rPr>
                    <w:t>危险废物，包括铅酸蓄电池和镉镍电池</w:t>
                  </w:r>
                </w:p>
              </w:tc>
            </w:tr>
            <w:tr w14:paraId="62AB6A4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15" w:type="pct"/>
                  <w:shd w:val="clear" w:color="auto" w:fill="auto"/>
                  <w:vAlign w:val="center"/>
                </w:tcPr>
                <w:p w14:paraId="4AB72FDF">
                  <w:pPr>
                    <w:adjustRightInd w:val="0"/>
                    <w:snapToGrid w:val="0"/>
                    <w:jc w:val="center"/>
                    <w:rPr>
                      <w:rFonts w:ascii="Times New Roman" w:hAnsi="Times New Roman" w:eastAsia="宋体" w:cs="Times New Roman"/>
                      <w:bCs/>
                      <w:color w:val="auto"/>
                      <w:kern w:val="2"/>
                      <w:sz w:val="21"/>
                      <w:szCs w:val="21"/>
                      <w:lang w:val="en-US" w:eastAsia="zh-CN" w:bidi="ar-SA"/>
                    </w:rPr>
                  </w:pPr>
                  <w:r>
                    <w:rPr>
                      <w:bCs/>
                      <w:color w:val="auto"/>
                      <w:szCs w:val="21"/>
                    </w:rPr>
                    <w:t>1</w:t>
                  </w:r>
                  <w:r>
                    <w:rPr>
                      <w:rFonts w:hint="eastAsia"/>
                      <w:bCs/>
                      <w:color w:val="auto"/>
                      <w:szCs w:val="21"/>
                    </w:rPr>
                    <w:t>2</w:t>
                  </w:r>
                </w:p>
              </w:tc>
              <w:tc>
                <w:tcPr>
                  <w:tcW w:w="1499" w:type="pct"/>
                  <w:vAlign w:val="center"/>
                </w:tcPr>
                <w:p w14:paraId="12E578A6">
                  <w:pPr>
                    <w:adjustRightInd w:val="0"/>
                    <w:snapToGrid w:val="0"/>
                    <w:jc w:val="center"/>
                    <w:rPr>
                      <w:bCs/>
                      <w:color w:val="auto"/>
                      <w:szCs w:val="21"/>
                    </w:rPr>
                  </w:pPr>
                  <w:r>
                    <w:rPr>
                      <w:bCs/>
                      <w:color w:val="auto"/>
                      <w:szCs w:val="21"/>
                    </w:rPr>
                    <w:t>废油液</w:t>
                  </w:r>
                </w:p>
              </w:tc>
              <w:tc>
                <w:tcPr>
                  <w:tcW w:w="1076" w:type="pct"/>
                  <w:vAlign w:val="center"/>
                </w:tcPr>
                <w:p w14:paraId="7CE830BE">
                  <w:pPr>
                    <w:jc w:val="center"/>
                    <w:rPr>
                      <w:rFonts w:hint="default"/>
                      <w:bCs/>
                      <w:color w:val="auto"/>
                      <w:szCs w:val="21"/>
                      <w:lang w:val="en-US"/>
                    </w:rPr>
                  </w:pPr>
                  <w:r>
                    <w:rPr>
                      <w:rFonts w:hint="eastAsia"/>
                      <w:bCs/>
                      <w:color w:val="auto"/>
                      <w:szCs w:val="21"/>
                      <w:lang w:val="en-US" w:eastAsia="zh-CN"/>
                    </w:rPr>
                    <w:t>33.285</w:t>
                  </w:r>
                </w:p>
              </w:tc>
              <w:tc>
                <w:tcPr>
                  <w:tcW w:w="1908" w:type="pct"/>
                  <w:vAlign w:val="center"/>
                </w:tcPr>
                <w:p w14:paraId="1EDA1702">
                  <w:pPr>
                    <w:adjustRightInd w:val="0"/>
                    <w:snapToGrid w:val="0"/>
                    <w:jc w:val="center"/>
                    <w:rPr>
                      <w:bCs/>
                      <w:color w:val="auto"/>
                      <w:szCs w:val="21"/>
                    </w:rPr>
                  </w:pPr>
                  <w:r>
                    <w:rPr>
                      <w:bCs/>
                      <w:color w:val="auto"/>
                      <w:szCs w:val="21"/>
                    </w:rPr>
                    <w:t>危险废物，汽油、柴油、机油、润滑剂、液压油等</w:t>
                  </w:r>
                </w:p>
              </w:tc>
            </w:tr>
            <w:tr w14:paraId="033119D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15" w:type="pct"/>
                  <w:shd w:val="clear" w:color="auto" w:fill="auto"/>
                  <w:vAlign w:val="center"/>
                </w:tcPr>
                <w:p w14:paraId="4C4E1C9D">
                  <w:pPr>
                    <w:adjustRightInd w:val="0"/>
                    <w:snapToGrid w:val="0"/>
                    <w:jc w:val="center"/>
                    <w:rPr>
                      <w:rFonts w:hint="default" w:ascii="Times New Roman" w:hAnsi="Times New Roman" w:eastAsia="宋体" w:cs="Times New Roman"/>
                      <w:bCs/>
                      <w:color w:val="auto"/>
                      <w:kern w:val="2"/>
                      <w:sz w:val="21"/>
                      <w:szCs w:val="21"/>
                      <w:lang w:val="en-US" w:eastAsia="zh-CN" w:bidi="ar-SA"/>
                    </w:rPr>
                  </w:pPr>
                  <w:r>
                    <w:rPr>
                      <w:rFonts w:hint="eastAsia"/>
                      <w:bCs/>
                      <w:color w:val="auto"/>
                      <w:szCs w:val="21"/>
                      <w:lang w:eastAsia="zh-CN"/>
                    </w:rPr>
                    <w:t>1</w:t>
                  </w:r>
                  <w:r>
                    <w:rPr>
                      <w:rFonts w:hint="eastAsia"/>
                      <w:bCs/>
                      <w:color w:val="auto"/>
                      <w:szCs w:val="21"/>
                      <w:lang w:val="en-US" w:eastAsia="zh-CN"/>
                    </w:rPr>
                    <w:t>3</w:t>
                  </w:r>
                </w:p>
              </w:tc>
              <w:tc>
                <w:tcPr>
                  <w:tcW w:w="1499" w:type="pct"/>
                  <w:shd w:val="clear" w:color="auto" w:fill="auto"/>
                  <w:vAlign w:val="center"/>
                </w:tcPr>
                <w:p w14:paraId="60ADE7EF">
                  <w:pPr>
                    <w:adjustRightInd w:val="0"/>
                    <w:snapToGrid w:val="0"/>
                    <w:jc w:val="center"/>
                    <w:rPr>
                      <w:rFonts w:ascii="Times New Roman" w:hAnsi="Times New Roman" w:eastAsia="宋体" w:cs="Times New Roman"/>
                      <w:bCs/>
                      <w:color w:val="auto"/>
                      <w:kern w:val="2"/>
                      <w:sz w:val="21"/>
                      <w:szCs w:val="21"/>
                      <w:lang w:val="en-US" w:eastAsia="zh-CN" w:bidi="ar-SA"/>
                    </w:rPr>
                  </w:pPr>
                  <w:r>
                    <w:rPr>
                      <w:rFonts w:hint="eastAsia"/>
                      <w:bCs/>
                      <w:color w:val="auto"/>
                      <w:szCs w:val="21"/>
                    </w:rPr>
                    <w:t>废电路板</w:t>
                  </w:r>
                </w:p>
              </w:tc>
              <w:tc>
                <w:tcPr>
                  <w:tcW w:w="1076" w:type="pct"/>
                  <w:shd w:val="clear" w:color="auto" w:fill="auto"/>
                  <w:vAlign w:val="center"/>
                </w:tcPr>
                <w:p w14:paraId="460A2731">
                  <w:pPr>
                    <w:jc w:val="center"/>
                    <w:rPr>
                      <w:rFonts w:hint="default" w:ascii="Times New Roman" w:hAnsi="Times New Roman" w:eastAsia="宋体" w:cs="Times New Roman"/>
                      <w:bCs/>
                      <w:color w:val="auto"/>
                      <w:kern w:val="2"/>
                      <w:sz w:val="21"/>
                      <w:szCs w:val="21"/>
                      <w:lang w:val="en-US" w:eastAsia="zh-CN" w:bidi="ar-SA"/>
                    </w:rPr>
                  </w:pPr>
                  <w:r>
                    <w:rPr>
                      <w:rFonts w:hint="eastAsia"/>
                      <w:bCs/>
                      <w:color w:val="auto"/>
                      <w:szCs w:val="21"/>
                      <w:lang w:val="en-US" w:eastAsia="zh-CN"/>
                    </w:rPr>
                    <w:t>2.853</w:t>
                  </w:r>
                </w:p>
              </w:tc>
              <w:tc>
                <w:tcPr>
                  <w:tcW w:w="1908" w:type="pct"/>
                  <w:shd w:val="clear" w:color="auto" w:fill="auto"/>
                  <w:vAlign w:val="center"/>
                </w:tcPr>
                <w:p w14:paraId="57CDF1CD">
                  <w:pPr>
                    <w:adjustRightInd w:val="0"/>
                    <w:snapToGrid w:val="0"/>
                    <w:jc w:val="center"/>
                    <w:rPr>
                      <w:rFonts w:ascii="Times New Roman" w:hAnsi="Times New Roman" w:eastAsia="宋体" w:cs="Times New Roman"/>
                      <w:bCs/>
                      <w:color w:val="auto"/>
                      <w:kern w:val="2"/>
                      <w:sz w:val="21"/>
                      <w:szCs w:val="21"/>
                      <w:lang w:val="en-US" w:eastAsia="zh-CN" w:bidi="ar-SA"/>
                    </w:rPr>
                  </w:pPr>
                  <w:r>
                    <w:rPr>
                      <w:rFonts w:hint="eastAsia"/>
                      <w:bCs/>
                      <w:color w:val="auto"/>
                      <w:szCs w:val="21"/>
                    </w:rPr>
                    <w:t>危险废物，废电路板及其元件</w:t>
                  </w:r>
                </w:p>
              </w:tc>
            </w:tr>
            <w:tr w14:paraId="1090DC2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15" w:type="pct"/>
                  <w:shd w:val="clear" w:color="auto" w:fill="auto"/>
                  <w:vAlign w:val="center"/>
                </w:tcPr>
                <w:p w14:paraId="1920D80F">
                  <w:pPr>
                    <w:adjustRightInd w:val="0"/>
                    <w:snapToGrid w:val="0"/>
                    <w:jc w:val="center"/>
                    <w:rPr>
                      <w:rFonts w:hint="eastAsia" w:ascii="Times New Roman" w:hAnsi="Times New Roman" w:eastAsia="宋体" w:cs="Times New Roman"/>
                      <w:bCs/>
                      <w:color w:val="auto"/>
                      <w:kern w:val="2"/>
                      <w:sz w:val="21"/>
                      <w:szCs w:val="21"/>
                      <w:lang w:val="en-US" w:eastAsia="zh-CN" w:bidi="ar-SA"/>
                    </w:rPr>
                  </w:pPr>
                  <w:r>
                    <w:rPr>
                      <w:rFonts w:hint="default"/>
                      <w:bCs/>
                      <w:color w:val="auto"/>
                      <w:szCs w:val="21"/>
                      <w:lang w:val="en-US"/>
                    </w:rPr>
                    <w:t>1</w:t>
                  </w:r>
                  <w:r>
                    <w:rPr>
                      <w:rFonts w:hint="eastAsia"/>
                      <w:bCs/>
                      <w:color w:val="auto"/>
                      <w:szCs w:val="21"/>
                      <w:lang w:val="en-US" w:eastAsia="zh-CN"/>
                    </w:rPr>
                    <w:t>4</w:t>
                  </w:r>
                </w:p>
              </w:tc>
              <w:tc>
                <w:tcPr>
                  <w:tcW w:w="1499" w:type="pct"/>
                  <w:shd w:val="clear" w:color="auto" w:fill="auto"/>
                  <w:vAlign w:val="center"/>
                </w:tcPr>
                <w:p w14:paraId="0BF7A360">
                  <w:pPr>
                    <w:adjustRightInd w:val="0"/>
                    <w:snapToGrid w:val="0"/>
                    <w:jc w:val="center"/>
                    <w:rPr>
                      <w:rFonts w:ascii="Times New Roman" w:hAnsi="Times New Roman" w:eastAsia="宋体" w:cs="Times New Roman"/>
                      <w:bCs/>
                      <w:color w:val="auto"/>
                      <w:kern w:val="2"/>
                      <w:sz w:val="21"/>
                      <w:szCs w:val="21"/>
                      <w:lang w:val="en-US" w:eastAsia="zh-CN" w:bidi="ar-SA"/>
                    </w:rPr>
                  </w:pPr>
                  <w:r>
                    <w:rPr>
                      <w:bCs/>
                      <w:color w:val="auto"/>
                      <w:szCs w:val="21"/>
                    </w:rPr>
                    <w:t>不可利用废物</w:t>
                  </w:r>
                </w:p>
              </w:tc>
              <w:tc>
                <w:tcPr>
                  <w:tcW w:w="1076" w:type="pct"/>
                  <w:shd w:val="clear" w:color="auto" w:fill="auto"/>
                  <w:vAlign w:val="center"/>
                </w:tcPr>
                <w:p w14:paraId="02DB4089">
                  <w:pPr>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79.408</w:t>
                  </w:r>
                </w:p>
              </w:tc>
              <w:tc>
                <w:tcPr>
                  <w:tcW w:w="1908" w:type="pct"/>
                  <w:shd w:val="clear" w:color="auto" w:fill="auto"/>
                  <w:vAlign w:val="center"/>
                </w:tcPr>
                <w:p w14:paraId="04750566">
                  <w:pPr>
                    <w:adjustRightInd w:val="0"/>
                    <w:snapToGrid w:val="0"/>
                    <w:jc w:val="center"/>
                    <w:rPr>
                      <w:rFonts w:ascii="Times New Roman" w:hAnsi="Times New Roman" w:eastAsia="宋体" w:cs="Times New Roman"/>
                      <w:bCs/>
                      <w:color w:val="auto"/>
                      <w:kern w:val="2"/>
                      <w:sz w:val="21"/>
                      <w:szCs w:val="21"/>
                      <w:lang w:val="en-US" w:eastAsia="zh-CN" w:bidi="ar-SA"/>
                    </w:rPr>
                  </w:pPr>
                  <w:r>
                    <w:rPr>
                      <w:bCs/>
                      <w:color w:val="auto"/>
                      <w:szCs w:val="21"/>
                    </w:rPr>
                    <w:t>一般固体废物，主要为废棉、麻织物、废海绵、废皮革等</w:t>
                  </w:r>
                </w:p>
              </w:tc>
            </w:tr>
            <w:tr w14:paraId="2B24A38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015" w:type="pct"/>
                  <w:gridSpan w:val="2"/>
                  <w:vAlign w:val="center"/>
                </w:tcPr>
                <w:p w14:paraId="313D3AC4">
                  <w:pPr>
                    <w:adjustRightInd w:val="0"/>
                    <w:snapToGrid w:val="0"/>
                    <w:jc w:val="center"/>
                    <w:rPr>
                      <w:b/>
                      <w:color w:val="auto"/>
                      <w:szCs w:val="21"/>
                    </w:rPr>
                  </w:pPr>
                  <w:r>
                    <w:rPr>
                      <w:bCs/>
                      <w:color w:val="auto"/>
                      <w:szCs w:val="21"/>
                    </w:rPr>
                    <w:t>合计</w:t>
                  </w:r>
                </w:p>
              </w:tc>
              <w:tc>
                <w:tcPr>
                  <w:tcW w:w="1076" w:type="pct"/>
                  <w:vAlign w:val="center"/>
                </w:tcPr>
                <w:p w14:paraId="7E04E3D3">
                  <w:pPr>
                    <w:jc w:val="center"/>
                    <w:rPr>
                      <w:rFonts w:hint="default" w:eastAsia="宋体"/>
                      <w:color w:val="auto"/>
                      <w:lang w:val="en-US" w:eastAsia="zh-CN"/>
                    </w:rPr>
                  </w:pPr>
                  <w:r>
                    <w:rPr>
                      <w:rFonts w:hint="eastAsia"/>
                      <w:color w:val="auto"/>
                      <w:lang w:val="en-US" w:eastAsia="zh-CN"/>
                    </w:rPr>
                    <w:t>4755</w:t>
                  </w:r>
                </w:p>
              </w:tc>
              <w:tc>
                <w:tcPr>
                  <w:tcW w:w="1908" w:type="pct"/>
                  <w:vAlign w:val="center"/>
                </w:tcPr>
                <w:p w14:paraId="4C3008FC">
                  <w:pPr>
                    <w:adjustRightInd w:val="0"/>
                    <w:snapToGrid w:val="0"/>
                    <w:jc w:val="center"/>
                    <w:rPr>
                      <w:b/>
                      <w:color w:val="auto"/>
                      <w:szCs w:val="21"/>
                    </w:rPr>
                  </w:pPr>
                  <w:r>
                    <w:rPr>
                      <w:b/>
                      <w:color w:val="auto"/>
                      <w:szCs w:val="21"/>
                    </w:rPr>
                    <w:t>/</w:t>
                  </w:r>
                </w:p>
              </w:tc>
            </w:tr>
          </w:tbl>
          <w:p w14:paraId="57CC6A3D">
            <w:pPr>
              <w:keepNext w:val="0"/>
              <w:keepLines w:val="0"/>
              <w:suppressLineNumbers w:val="0"/>
              <w:adjustRightInd w:val="0"/>
              <w:snapToGrid w:val="0"/>
              <w:spacing w:before="0" w:beforeAutospacing="0" w:after="0" w:afterAutospacing="0" w:line="360" w:lineRule="auto"/>
              <w:ind w:right="0"/>
              <w:jc w:val="center"/>
              <w:rPr>
                <w:rFonts w:hint="eastAsia"/>
                <w:b/>
                <w:color w:val="auto"/>
                <w:sz w:val="24"/>
                <w:highlight w:val="none"/>
                <w:lang w:val="en-US" w:eastAsia="zh-CN"/>
              </w:rPr>
            </w:pPr>
          </w:p>
          <w:p w14:paraId="454E6473">
            <w:pPr>
              <w:pStyle w:val="42"/>
              <w:spacing w:line="240" w:lineRule="auto"/>
              <w:rPr>
                <w:rFonts w:hint="eastAsia"/>
                <w:color w:val="auto"/>
                <w:lang w:val="en-US" w:eastAsia="zh-CN"/>
              </w:rPr>
            </w:pPr>
            <w:r>
              <w:rPr>
                <w:rFonts w:hint="eastAsia"/>
                <w:color w:val="auto"/>
                <w:lang w:val="en-US" w:eastAsia="zh-CN"/>
              </w:rPr>
              <w:drawing>
                <wp:inline distT="0" distB="0" distL="114300" distR="114300">
                  <wp:extent cx="3724910" cy="5187950"/>
                  <wp:effectExtent l="0" t="0" r="8890" b="12700"/>
                  <wp:docPr id="41" name="图片 41" descr="物料平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物料平衡"/>
                          <pic:cNvPicPr>
                            <a:picLocks noChangeAspect="1"/>
                          </pic:cNvPicPr>
                        </pic:nvPicPr>
                        <pic:blipFill>
                          <a:blip r:embed="rId9"/>
                          <a:stretch>
                            <a:fillRect/>
                          </a:stretch>
                        </pic:blipFill>
                        <pic:spPr>
                          <a:xfrm>
                            <a:off x="0" y="0"/>
                            <a:ext cx="3724910" cy="5187950"/>
                          </a:xfrm>
                          <a:prstGeom prst="rect">
                            <a:avLst/>
                          </a:prstGeom>
                        </pic:spPr>
                      </pic:pic>
                    </a:graphicData>
                  </a:graphic>
                </wp:inline>
              </w:drawing>
            </w:r>
          </w:p>
          <w:p w14:paraId="2D9E03EC">
            <w:pPr>
              <w:keepNext w:val="0"/>
              <w:keepLines w:val="0"/>
              <w:suppressLineNumbers w:val="0"/>
              <w:adjustRightInd w:val="0"/>
              <w:snapToGrid w:val="0"/>
              <w:spacing w:before="0" w:beforeAutospacing="0" w:after="0" w:afterAutospacing="0" w:line="240" w:lineRule="auto"/>
              <w:ind w:right="0"/>
              <w:jc w:val="center"/>
              <w:rPr>
                <w:rFonts w:hint="default"/>
                <w:b/>
                <w:color w:val="auto"/>
                <w:sz w:val="21"/>
                <w:szCs w:val="21"/>
                <w:highlight w:val="none"/>
                <w:lang w:val="en-US" w:eastAsia="zh-CN"/>
              </w:rPr>
            </w:pPr>
            <w:r>
              <w:rPr>
                <w:rFonts w:hint="eastAsia"/>
                <w:b/>
                <w:color w:val="auto"/>
                <w:sz w:val="21"/>
                <w:szCs w:val="21"/>
                <w:highlight w:val="none"/>
                <w:lang w:val="en-US" w:eastAsia="zh-CN"/>
              </w:rPr>
              <w:t>图2-1  物料平衡图</w:t>
            </w:r>
          </w:p>
          <w:p w14:paraId="7056B15A">
            <w:pPr>
              <w:keepNext w:val="0"/>
              <w:keepLines w:val="0"/>
              <w:suppressLineNumbers w:val="0"/>
              <w:adjustRightInd w:val="0"/>
              <w:snapToGrid w:val="0"/>
              <w:spacing w:before="0" w:beforeAutospacing="0" w:after="0" w:afterAutospacing="0" w:line="360" w:lineRule="auto"/>
              <w:ind w:left="0" w:right="0" w:firstLine="482" w:firstLineChars="200"/>
              <w:rPr>
                <w:rFonts w:hint="default" w:eastAsia="宋体"/>
                <w:b/>
                <w:color w:val="auto"/>
                <w:sz w:val="24"/>
                <w:highlight w:val="none"/>
              </w:rPr>
            </w:pPr>
            <w:r>
              <w:rPr>
                <w:rFonts w:hint="eastAsia"/>
                <w:b/>
                <w:color w:val="auto"/>
                <w:sz w:val="24"/>
                <w:highlight w:val="none"/>
                <w:lang w:val="en-US" w:eastAsia="zh-CN"/>
              </w:rPr>
              <w:t>7、</w:t>
            </w:r>
            <w:r>
              <w:rPr>
                <w:rFonts w:hint="default" w:eastAsia="宋体"/>
                <w:b/>
                <w:color w:val="auto"/>
                <w:sz w:val="24"/>
                <w:highlight w:val="none"/>
              </w:rPr>
              <w:t>主要设备</w:t>
            </w:r>
          </w:p>
          <w:p w14:paraId="00AB2BDC">
            <w:pPr>
              <w:keepNext w:val="0"/>
              <w:keepLines w:val="0"/>
              <w:suppressLineNumbers w:val="0"/>
              <w:adjustRightInd w:val="0"/>
              <w:snapToGrid w:val="0"/>
              <w:spacing w:before="0" w:beforeAutospacing="0" w:after="0" w:afterAutospacing="0" w:line="360" w:lineRule="auto"/>
              <w:ind w:left="0" w:right="0" w:firstLine="480" w:firstLineChars="200"/>
              <w:rPr>
                <w:rFonts w:hint="default" w:eastAsia="宋体"/>
                <w:color w:val="auto"/>
                <w:sz w:val="24"/>
                <w:highlight w:val="none"/>
              </w:rPr>
            </w:pPr>
            <w:r>
              <w:rPr>
                <w:rFonts w:hint="default" w:eastAsia="宋体"/>
                <w:color w:val="auto"/>
                <w:sz w:val="24"/>
                <w:highlight w:val="none"/>
              </w:rPr>
              <w:t>本项目主要生产设备见表2-</w:t>
            </w:r>
            <w:r>
              <w:rPr>
                <w:rFonts w:hint="eastAsia"/>
                <w:color w:val="auto"/>
                <w:sz w:val="24"/>
                <w:highlight w:val="none"/>
                <w:lang w:val="en-US" w:eastAsia="zh-CN"/>
              </w:rPr>
              <w:t>5</w:t>
            </w:r>
            <w:r>
              <w:rPr>
                <w:rFonts w:hint="default" w:eastAsia="宋体"/>
                <w:color w:val="auto"/>
                <w:sz w:val="24"/>
                <w:highlight w:val="none"/>
              </w:rPr>
              <w:t>。</w:t>
            </w:r>
          </w:p>
          <w:p w14:paraId="339931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表2-</w:t>
            </w:r>
            <w:r>
              <w:rPr>
                <w:rFonts w:hint="eastAsia" w:cs="Times New Roman"/>
                <w:b/>
                <w:color w:val="auto"/>
                <w:sz w:val="21"/>
                <w:szCs w:val="21"/>
                <w:highlight w:val="none"/>
                <w:lang w:val="en-US" w:eastAsia="zh-CN"/>
              </w:rPr>
              <w:t>5</w:t>
            </w:r>
            <w:r>
              <w:rPr>
                <w:rFonts w:hint="eastAsia" w:ascii="Times New Roman" w:hAnsi="Times New Roman" w:eastAsia="宋体" w:cs="Times New Roman"/>
                <w:b/>
                <w:color w:val="auto"/>
                <w:sz w:val="21"/>
                <w:szCs w:val="21"/>
                <w:highlight w:val="none"/>
                <w:lang w:val="en-US" w:eastAsia="zh-CN"/>
              </w:rPr>
              <w:t xml:space="preserve">  </w:t>
            </w:r>
            <w:r>
              <w:rPr>
                <w:rFonts w:hint="default" w:ascii="Times New Roman" w:hAnsi="Times New Roman" w:eastAsia="宋体" w:cs="Times New Roman"/>
                <w:b/>
                <w:color w:val="auto"/>
                <w:sz w:val="21"/>
                <w:szCs w:val="21"/>
                <w:highlight w:val="none"/>
                <w:lang w:val="en-US" w:eastAsia="zh-CN"/>
              </w:rPr>
              <w:t>主要生产设备一览表</w:t>
            </w:r>
          </w:p>
          <w:tbl>
            <w:tblPr>
              <w:tblStyle w:val="31"/>
              <w:tblW w:w="4998"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494"/>
              <w:gridCol w:w="3087"/>
              <w:gridCol w:w="2057"/>
              <w:gridCol w:w="1639"/>
            </w:tblGrid>
            <w:tr w14:paraId="073260C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blHeader/>
                <w:jc w:val="center"/>
              </w:trPr>
              <w:tc>
                <w:tcPr>
                  <w:tcW w:w="902" w:type="pct"/>
                  <w:vAlign w:val="center"/>
                </w:tcPr>
                <w:p w14:paraId="472A7007">
                  <w:pPr>
                    <w:keepNext w:val="0"/>
                    <w:keepLines w:val="0"/>
                    <w:suppressLineNumbers w:val="0"/>
                    <w:spacing w:before="0" w:beforeAutospacing="0" w:after="0" w:afterAutospacing="0"/>
                    <w:ind w:left="0" w:right="0"/>
                    <w:jc w:val="center"/>
                    <w:rPr>
                      <w:rFonts w:hint="default" w:eastAsia="宋体"/>
                      <w:bCs/>
                      <w:color w:val="auto"/>
                      <w:szCs w:val="21"/>
                      <w:highlight w:val="none"/>
                    </w:rPr>
                  </w:pPr>
                  <w:r>
                    <w:rPr>
                      <w:rFonts w:hint="default" w:eastAsia="宋体"/>
                      <w:bCs/>
                      <w:color w:val="auto"/>
                      <w:szCs w:val="21"/>
                      <w:highlight w:val="none"/>
                    </w:rPr>
                    <w:t>序号</w:t>
                  </w:r>
                </w:p>
              </w:tc>
              <w:tc>
                <w:tcPr>
                  <w:tcW w:w="1864" w:type="pct"/>
                  <w:vAlign w:val="center"/>
                </w:tcPr>
                <w:p w14:paraId="348F9150">
                  <w:pPr>
                    <w:keepNext w:val="0"/>
                    <w:keepLines w:val="0"/>
                    <w:suppressLineNumbers w:val="0"/>
                    <w:spacing w:before="0" w:beforeAutospacing="0" w:after="0" w:afterAutospacing="0"/>
                    <w:ind w:left="0" w:right="0"/>
                    <w:jc w:val="center"/>
                    <w:rPr>
                      <w:rFonts w:hint="default" w:eastAsia="宋体"/>
                      <w:bCs/>
                      <w:color w:val="auto"/>
                      <w:szCs w:val="21"/>
                      <w:highlight w:val="none"/>
                    </w:rPr>
                  </w:pPr>
                  <w:r>
                    <w:rPr>
                      <w:rFonts w:hint="default" w:eastAsia="宋体"/>
                      <w:bCs/>
                      <w:color w:val="auto"/>
                      <w:szCs w:val="21"/>
                      <w:highlight w:val="none"/>
                    </w:rPr>
                    <w:t>名称</w:t>
                  </w:r>
                </w:p>
              </w:tc>
              <w:tc>
                <w:tcPr>
                  <w:tcW w:w="1242" w:type="pct"/>
                  <w:vAlign w:val="center"/>
                </w:tcPr>
                <w:p w14:paraId="6F326512">
                  <w:pPr>
                    <w:keepNext w:val="0"/>
                    <w:keepLines w:val="0"/>
                    <w:suppressLineNumbers w:val="0"/>
                    <w:spacing w:before="0" w:beforeAutospacing="0" w:after="0" w:afterAutospacing="0"/>
                    <w:ind w:left="0" w:right="0"/>
                    <w:jc w:val="center"/>
                    <w:rPr>
                      <w:rFonts w:hint="default" w:eastAsia="宋体"/>
                      <w:bCs/>
                      <w:color w:val="auto"/>
                      <w:szCs w:val="21"/>
                      <w:highlight w:val="none"/>
                    </w:rPr>
                  </w:pPr>
                  <w:r>
                    <w:rPr>
                      <w:rFonts w:hint="default" w:eastAsia="宋体"/>
                      <w:bCs/>
                      <w:color w:val="auto"/>
                      <w:szCs w:val="21"/>
                      <w:highlight w:val="none"/>
                    </w:rPr>
                    <w:t>单位</w:t>
                  </w:r>
                </w:p>
              </w:tc>
              <w:tc>
                <w:tcPr>
                  <w:tcW w:w="990" w:type="pct"/>
                  <w:vAlign w:val="center"/>
                </w:tcPr>
                <w:p w14:paraId="070FD5F3">
                  <w:pPr>
                    <w:keepNext w:val="0"/>
                    <w:keepLines w:val="0"/>
                    <w:suppressLineNumbers w:val="0"/>
                    <w:spacing w:before="0" w:beforeAutospacing="0" w:after="0" w:afterAutospacing="0"/>
                    <w:ind w:left="0" w:right="0"/>
                    <w:jc w:val="center"/>
                    <w:rPr>
                      <w:rFonts w:hint="default" w:eastAsia="宋体"/>
                      <w:bCs/>
                      <w:color w:val="auto"/>
                      <w:szCs w:val="21"/>
                      <w:highlight w:val="none"/>
                    </w:rPr>
                  </w:pPr>
                  <w:r>
                    <w:rPr>
                      <w:rFonts w:hint="default" w:eastAsia="宋体"/>
                      <w:bCs/>
                      <w:color w:val="auto"/>
                      <w:szCs w:val="21"/>
                      <w:highlight w:val="none"/>
                    </w:rPr>
                    <w:t>数量</w:t>
                  </w:r>
                </w:p>
              </w:tc>
            </w:tr>
            <w:tr w14:paraId="37B8EF6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02" w:type="pct"/>
                  <w:vAlign w:val="center"/>
                </w:tcPr>
                <w:p w14:paraId="37727D5A">
                  <w:pPr>
                    <w:keepNext w:val="0"/>
                    <w:keepLines w:val="0"/>
                    <w:suppressLineNumbers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1</w:t>
                  </w:r>
                </w:p>
              </w:tc>
              <w:tc>
                <w:tcPr>
                  <w:tcW w:w="1864" w:type="pct"/>
                  <w:vAlign w:val="center"/>
                </w:tcPr>
                <w:p w14:paraId="7164D4D9">
                  <w:pPr>
                    <w:pStyle w:val="143"/>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宋体" w:hAnsi="宋体" w:cs="宋体"/>
                      <w:color w:val="auto"/>
                      <w:szCs w:val="21"/>
                    </w:rPr>
                    <w:t>钩机</w:t>
                  </w:r>
                </w:p>
              </w:tc>
              <w:tc>
                <w:tcPr>
                  <w:tcW w:w="1242" w:type="pct"/>
                  <w:vAlign w:val="center"/>
                </w:tcPr>
                <w:p w14:paraId="2456CAF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台</w:t>
                  </w:r>
                </w:p>
              </w:tc>
              <w:tc>
                <w:tcPr>
                  <w:tcW w:w="990" w:type="pct"/>
                  <w:vAlign w:val="center"/>
                </w:tcPr>
                <w:p w14:paraId="4840AFAF">
                  <w:pPr>
                    <w:pStyle w:val="143"/>
                    <w:spacing w:before="0"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cs="Arial"/>
                      <w:color w:val="auto"/>
                      <w:sz w:val="24"/>
                    </w:rPr>
                    <w:t>1</w:t>
                  </w:r>
                </w:p>
              </w:tc>
            </w:tr>
            <w:tr w14:paraId="29E48F0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02" w:type="pct"/>
                  <w:vAlign w:val="center"/>
                </w:tcPr>
                <w:p w14:paraId="1C106128">
                  <w:pPr>
                    <w:keepNext w:val="0"/>
                    <w:keepLines w:val="0"/>
                    <w:suppressLineNumbers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2</w:t>
                  </w:r>
                </w:p>
              </w:tc>
              <w:tc>
                <w:tcPr>
                  <w:tcW w:w="1864" w:type="pct"/>
                  <w:vAlign w:val="center"/>
                </w:tcPr>
                <w:p w14:paraId="0ADEDB78">
                  <w:pPr>
                    <w:pStyle w:val="143"/>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宋体" w:hAnsi="宋体" w:cs="宋体"/>
                      <w:color w:val="auto"/>
                      <w:szCs w:val="21"/>
                    </w:rPr>
                    <w:t>叉车</w:t>
                  </w:r>
                </w:p>
              </w:tc>
              <w:tc>
                <w:tcPr>
                  <w:tcW w:w="1242" w:type="pct"/>
                  <w:vAlign w:val="center"/>
                </w:tcPr>
                <w:p w14:paraId="25468AB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台</w:t>
                  </w:r>
                </w:p>
              </w:tc>
              <w:tc>
                <w:tcPr>
                  <w:tcW w:w="990" w:type="pct"/>
                  <w:vAlign w:val="center"/>
                </w:tcPr>
                <w:p w14:paraId="5FA84D3F">
                  <w:pPr>
                    <w:pStyle w:val="143"/>
                    <w:spacing w:before="0"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cs="Arial"/>
                      <w:color w:val="auto"/>
                      <w:sz w:val="24"/>
                    </w:rPr>
                    <w:t>1</w:t>
                  </w:r>
                </w:p>
              </w:tc>
            </w:tr>
            <w:tr w14:paraId="6AC38A3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02" w:type="pct"/>
                  <w:vAlign w:val="center"/>
                </w:tcPr>
                <w:p w14:paraId="78ED2916">
                  <w:pPr>
                    <w:keepNext w:val="0"/>
                    <w:keepLines w:val="0"/>
                    <w:suppressLineNumbers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3</w:t>
                  </w:r>
                </w:p>
              </w:tc>
              <w:tc>
                <w:tcPr>
                  <w:tcW w:w="1864" w:type="pct"/>
                  <w:vAlign w:val="center"/>
                </w:tcPr>
                <w:p w14:paraId="7591C22D">
                  <w:pPr>
                    <w:pStyle w:val="143"/>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宋体" w:hAnsi="宋体" w:cs="宋体"/>
                      <w:color w:val="auto"/>
                      <w:szCs w:val="21"/>
                    </w:rPr>
                    <w:t>铲车</w:t>
                  </w:r>
                </w:p>
              </w:tc>
              <w:tc>
                <w:tcPr>
                  <w:tcW w:w="1242" w:type="pct"/>
                  <w:vAlign w:val="center"/>
                </w:tcPr>
                <w:p w14:paraId="3E73F22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台</w:t>
                  </w:r>
                </w:p>
              </w:tc>
              <w:tc>
                <w:tcPr>
                  <w:tcW w:w="990" w:type="pct"/>
                  <w:vAlign w:val="center"/>
                </w:tcPr>
                <w:p w14:paraId="23AB4217">
                  <w:pPr>
                    <w:pStyle w:val="143"/>
                    <w:spacing w:before="0"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cs="Arial"/>
                      <w:color w:val="auto"/>
                      <w:sz w:val="24"/>
                    </w:rPr>
                    <w:t>1</w:t>
                  </w:r>
                </w:p>
              </w:tc>
            </w:tr>
            <w:tr w14:paraId="3B14B55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02" w:type="pct"/>
                  <w:vAlign w:val="center"/>
                </w:tcPr>
                <w:p w14:paraId="25279299">
                  <w:pPr>
                    <w:keepNext w:val="0"/>
                    <w:keepLines w:val="0"/>
                    <w:suppressLineNumbers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4</w:t>
                  </w:r>
                </w:p>
              </w:tc>
              <w:tc>
                <w:tcPr>
                  <w:tcW w:w="1864" w:type="pct"/>
                  <w:vAlign w:val="center"/>
                </w:tcPr>
                <w:p w14:paraId="2C1A0CF6">
                  <w:pPr>
                    <w:pStyle w:val="143"/>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宋体" w:hAnsi="宋体" w:cs="宋体"/>
                      <w:color w:val="auto"/>
                      <w:szCs w:val="21"/>
                    </w:rPr>
                    <w:t>打包机</w:t>
                  </w:r>
                </w:p>
              </w:tc>
              <w:tc>
                <w:tcPr>
                  <w:tcW w:w="1242" w:type="pct"/>
                  <w:vAlign w:val="center"/>
                </w:tcPr>
                <w:p w14:paraId="65D4E55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台</w:t>
                  </w:r>
                </w:p>
              </w:tc>
              <w:tc>
                <w:tcPr>
                  <w:tcW w:w="990" w:type="pct"/>
                  <w:vAlign w:val="center"/>
                </w:tcPr>
                <w:p w14:paraId="3C21B9E1">
                  <w:pPr>
                    <w:pStyle w:val="143"/>
                    <w:spacing w:before="0"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cs="Arial"/>
                      <w:color w:val="auto"/>
                      <w:sz w:val="24"/>
                    </w:rPr>
                    <w:t>1</w:t>
                  </w:r>
                </w:p>
              </w:tc>
            </w:tr>
            <w:tr w14:paraId="6177EEC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02" w:type="pct"/>
                  <w:vAlign w:val="center"/>
                </w:tcPr>
                <w:p w14:paraId="10D02BAC">
                  <w:pPr>
                    <w:keepNext w:val="0"/>
                    <w:keepLines w:val="0"/>
                    <w:suppressLineNumbers w:val="0"/>
                    <w:spacing w:before="0" w:beforeAutospacing="0" w:after="0" w:afterAutospacing="0"/>
                    <w:ind w:left="0" w:right="0"/>
                    <w:jc w:val="center"/>
                    <w:rPr>
                      <w:rFonts w:hint="default" w:eastAsia="宋体"/>
                      <w:color w:val="auto"/>
                      <w:szCs w:val="21"/>
                      <w:highlight w:val="none"/>
                    </w:rPr>
                  </w:pPr>
                  <w:r>
                    <w:rPr>
                      <w:rFonts w:hint="default" w:eastAsia="宋体"/>
                      <w:color w:val="auto"/>
                      <w:szCs w:val="21"/>
                      <w:highlight w:val="none"/>
                    </w:rPr>
                    <w:t>5</w:t>
                  </w:r>
                </w:p>
              </w:tc>
              <w:tc>
                <w:tcPr>
                  <w:tcW w:w="1864" w:type="pct"/>
                  <w:vAlign w:val="center"/>
                </w:tcPr>
                <w:p w14:paraId="50483BB0">
                  <w:pPr>
                    <w:pStyle w:val="143"/>
                    <w:keepNext w:val="0"/>
                    <w:keepLines w:val="0"/>
                    <w:pageBreakBefore w:val="0"/>
                    <w:widowControl w:val="0"/>
                    <w:kinsoku/>
                    <w:wordWrap/>
                    <w:overflowPunct/>
                    <w:topLinePunct w:val="0"/>
                    <w:autoSpaceDE/>
                    <w:autoSpaceDN/>
                    <w:bidi w:val="0"/>
                    <w:adjustRightInd/>
                    <w:snapToGrid/>
                    <w:spacing w:before="0"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宋体" w:hAnsi="宋体" w:cs="宋体"/>
                      <w:color w:val="auto"/>
                      <w:szCs w:val="21"/>
                    </w:rPr>
                    <w:t>压块机</w:t>
                  </w:r>
                </w:p>
              </w:tc>
              <w:tc>
                <w:tcPr>
                  <w:tcW w:w="1242" w:type="pct"/>
                  <w:vAlign w:val="center"/>
                </w:tcPr>
                <w:p w14:paraId="3FC684E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台</w:t>
                  </w:r>
                </w:p>
              </w:tc>
              <w:tc>
                <w:tcPr>
                  <w:tcW w:w="990" w:type="pct"/>
                  <w:vAlign w:val="center"/>
                </w:tcPr>
                <w:p w14:paraId="550DE2FE">
                  <w:pPr>
                    <w:pStyle w:val="143"/>
                    <w:spacing w:before="0"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cs="Arial"/>
                      <w:color w:val="auto"/>
                      <w:sz w:val="24"/>
                    </w:rPr>
                    <w:t>1</w:t>
                  </w:r>
                </w:p>
              </w:tc>
            </w:tr>
            <w:tr w14:paraId="7EA8108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02" w:type="pct"/>
                  <w:vAlign w:val="center"/>
                </w:tcPr>
                <w:p w14:paraId="1B2315B9">
                  <w:pPr>
                    <w:keepNext w:val="0"/>
                    <w:keepLines w:val="0"/>
                    <w:suppressLineNumbers w:val="0"/>
                    <w:spacing w:before="0" w:beforeAutospacing="0" w:after="0" w:afterAutospacing="0"/>
                    <w:ind w:left="0" w:right="0"/>
                    <w:jc w:val="center"/>
                    <w:rPr>
                      <w:rFonts w:hint="eastAsia" w:eastAsia="宋体"/>
                      <w:color w:val="auto"/>
                      <w:szCs w:val="21"/>
                      <w:highlight w:val="none"/>
                      <w:lang w:val="en-US" w:eastAsia="zh-CN"/>
                    </w:rPr>
                  </w:pPr>
                  <w:r>
                    <w:rPr>
                      <w:rFonts w:hint="eastAsia" w:eastAsia="宋体"/>
                      <w:color w:val="auto"/>
                      <w:szCs w:val="21"/>
                      <w:highlight w:val="none"/>
                      <w:lang w:val="en-US" w:eastAsia="zh-CN"/>
                    </w:rPr>
                    <w:t>6</w:t>
                  </w:r>
                </w:p>
              </w:tc>
              <w:tc>
                <w:tcPr>
                  <w:tcW w:w="1864" w:type="pct"/>
                  <w:vAlign w:val="center"/>
                </w:tcPr>
                <w:p w14:paraId="13EECF25">
                  <w:pPr>
                    <w:pStyle w:val="143"/>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宋体" w:hAnsi="宋体" w:cs="宋体"/>
                      <w:color w:val="auto"/>
                      <w:szCs w:val="21"/>
                    </w:rPr>
                    <w:t>剪切机</w:t>
                  </w:r>
                </w:p>
              </w:tc>
              <w:tc>
                <w:tcPr>
                  <w:tcW w:w="1242" w:type="pct"/>
                  <w:vAlign w:val="center"/>
                </w:tcPr>
                <w:p w14:paraId="1A94694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座</w:t>
                  </w:r>
                </w:p>
              </w:tc>
              <w:tc>
                <w:tcPr>
                  <w:tcW w:w="990" w:type="pct"/>
                  <w:vAlign w:val="center"/>
                </w:tcPr>
                <w:p w14:paraId="1662023F">
                  <w:pPr>
                    <w:pStyle w:val="143"/>
                    <w:spacing w:before="0" w:line="240" w:lineRule="auto"/>
                    <w:ind w:firstLine="0" w:firstLineChars="0"/>
                    <w:rPr>
                      <w:rFonts w:hint="default" w:ascii="Times New Roman" w:hAnsi="Times New Roman" w:eastAsia="宋体" w:cs="Times New Roman"/>
                      <w:color w:val="auto"/>
                      <w:sz w:val="21"/>
                      <w:szCs w:val="21"/>
                      <w:highlight w:val="none"/>
                      <w:lang w:val="en-US" w:eastAsia="zh-CN"/>
                    </w:rPr>
                  </w:pPr>
                  <w:r>
                    <w:rPr>
                      <w:rFonts w:cs="Arial"/>
                      <w:color w:val="auto"/>
                      <w:sz w:val="24"/>
                    </w:rPr>
                    <w:t>5</w:t>
                  </w:r>
                </w:p>
              </w:tc>
            </w:tr>
            <w:tr w14:paraId="3D4F396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02" w:type="pct"/>
                  <w:vAlign w:val="center"/>
                </w:tcPr>
                <w:p w14:paraId="4FBF6B2D">
                  <w:pPr>
                    <w:keepNext w:val="0"/>
                    <w:keepLines w:val="0"/>
                    <w:suppressLineNumbers w:val="0"/>
                    <w:spacing w:before="0" w:beforeAutospacing="0" w:after="0" w:afterAutospacing="0"/>
                    <w:ind w:left="0" w:right="0"/>
                    <w:jc w:val="center"/>
                    <w:rPr>
                      <w:rFonts w:hint="eastAsia" w:eastAsia="宋体"/>
                      <w:color w:val="auto"/>
                      <w:szCs w:val="21"/>
                      <w:highlight w:val="none"/>
                      <w:lang w:val="en-US" w:eastAsia="zh-CN"/>
                    </w:rPr>
                  </w:pPr>
                  <w:r>
                    <w:rPr>
                      <w:rFonts w:hint="eastAsia" w:eastAsia="宋体"/>
                      <w:color w:val="auto"/>
                      <w:szCs w:val="21"/>
                      <w:highlight w:val="none"/>
                      <w:lang w:val="en-US" w:eastAsia="zh-CN"/>
                    </w:rPr>
                    <w:t>7</w:t>
                  </w:r>
                </w:p>
              </w:tc>
              <w:tc>
                <w:tcPr>
                  <w:tcW w:w="1864" w:type="pct"/>
                  <w:vAlign w:val="center"/>
                </w:tcPr>
                <w:p w14:paraId="518F3152">
                  <w:pPr>
                    <w:pStyle w:val="143"/>
                    <w:keepNext w:val="0"/>
                    <w:keepLines w:val="0"/>
                    <w:pageBreakBefore w:val="0"/>
                    <w:widowControl w:val="0"/>
                    <w:kinsoku/>
                    <w:wordWrap/>
                    <w:overflowPunct/>
                    <w:topLinePunct w:val="0"/>
                    <w:autoSpaceDE/>
                    <w:autoSpaceDN/>
                    <w:bidi w:val="0"/>
                    <w:adjustRightInd/>
                    <w:snapToGrid/>
                    <w:spacing w:before="0"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宋体" w:hAnsi="宋体" w:cs="宋体"/>
                      <w:color w:val="auto"/>
                      <w:szCs w:val="21"/>
                    </w:rPr>
                    <w:t>地磅</w:t>
                  </w:r>
                </w:p>
              </w:tc>
              <w:tc>
                <w:tcPr>
                  <w:tcW w:w="1242" w:type="pct"/>
                  <w:vAlign w:val="center"/>
                </w:tcPr>
                <w:p w14:paraId="5F42350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台</w:t>
                  </w:r>
                </w:p>
              </w:tc>
              <w:tc>
                <w:tcPr>
                  <w:tcW w:w="990" w:type="pct"/>
                  <w:vAlign w:val="center"/>
                </w:tcPr>
                <w:p w14:paraId="408DB674">
                  <w:pPr>
                    <w:pStyle w:val="143"/>
                    <w:spacing w:before="0"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cs="Arial"/>
                      <w:color w:val="auto"/>
                      <w:sz w:val="24"/>
                    </w:rPr>
                    <w:t>1</w:t>
                  </w:r>
                </w:p>
              </w:tc>
            </w:tr>
            <w:tr w14:paraId="3BF0C69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02" w:type="pct"/>
                  <w:vAlign w:val="center"/>
                </w:tcPr>
                <w:p w14:paraId="75CA5867">
                  <w:pPr>
                    <w:keepNext w:val="0"/>
                    <w:keepLines w:val="0"/>
                    <w:suppressLineNumbers w:val="0"/>
                    <w:spacing w:before="0" w:beforeAutospacing="0" w:after="0" w:afterAutospacing="0"/>
                    <w:ind w:left="0" w:right="0"/>
                    <w:jc w:val="center"/>
                    <w:rPr>
                      <w:rFonts w:hint="default" w:eastAsia="宋体"/>
                      <w:color w:val="auto"/>
                      <w:szCs w:val="21"/>
                      <w:highlight w:val="none"/>
                      <w:lang w:val="en-US" w:eastAsia="zh-CN"/>
                    </w:rPr>
                  </w:pPr>
                  <w:r>
                    <w:rPr>
                      <w:rFonts w:hint="eastAsia"/>
                      <w:color w:val="auto"/>
                      <w:szCs w:val="21"/>
                      <w:highlight w:val="none"/>
                      <w:lang w:val="en-US" w:eastAsia="zh-CN"/>
                    </w:rPr>
                    <w:t>9</w:t>
                  </w:r>
                </w:p>
              </w:tc>
              <w:tc>
                <w:tcPr>
                  <w:tcW w:w="1864" w:type="pct"/>
                  <w:shd w:val="clear" w:color="auto" w:fill="auto"/>
                  <w:vAlign w:val="center"/>
                </w:tcPr>
                <w:p w14:paraId="19975B26">
                  <w:pPr>
                    <w:pStyle w:val="143"/>
                    <w:spacing w:before="0" w:line="240" w:lineRule="auto"/>
                    <w:ind w:firstLine="0" w:firstLineChars="0"/>
                    <w:rPr>
                      <w:rFonts w:hint="eastAsia" w:ascii="宋体" w:hAnsi="宋体" w:eastAsia="宋体" w:cs="宋体"/>
                      <w:color w:val="auto"/>
                      <w:kern w:val="0"/>
                      <w:sz w:val="21"/>
                      <w:szCs w:val="21"/>
                      <w:lang w:val="en-US" w:eastAsia="zh-CN" w:bidi="ar-SA"/>
                    </w:rPr>
                  </w:pPr>
                  <w:r>
                    <w:rPr>
                      <w:rFonts w:hint="eastAsia" w:ascii="宋体" w:hAnsi="宋体" w:cs="宋体"/>
                      <w:color w:val="auto"/>
                      <w:szCs w:val="21"/>
                    </w:rPr>
                    <w:t>等离子</w:t>
                  </w:r>
                  <w:r>
                    <w:rPr>
                      <w:rFonts w:hint="eastAsia" w:ascii="宋体" w:hAnsi="宋体" w:cs="宋体"/>
                      <w:color w:val="auto"/>
                      <w:szCs w:val="21"/>
                      <w:lang w:val="en-US" w:eastAsia="zh-CN"/>
                    </w:rPr>
                    <w:t>切割机</w:t>
                  </w:r>
                </w:p>
              </w:tc>
              <w:tc>
                <w:tcPr>
                  <w:tcW w:w="1242" w:type="pct"/>
                  <w:vAlign w:val="center"/>
                </w:tcPr>
                <w:p w14:paraId="5FA711F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台</w:t>
                  </w:r>
                </w:p>
              </w:tc>
              <w:tc>
                <w:tcPr>
                  <w:tcW w:w="990" w:type="pct"/>
                  <w:shd w:val="clear" w:color="auto" w:fill="auto"/>
                  <w:vAlign w:val="center"/>
                </w:tcPr>
                <w:p w14:paraId="62743FD8">
                  <w:pPr>
                    <w:pStyle w:val="143"/>
                    <w:spacing w:before="0" w:line="240" w:lineRule="auto"/>
                    <w:ind w:firstLine="0" w:firstLineChars="0"/>
                    <w:rPr>
                      <w:rFonts w:hint="eastAsia" w:ascii="Times New Roman" w:hAnsi="Times New Roman" w:eastAsia="宋体" w:cs="Arial"/>
                      <w:color w:val="auto"/>
                      <w:kern w:val="0"/>
                      <w:sz w:val="24"/>
                      <w:szCs w:val="24"/>
                      <w:lang w:val="en-US" w:eastAsia="zh-CN" w:bidi="ar-SA"/>
                    </w:rPr>
                  </w:pPr>
                  <w:r>
                    <w:rPr>
                      <w:rFonts w:hint="eastAsia" w:cs="Arial"/>
                      <w:color w:val="auto"/>
                      <w:sz w:val="24"/>
                    </w:rPr>
                    <w:t>2</w:t>
                  </w:r>
                </w:p>
              </w:tc>
            </w:tr>
            <w:tr w14:paraId="1F00A87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02" w:type="pct"/>
                  <w:vAlign w:val="center"/>
                </w:tcPr>
                <w:p w14:paraId="62595A6F">
                  <w:pPr>
                    <w:keepNext w:val="0"/>
                    <w:keepLines w:val="0"/>
                    <w:suppressLineNumbers w:val="0"/>
                    <w:spacing w:before="0" w:beforeAutospacing="0" w:after="0" w:afterAutospacing="0"/>
                    <w:ind w:left="0" w:right="0"/>
                    <w:jc w:val="center"/>
                    <w:rPr>
                      <w:rFonts w:hint="default" w:eastAsia="宋体"/>
                      <w:color w:val="auto"/>
                      <w:szCs w:val="21"/>
                      <w:highlight w:val="none"/>
                      <w:lang w:val="en-US" w:eastAsia="zh-CN"/>
                    </w:rPr>
                  </w:pPr>
                  <w:r>
                    <w:rPr>
                      <w:rFonts w:hint="eastAsia"/>
                      <w:color w:val="auto"/>
                      <w:szCs w:val="21"/>
                      <w:highlight w:val="none"/>
                      <w:lang w:val="en-US" w:eastAsia="zh-CN"/>
                    </w:rPr>
                    <w:t>10</w:t>
                  </w:r>
                </w:p>
              </w:tc>
              <w:tc>
                <w:tcPr>
                  <w:tcW w:w="1864" w:type="pct"/>
                  <w:shd w:val="clear" w:color="auto" w:fill="auto"/>
                  <w:vAlign w:val="center"/>
                </w:tcPr>
                <w:p w14:paraId="52B20E86">
                  <w:pPr>
                    <w:pStyle w:val="143"/>
                    <w:spacing w:before="0" w:line="240" w:lineRule="auto"/>
                    <w:ind w:firstLine="0" w:firstLineChars="0"/>
                    <w:rPr>
                      <w:rFonts w:hint="eastAsia" w:ascii="宋体" w:hAnsi="宋体" w:eastAsia="宋体" w:cs="宋体"/>
                      <w:color w:val="auto"/>
                      <w:kern w:val="0"/>
                      <w:sz w:val="21"/>
                      <w:szCs w:val="21"/>
                      <w:lang w:val="en-US" w:eastAsia="zh-CN" w:bidi="ar-SA"/>
                    </w:rPr>
                  </w:pPr>
                  <w:r>
                    <w:rPr>
                      <w:rFonts w:hint="eastAsia" w:ascii="宋体" w:hAnsi="宋体" w:cs="宋体"/>
                      <w:color w:val="auto"/>
                      <w:szCs w:val="21"/>
                      <w:lang w:val="en-US" w:eastAsia="zh-CN"/>
                    </w:rPr>
                    <w:t>油桶</w:t>
                  </w:r>
                </w:p>
              </w:tc>
              <w:tc>
                <w:tcPr>
                  <w:tcW w:w="1242" w:type="pct"/>
                  <w:vAlign w:val="center"/>
                </w:tcPr>
                <w:p w14:paraId="540354A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个</w:t>
                  </w:r>
                </w:p>
              </w:tc>
              <w:tc>
                <w:tcPr>
                  <w:tcW w:w="990" w:type="pct"/>
                  <w:shd w:val="clear" w:color="auto" w:fill="auto"/>
                  <w:vAlign w:val="center"/>
                </w:tcPr>
                <w:p w14:paraId="04F4CAC8">
                  <w:pPr>
                    <w:pStyle w:val="143"/>
                    <w:spacing w:before="0" w:line="240" w:lineRule="auto"/>
                    <w:ind w:firstLine="0" w:firstLineChars="0"/>
                    <w:rPr>
                      <w:rFonts w:hint="eastAsia" w:ascii="Times New Roman" w:hAnsi="Times New Roman" w:eastAsia="宋体" w:cs="Arial"/>
                      <w:color w:val="auto"/>
                      <w:kern w:val="0"/>
                      <w:sz w:val="24"/>
                      <w:szCs w:val="24"/>
                      <w:lang w:val="en-US" w:eastAsia="zh-CN" w:bidi="ar-SA"/>
                    </w:rPr>
                  </w:pPr>
                  <w:r>
                    <w:rPr>
                      <w:rFonts w:hint="eastAsia" w:cs="Arial"/>
                      <w:color w:val="auto"/>
                      <w:sz w:val="24"/>
                    </w:rPr>
                    <w:t>8</w:t>
                  </w:r>
                </w:p>
              </w:tc>
            </w:tr>
            <w:tr w14:paraId="6942A02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02" w:type="pct"/>
                  <w:vAlign w:val="center"/>
                </w:tcPr>
                <w:p w14:paraId="5226DEFC">
                  <w:pPr>
                    <w:keepNext w:val="0"/>
                    <w:keepLines w:val="0"/>
                    <w:suppressLineNumbers w:val="0"/>
                    <w:spacing w:before="0" w:beforeAutospacing="0" w:after="0" w:afterAutospacing="0"/>
                    <w:ind w:left="0" w:right="0"/>
                    <w:jc w:val="center"/>
                    <w:rPr>
                      <w:rFonts w:hint="default"/>
                      <w:color w:val="auto"/>
                      <w:szCs w:val="21"/>
                      <w:highlight w:val="none"/>
                      <w:lang w:val="en-US" w:eastAsia="zh-CN"/>
                    </w:rPr>
                  </w:pPr>
                  <w:r>
                    <w:rPr>
                      <w:rFonts w:hint="eastAsia"/>
                      <w:color w:val="auto"/>
                      <w:szCs w:val="21"/>
                      <w:highlight w:val="none"/>
                      <w:lang w:val="en-US" w:eastAsia="zh-CN"/>
                    </w:rPr>
                    <w:t>11</w:t>
                  </w:r>
                </w:p>
              </w:tc>
              <w:tc>
                <w:tcPr>
                  <w:tcW w:w="1864" w:type="pct"/>
                  <w:vAlign w:val="center"/>
                </w:tcPr>
                <w:p w14:paraId="5CAEC614">
                  <w:pPr>
                    <w:keepNext w:val="0"/>
                    <w:keepLines w:val="0"/>
                    <w:suppressLineNumbers w:val="0"/>
                    <w:spacing w:before="0" w:beforeAutospacing="0" w:after="0" w:afterAutospacing="0"/>
                    <w:ind w:left="0" w:right="0"/>
                    <w:jc w:val="center"/>
                    <w:rPr>
                      <w:rFonts w:hint="default"/>
                      <w:color w:val="auto"/>
                      <w:szCs w:val="21"/>
                      <w:highlight w:val="none"/>
                      <w:lang w:val="en-US" w:eastAsia="zh-CN"/>
                    </w:rPr>
                  </w:pPr>
                  <w:r>
                    <w:rPr>
                      <w:rFonts w:hint="eastAsia"/>
                      <w:color w:val="auto"/>
                      <w:szCs w:val="21"/>
                      <w:highlight w:val="none"/>
                      <w:lang w:val="en-US" w:eastAsia="zh-CN"/>
                    </w:rPr>
                    <w:t>2.5t/h燃生物质锅炉</w:t>
                  </w:r>
                </w:p>
              </w:tc>
              <w:tc>
                <w:tcPr>
                  <w:tcW w:w="1242" w:type="pct"/>
                  <w:vAlign w:val="center"/>
                </w:tcPr>
                <w:p w14:paraId="1215F22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台</w:t>
                  </w:r>
                </w:p>
              </w:tc>
              <w:tc>
                <w:tcPr>
                  <w:tcW w:w="990" w:type="pct"/>
                  <w:vAlign w:val="center"/>
                </w:tcPr>
                <w:p w14:paraId="44370219">
                  <w:pPr>
                    <w:pStyle w:val="143"/>
                    <w:spacing w:before="0" w:line="240" w:lineRule="auto"/>
                    <w:ind w:firstLine="0" w:firstLineChars="0"/>
                    <w:rPr>
                      <w:rFonts w:hint="eastAsia" w:eastAsia="宋体" w:cs="Arial"/>
                      <w:color w:val="auto"/>
                      <w:sz w:val="24"/>
                      <w:lang w:val="en-US" w:eastAsia="zh-CN"/>
                    </w:rPr>
                  </w:pPr>
                  <w:r>
                    <w:rPr>
                      <w:rFonts w:hint="eastAsia" w:cs="Arial"/>
                      <w:color w:val="auto"/>
                      <w:sz w:val="24"/>
                      <w:lang w:val="en-US" w:eastAsia="zh-CN"/>
                    </w:rPr>
                    <w:t>1</w:t>
                  </w:r>
                </w:p>
              </w:tc>
            </w:tr>
            <w:tr w14:paraId="78DD213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02" w:type="pct"/>
                  <w:shd w:val="clear" w:color="auto" w:fill="auto"/>
                  <w:vAlign w:val="center"/>
                </w:tcPr>
                <w:p w14:paraId="1348DBB0">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12</w:t>
                  </w:r>
                </w:p>
              </w:tc>
              <w:tc>
                <w:tcPr>
                  <w:tcW w:w="1864" w:type="pct"/>
                  <w:vAlign w:val="center"/>
                </w:tcPr>
                <w:p w14:paraId="124F2D03">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预处理工作台</w:t>
                  </w:r>
                </w:p>
              </w:tc>
              <w:tc>
                <w:tcPr>
                  <w:tcW w:w="1242" w:type="pct"/>
                  <w:vAlign w:val="center"/>
                </w:tcPr>
                <w:p w14:paraId="5279BF84">
                  <w:pPr>
                    <w:keepNext w:val="0"/>
                    <w:keepLines w:val="0"/>
                    <w:suppressLineNumbers w:val="0"/>
                    <w:spacing w:before="0" w:beforeAutospacing="0" w:after="0" w:afterAutospacing="0"/>
                    <w:ind w:left="0" w:right="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台</w:t>
                  </w:r>
                </w:p>
              </w:tc>
              <w:tc>
                <w:tcPr>
                  <w:tcW w:w="1639" w:type="dxa"/>
                  <w:vAlign w:val="center"/>
                </w:tcPr>
                <w:p w14:paraId="410279E3">
                  <w:pPr>
                    <w:pStyle w:val="143"/>
                    <w:spacing w:before="0" w:line="240" w:lineRule="auto"/>
                    <w:ind w:firstLine="0" w:firstLineChars="0"/>
                    <w:rPr>
                      <w:rFonts w:hint="eastAsia" w:ascii="Times New Roman" w:hAnsi="Times New Roman" w:eastAsia="宋体" w:cs="Arial"/>
                      <w:color w:val="auto"/>
                      <w:sz w:val="24"/>
                      <w:lang w:val="en-US" w:eastAsia="zh-CN"/>
                    </w:rPr>
                  </w:pPr>
                  <w:r>
                    <w:rPr>
                      <w:rFonts w:hint="eastAsia" w:ascii="Times New Roman" w:hAnsi="Times New Roman" w:eastAsia="宋体" w:cs="Arial"/>
                      <w:color w:val="auto"/>
                      <w:sz w:val="24"/>
                      <w:lang w:val="en-US" w:eastAsia="zh-CN"/>
                    </w:rPr>
                    <w:t>1</w:t>
                  </w:r>
                </w:p>
              </w:tc>
            </w:tr>
            <w:tr w14:paraId="733860A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02" w:type="pct"/>
                  <w:shd w:val="clear" w:color="auto" w:fill="auto"/>
                  <w:vAlign w:val="center"/>
                </w:tcPr>
                <w:p w14:paraId="4E491FBD">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13</w:t>
                  </w:r>
                </w:p>
              </w:tc>
              <w:tc>
                <w:tcPr>
                  <w:tcW w:w="1864" w:type="pct"/>
                  <w:vAlign w:val="center"/>
                </w:tcPr>
                <w:p w14:paraId="4A7AE80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乙炔-氧切割机</w:t>
                  </w:r>
                </w:p>
              </w:tc>
              <w:tc>
                <w:tcPr>
                  <w:tcW w:w="1242" w:type="pct"/>
                  <w:vAlign w:val="center"/>
                </w:tcPr>
                <w:p w14:paraId="6D4FB165">
                  <w:pPr>
                    <w:keepNext w:val="0"/>
                    <w:keepLines w:val="0"/>
                    <w:suppressLineNumbers w:val="0"/>
                    <w:spacing w:before="0" w:beforeAutospacing="0" w:after="0" w:afterAutospacing="0"/>
                    <w:ind w:left="0" w:right="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台</w:t>
                  </w:r>
                </w:p>
              </w:tc>
              <w:tc>
                <w:tcPr>
                  <w:tcW w:w="1639" w:type="dxa"/>
                  <w:vAlign w:val="center"/>
                </w:tcPr>
                <w:p w14:paraId="33F0AC96">
                  <w:pPr>
                    <w:pStyle w:val="143"/>
                    <w:spacing w:before="0" w:line="240" w:lineRule="auto"/>
                    <w:ind w:firstLine="0" w:firstLineChars="0"/>
                    <w:rPr>
                      <w:rFonts w:hint="eastAsia" w:ascii="Times New Roman" w:hAnsi="Times New Roman" w:eastAsia="宋体" w:cs="Arial"/>
                      <w:color w:val="auto"/>
                      <w:sz w:val="24"/>
                      <w:lang w:val="en-US" w:eastAsia="zh-CN"/>
                    </w:rPr>
                  </w:pPr>
                  <w:r>
                    <w:rPr>
                      <w:rFonts w:hint="eastAsia" w:ascii="Times New Roman" w:hAnsi="Times New Roman" w:eastAsia="宋体" w:cs="Arial"/>
                      <w:color w:val="auto"/>
                      <w:sz w:val="24"/>
                      <w:lang w:val="en-US" w:eastAsia="zh-CN"/>
                    </w:rPr>
                    <w:t>1</w:t>
                  </w:r>
                </w:p>
              </w:tc>
            </w:tr>
            <w:tr w14:paraId="37092A7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02" w:type="pct"/>
                  <w:shd w:val="clear" w:color="auto" w:fill="auto"/>
                  <w:vAlign w:val="center"/>
                </w:tcPr>
                <w:p w14:paraId="3E670EB0">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14</w:t>
                  </w:r>
                </w:p>
              </w:tc>
              <w:tc>
                <w:tcPr>
                  <w:tcW w:w="1864" w:type="pct"/>
                  <w:vAlign w:val="center"/>
                </w:tcPr>
                <w:p w14:paraId="39ABF89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油水分离器</w:t>
                  </w:r>
                </w:p>
              </w:tc>
              <w:tc>
                <w:tcPr>
                  <w:tcW w:w="1242" w:type="pct"/>
                  <w:vAlign w:val="center"/>
                </w:tcPr>
                <w:p w14:paraId="0516798C">
                  <w:pPr>
                    <w:keepNext w:val="0"/>
                    <w:keepLines w:val="0"/>
                    <w:suppressLineNumbers w:val="0"/>
                    <w:spacing w:before="0" w:beforeAutospacing="0" w:after="0" w:afterAutospacing="0"/>
                    <w:ind w:left="0" w:right="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台</w:t>
                  </w:r>
                </w:p>
              </w:tc>
              <w:tc>
                <w:tcPr>
                  <w:tcW w:w="1639" w:type="dxa"/>
                  <w:vAlign w:val="center"/>
                </w:tcPr>
                <w:p w14:paraId="3457A0FB">
                  <w:pPr>
                    <w:pStyle w:val="143"/>
                    <w:spacing w:before="0" w:line="240" w:lineRule="auto"/>
                    <w:ind w:firstLine="0" w:firstLineChars="0"/>
                    <w:rPr>
                      <w:rFonts w:hint="eastAsia" w:ascii="Times New Roman" w:hAnsi="Times New Roman" w:eastAsia="宋体" w:cs="Arial"/>
                      <w:color w:val="auto"/>
                      <w:sz w:val="24"/>
                      <w:lang w:val="en-US" w:eastAsia="zh-CN"/>
                    </w:rPr>
                  </w:pPr>
                  <w:r>
                    <w:rPr>
                      <w:rFonts w:hint="eastAsia" w:ascii="Times New Roman" w:hAnsi="Times New Roman" w:eastAsia="宋体" w:cs="Arial"/>
                      <w:color w:val="auto"/>
                      <w:sz w:val="24"/>
                      <w:lang w:val="en-US" w:eastAsia="zh-CN"/>
                    </w:rPr>
                    <w:t>2</w:t>
                  </w:r>
                </w:p>
              </w:tc>
            </w:tr>
            <w:tr w14:paraId="40E658B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02" w:type="pct"/>
                  <w:vAlign w:val="center"/>
                </w:tcPr>
                <w:p w14:paraId="1EF1655B">
                  <w:pPr>
                    <w:keepNext w:val="0"/>
                    <w:keepLines w:val="0"/>
                    <w:suppressLineNumbers w:val="0"/>
                    <w:spacing w:before="0" w:beforeAutospacing="0" w:after="0" w:afterAutospacing="0"/>
                    <w:ind w:left="0" w:right="0"/>
                    <w:jc w:val="center"/>
                    <w:rPr>
                      <w:rFonts w:hint="default"/>
                      <w:color w:val="auto"/>
                      <w:szCs w:val="21"/>
                      <w:highlight w:val="none"/>
                      <w:lang w:val="en-US" w:eastAsia="zh-CN"/>
                    </w:rPr>
                  </w:pPr>
                  <w:r>
                    <w:rPr>
                      <w:rFonts w:hint="eastAsia"/>
                      <w:color w:val="auto"/>
                      <w:szCs w:val="21"/>
                      <w:highlight w:val="none"/>
                      <w:lang w:val="en-US" w:eastAsia="zh-CN"/>
                    </w:rPr>
                    <w:t>15</w:t>
                  </w:r>
                </w:p>
              </w:tc>
              <w:tc>
                <w:tcPr>
                  <w:tcW w:w="1864" w:type="pct"/>
                  <w:vAlign w:val="center"/>
                </w:tcPr>
                <w:p w14:paraId="7C37C94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放油机</w:t>
                  </w:r>
                </w:p>
              </w:tc>
              <w:tc>
                <w:tcPr>
                  <w:tcW w:w="1242" w:type="pct"/>
                  <w:vAlign w:val="center"/>
                </w:tcPr>
                <w:p w14:paraId="010BC587">
                  <w:pPr>
                    <w:keepNext w:val="0"/>
                    <w:keepLines w:val="0"/>
                    <w:suppressLineNumbers w:val="0"/>
                    <w:spacing w:before="0" w:beforeAutospacing="0" w:after="0" w:afterAutospacing="0"/>
                    <w:ind w:left="0" w:right="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台</w:t>
                  </w:r>
                </w:p>
              </w:tc>
              <w:tc>
                <w:tcPr>
                  <w:tcW w:w="1639" w:type="dxa"/>
                  <w:vAlign w:val="center"/>
                </w:tcPr>
                <w:p w14:paraId="372D7B11">
                  <w:pPr>
                    <w:pStyle w:val="143"/>
                    <w:spacing w:before="0" w:line="240" w:lineRule="auto"/>
                    <w:ind w:firstLine="0" w:firstLineChars="0"/>
                    <w:rPr>
                      <w:rFonts w:hint="eastAsia" w:ascii="Times New Roman" w:hAnsi="Times New Roman" w:eastAsia="宋体" w:cs="Arial"/>
                      <w:color w:val="auto"/>
                      <w:sz w:val="24"/>
                      <w:lang w:val="en-US" w:eastAsia="zh-CN"/>
                    </w:rPr>
                  </w:pPr>
                  <w:r>
                    <w:rPr>
                      <w:rFonts w:hint="eastAsia" w:ascii="Times New Roman" w:hAnsi="Times New Roman" w:eastAsia="宋体" w:cs="Arial"/>
                      <w:color w:val="auto"/>
                      <w:sz w:val="24"/>
                      <w:lang w:val="en-US" w:eastAsia="zh-CN"/>
                    </w:rPr>
                    <w:t>1</w:t>
                  </w:r>
                </w:p>
              </w:tc>
            </w:tr>
            <w:tr w14:paraId="19957D8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02" w:type="pct"/>
                  <w:vAlign w:val="center"/>
                </w:tcPr>
                <w:p w14:paraId="6C14FB67">
                  <w:pPr>
                    <w:keepNext w:val="0"/>
                    <w:keepLines w:val="0"/>
                    <w:suppressLineNumbers w:val="0"/>
                    <w:spacing w:before="0" w:beforeAutospacing="0" w:after="0" w:afterAutospacing="0"/>
                    <w:ind w:left="0" w:right="0"/>
                    <w:jc w:val="center"/>
                    <w:rPr>
                      <w:rFonts w:hint="default"/>
                      <w:color w:val="auto"/>
                      <w:szCs w:val="21"/>
                      <w:highlight w:val="none"/>
                      <w:lang w:val="en-US" w:eastAsia="zh-CN"/>
                    </w:rPr>
                  </w:pPr>
                  <w:r>
                    <w:rPr>
                      <w:rFonts w:hint="eastAsia"/>
                      <w:color w:val="auto"/>
                      <w:szCs w:val="21"/>
                      <w:highlight w:val="none"/>
                      <w:lang w:val="en-US" w:eastAsia="zh-CN"/>
                    </w:rPr>
                    <w:t>16</w:t>
                  </w:r>
                </w:p>
              </w:tc>
              <w:tc>
                <w:tcPr>
                  <w:tcW w:w="1864" w:type="pct"/>
                  <w:vAlign w:val="center"/>
                </w:tcPr>
                <w:p w14:paraId="761DC23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充放电机</w:t>
                  </w:r>
                </w:p>
              </w:tc>
              <w:tc>
                <w:tcPr>
                  <w:tcW w:w="1242" w:type="pct"/>
                  <w:vAlign w:val="center"/>
                </w:tcPr>
                <w:p w14:paraId="4D508250">
                  <w:pPr>
                    <w:keepNext w:val="0"/>
                    <w:keepLines w:val="0"/>
                    <w:suppressLineNumbers w:val="0"/>
                    <w:spacing w:before="0" w:beforeAutospacing="0" w:after="0" w:afterAutospacing="0"/>
                    <w:ind w:left="0" w:right="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台</w:t>
                  </w:r>
                </w:p>
              </w:tc>
              <w:tc>
                <w:tcPr>
                  <w:tcW w:w="1639" w:type="dxa"/>
                  <w:vAlign w:val="center"/>
                </w:tcPr>
                <w:p w14:paraId="7E3BB836">
                  <w:pPr>
                    <w:pStyle w:val="143"/>
                    <w:spacing w:before="0" w:line="240" w:lineRule="auto"/>
                    <w:ind w:firstLine="0" w:firstLineChars="0"/>
                    <w:rPr>
                      <w:rFonts w:hint="eastAsia" w:ascii="Times New Roman" w:hAnsi="Times New Roman" w:eastAsia="宋体" w:cs="Arial"/>
                      <w:color w:val="auto"/>
                      <w:sz w:val="24"/>
                      <w:lang w:val="en-US" w:eastAsia="zh-CN"/>
                    </w:rPr>
                  </w:pPr>
                  <w:r>
                    <w:rPr>
                      <w:rFonts w:hint="eastAsia" w:ascii="Times New Roman" w:hAnsi="Times New Roman" w:eastAsia="宋体" w:cs="Arial"/>
                      <w:color w:val="auto"/>
                      <w:sz w:val="24"/>
                      <w:lang w:val="en-US" w:eastAsia="zh-CN"/>
                    </w:rPr>
                    <w:t>1</w:t>
                  </w:r>
                </w:p>
              </w:tc>
            </w:tr>
            <w:tr w14:paraId="2299E5B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02" w:type="pct"/>
                  <w:vAlign w:val="center"/>
                </w:tcPr>
                <w:p w14:paraId="3AD2FAF4">
                  <w:pPr>
                    <w:keepNext w:val="0"/>
                    <w:keepLines w:val="0"/>
                    <w:suppressLineNumbers w:val="0"/>
                    <w:spacing w:before="0" w:beforeAutospacing="0" w:after="0" w:afterAutospacing="0"/>
                    <w:ind w:left="0" w:right="0"/>
                    <w:jc w:val="center"/>
                    <w:rPr>
                      <w:rFonts w:hint="default"/>
                      <w:color w:val="auto"/>
                      <w:szCs w:val="21"/>
                      <w:highlight w:val="none"/>
                      <w:lang w:val="en-US" w:eastAsia="zh-CN"/>
                    </w:rPr>
                  </w:pPr>
                  <w:r>
                    <w:rPr>
                      <w:rFonts w:hint="eastAsia"/>
                      <w:color w:val="auto"/>
                      <w:szCs w:val="21"/>
                      <w:highlight w:val="none"/>
                      <w:lang w:val="en-US" w:eastAsia="zh-CN"/>
                    </w:rPr>
                    <w:t>17</w:t>
                  </w:r>
                </w:p>
              </w:tc>
              <w:tc>
                <w:tcPr>
                  <w:tcW w:w="1864" w:type="pct"/>
                  <w:vAlign w:val="center"/>
                </w:tcPr>
                <w:p w14:paraId="390913C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翻转机</w:t>
                  </w:r>
                </w:p>
              </w:tc>
              <w:tc>
                <w:tcPr>
                  <w:tcW w:w="1242" w:type="pct"/>
                  <w:vAlign w:val="center"/>
                </w:tcPr>
                <w:p w14:paraId="5A7EF7A6">
                  <w:pPr>
                    <w:keepNext w:val="0"/>
                    <w:keepLines w:val="0"/>
                    <w:suppressLineNumbers w:val="0"/>
                    <w:spacing w:before="0" w:beforeAutospacing="0" w:after="0" w:afterAutospacing="0"/>
                    <w:ind w:left="0" w:right="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台</w:t>
                  </w:r>
                </w:p>
              </w:tc>
              <w:tc>
                <w:tcPr>
                  <w:tcW w:w="1639" w:type="dxa"/>
                  <w:vAlign w:val="center"/>
                </w:tcPr>
                <w:p w14:paraId="1E2A7862">
                  <w:pPr>
                    <w:pStyle w:val="143"/>
                    <w:spacing w:before="0" w:line="240" w:lineRule="auto"/>
                    <w:ind w:firstLine="0" w:firstLineChars="0"/>
                    <w:rPr>
                      <w:rFonts w:hint="eastAsia" w:ascii="Times New Roman" w:hAnsi="Times New Roman" w:eastAsia="宋体" w:cs="Arial"/>
                      <w:color w:val="auto"/>
                      <w:sz w:val="24"/>
                      <w:lang w:val="en-US" w:eastAsia="zh-CN"/>
                    </w:rPr>
                  </w:pPr>
                  <w:r>
                    <w:rPr>
                      <w:rFonts w:hint="eastAsia" w:ascii="Times New Roman" w:hAnsi="Times New Roman" w:eastAsia="宋体" w:cs="Arial"/>
                      <w:color w:val="auto"/>
                      <w:sz w:val="24"/>
                      <w:lang w:val="en-US" w:eastAsia="zh-CN"/>
                    </w:rPr>
                    <w:t>1</w:t>
                  </w:r>
                </w:p>
              </w:tc>
            </w:tr>
            <w:tr w14:paraId="5FF6D3C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02" w:type="pct"/>
                  <w:vAlign w:val="center"/>
                </w:tcPr>
                <w:p w14:paraId="661EEE97">
                  <w:pPr>
                    <w:keepNext w:val="0"/>
                    <w:keepLines w:val="0"/>
                    <w:suppressLineNumbers w:val="0"/>
                    <w:spacing w:before="0" w:beforeAutospacing="0" w:after="0" w:afterAutospacing="0"/>
                    <w:ind w:left="0" w:right="0"/>
                    <w:jc w:val="center"/>
                    <w:rPr>
                      <w:rFonts w:hint="default"/>
                      <w:color w:val="auto"/>
                      <w:szCs w:val="21"/>
                      <w:highlight w:val="none"/>
                      <w:lang w:val="en-US" w:eastAsia="zh-CN"/>
                    </w:rPr>
                  </w:pPr>
                  <w:r>
                    <w:rPr>
                      <w:rFonts w:hint="eastAsia"/>
                      <w:color w:val="auto"/>
                      <w:szCs w:val="21"/>
                      <w:highlight w:val="none"/>
                      <w:lang w:val="en-US" w:eastAsia="zh-CN"/>
                    </w:rPr>
                    <w:t>18</w:t>
                  </w:r>
                </w:p>
              </w:tc>
              <w:tc>
                <w:tcPr>
                  <w:tcW w:w="1864" w:type="pct"/>
                  <w:vAlign w:val="center"/>
                </w:tcPr>
                <w:p w14:paraId="6A0D6DD9">
                  <w:pPr>
                    <w:keepNext w:val="0"/>
                    <w:keepLines w:val="0"/>
                    <w:suppressLineNumbers w:val="0"/>
                    <w:spacing w:before="0" w:beforeAutospacing="0" w:after="0" w:afterAutospacing="0"/>
                    <w:ind w:left="0" w:right="0"/>
                    <w:jc w:val="center"/>
                    <w:rPr>
                      <w:rFonts w:hint="default"/>
                      <w:color w:val="auto"/>
                      <w:szCs w:val="21"/>
                      <w:highlight w:val="none"/>
                      <w:lang w:val="en-US" w:eastAsia="zh-CN"/>
                    </w:rPr>
                  </w:pPr>
                  <w:r>
                    <w:rPr>
                      <w:rFonts w:hint="eastAsia"/>
                      <w:color w:val="auto"/>
                      <w:szCs w:val="21"/>
                      <w:highlight w:val="none"/>
                      <w:lang w:val="en-US" w:eastAsia="zh-CN"/>
                    </w:rPr>
                    <w:t>软化水制备系统</w:t>
                  </w:r>
                </w:p>
              </w:tc>
              <w:tc>
                <w:tcPr>
                  <w:tcW w:w="1242" w:type="pct"/>
                  <w:vAlign w:val="center"/>
                </w:tcPr>
                <w:p w14:paraId="76CFB52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套</w:t>
                  </w:r>
                </w:p>
              </w:tc>
              <w:tc>
                <w:tcPr>
                  <w:tcW w:w="990" w:type="pct"/>
                  <w:vAlign w:val="center"/>
                </w:tcPr>
                <w:p w14:paraId="51AC5B9A">
                  <w:pPr>
                    <w:pStyle w:val="143"/>
                    <w:spacing w:before="0" w:line="240" w:lineRule="auto"/>
                    <w:ind w:firstLine="0" w:firstLineChars="0"/>
                    <w:rPr>
                      <w:rFonts w:hint="eastAsia" w:eastAsia="宋体" w:cs="Arial"/>
                      <w:color w:val="auto"/>
                      <w:sz w:val="24"/>
                      <w:lang w:val="en-US" w:eastAsia="zh-CN"/>
                    </w:rPr>
                  </w:pPr>
                  <w:r>
                    <w:rPr>
                      <w:rFonts w:hint="eastAsia" w:cs="Arial"/>
                      <w:color w:val="auto"/>
                      <w:sz w:val="24"/>
                      <w:lang w:val="en-US" w:eastAsia="zh-CN"/>
                    </w:rPr>
                    <w:t>1</w:t>
                  </w:r>
                </w:p>
              </w:tc>
            </w:tr>
            <w:tr w14:paraId="7194440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02" w:type="pct"/>
                  <w:vAlign w:val="center"/>
                </w:tcPr>
                <w:p w14:paraId="0360F791">
                  <w:pPr>
                    <w:keepNext w:val="0"/>
                    <w:keepLines w:val="0"/>
                    <w:suppressLineNumbers w:val="0"/>
                    <w:spacing w:before="0" w:beforeAutospacing="0" w:after="0" w:afterAutospacing="0"/>
                    <w:ind w:left="0" w:right="0"/>
                    <w:jc w:val="center"/>
                    <w:rPr>
                      <w:rFonts w:hint="default"/>
                      <w:color w:val="auto"/>
                      <w:szCs w:val="21"/>
                      <w:highlight w:val="none"/>
                      <w:lang w:val="en-US" w:eastAsia="zh-CN"/>
                    </w:rPr>
                  </w:pPr>
                  <w:r>
                    <w:rPr>
                      <w:rFonts w:hint="eastAsia"/>
                      <w:color w:val="auto"/>
                      <w:szCs w:val="21"/>
                      <w:highlight w:val="none"/>
                      <w:lang w:val="en-US" w:eastAsia="zh-CN"/>
                    </w:rPr>
                    <w:t>19</w:t>
                  </w:r>
                </w:p>
              </w:tc>
              <w:tc>
                <w:tcPr>
                  <w:tcW w:w="1864" w:type="pct"/>
                  <w:vAlign w:val="center"/>
                </w:tcPr>
                <w:p w14:paraId="5D2609FE">
                  <w:pPr>
                    <w:keepNext w:val="0"/>
                    <w:keepLines w:val="0"/>
                    <w:suppressLineNumbers w:val="0"/>
                    <w:spacing w:before="0" w:beforeAutospacing="0" w:after="0" w:afterAutospacing="0"/>
                    <w:ind w:left="0" w:right="0"/>
                    <w:jc w:val="center"/>
                    <w:rPr>
                      <w:rFonts w:hint="default"/>
                      <w:color w:val="auto"/>
                      <w:szCs w:val="21"/>
                      <w:highlight w:val="none"/>
                      <w:lang w:val="en-US" w:eastAsia="zh-CN"/>
                    </w:rPr>
                  </w:pPr>
                  <w:r>
                    <w:rPr>
                      <w:rFonts w:hint="eastAsia"/>
                      <w:color w:val="auto"/>
                      <w:szCs w:val="21"/>
                      <w:highlight w:val="none"/>
                      <w:lang w:val="en-US" w:eastAsia="zh-CN"/>
                    </w:rPr>
                    <w:t>引风机</w:t>
                  </w:r>
                </w:p>
              </w:tc>
              <w:tc>
                <w:tcPr>
                  <w:tcW w:w="1242" w:type="pct"/>
                  <w:vAlign w:val="center"/>
                </w:tcPr>
                <w:p w14:paraId="7A797BFD">
                  <w:pPr>
                    <w:keepNext w:val="0"/>
                    <w:keepLines w:val="0"/>
                    <w:suppressLineNumbers w:val="0"/>
                    <w:spacing w:before="0" w:beforeAutospacing="0" w:after="0" w:afterAutospacing="0"/>
                    <w:ind w:left="0" w:right="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台</w:t>
                  </w:r>
                </w:p>
              </w:tc>
              <w:tc>
                <w:tcPr>
                  <w:tcW w:w="990" w:type="pct"/>
                  <w:vAlign w:val="center"/>
                </w:tcPr>
                <w:p w14:paraId="3B583F74">
                  <w:pPr>
                    <w:pStyle w:val="143"/>
                    <w:spacing w:before="0" w:line="240" w:lineRule="auto"/>
                    <w:ind w:firstLine="0" w:firstLineChars="0"/>
                    <w:rPr>
                      <w:rFonts w:hint="default" w:cs="Arial"/>
                      <w:color w:val="auto"/>
                      <w:sz w:val="24"/>
                      <w:lang w:val="en-US" w:eastAsia="zh-CN"/>
                    </w:rPr>
                  </w:pPr>
                  <w:r>
                    <w:rPr>
                      <w:rFonts w:hint="eastAsia" w:cs="Arial"/>
                      <w:color w:val="auto"/>
                      <w:sz w:val="24"/>
                      <w:lang w:val="en-US" w:eastAsia="zh-CN"/>
                    </w:rPr>
                    <w:t>1</w:t>
                  </w:r>
                </w:p>
              </w:tc>
            </w:tr>
            <w:tr w14:paraId="2CA7D23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02" w:type="pct"/>
                  <w:vAlign w:val="center"/>
                </w:tcPr>
                <w:p w14:paraId="6954F140">
                  <w:pPr>
                    <w:keepNext w:val="0"/>
                    <w:keepLines w:val="0"/>
                    <w:suppressLineNumbers w:val="0"/>
                    <w:spacing w:before="0" w:beforeAutospacing="0" w:after="0" w:afterAutospacing="0"/>
                    <w:ind w:left="0" w:right="0"/>
                    <w:jc w:val="center"/>
                    <w:rPr>
                      <w:rFonts w:hint="default"/>
                      <w:color w:val="auto"/>
                      <w:szCs w:val="21"/>
                      <w:highlight w:val="none"/>
                      <w:lang w:val="en-US" w:eastAsia="zh-CN"/>
                    </w:rPr>
                  </w:pPr>
                  <w:r>
                    <w:rPr>
                      <w:rFonts w:hint="eastAsia"/>
                      <w:color w:val="auto"/>
                      <w:szCs w:val="21"/>
                      <w:highlight w:val="none"/>
                      <w:lang w:val="en-US" w:eastAsia="zh-CN"/>
                    </w:rPr>
                    <w:t>20</w:t>
                  </w:r>
                </w:p>
              </w:tc>
              <w:tc>
                <w:tcPr>
                  <w:tcW w:w="1864" w:type="pct"/>
                  <w:vAlign w:val="center"/>
                </w:tcPr>
                <w:p w14:paraId="24F1C336">
                  <w:pPr>
                    <w:keepNext w:val="0"/>
                    <w:keepLines w:val="0"/>
                    <w:suppressLineNumbers w:val="0"/>
                    <w:spacing w:before="0" w:beforeAutospacing="0" w:after="0" w:afterAutospacing="0"/>
                    <w:ind w:left="0" w:right="0"/>
                    <w:jc w:val="center"/>
                    <w:rPr>
                      <w:rFonts w:hint="default"/>
                      <w:color w:val="auto"/>
                      <w:szCs w:val="21"/>
                      <w:highlight w:val="none"/>
                      <w:lang w:val="en-US" w:eastAsia="zh-CN"/>
                    </w:rPr>
                  </w:pPr>
                  <w:r>
                    <w:rPr>
                      <w:rFonts w:hint="eastAsia"/>
                      <w:color w:val="auto"/>
                      <w:szCs w:val="21"/>
                      <w:highlight w:val="none"/>
                      <w:lang w:val="en-US" w:eastAsia="zh-CN"/>
                    </w:rPr>
                    <w:t>鼓风机</w:t>
                  </w:r>
                </w:p>
              </w:tc>
              <w:tc>
                <w:tcPr>
                  <w:tcW w:w="1242" w:type="pct"/>
                  <w:vAlign w:val="center"/>
                </w:tcPr>
                <w:p w14:paraId="30B38F45">
                  <w:pPr>
                    <w:keepNext w:val="0"/>
                    <w:keepLines w:val="0"/>
                    <w:suppressLineNumbers w:val="0"/>
                    <w:spacing w:before="0" w:beforeAutospacing="0" w:after="0" w:afterAutospacing="0"/>
                    <w:ind w:left="0" w:right="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台</w:t>
                  </w:r>
                </w:p>
              </w:tc>
              <w:tc>
                <w:tcPr>
                  <w:tcW w:w="990" w:type="pct"/>
                  <w:vAlign w:val="center"/>
                </w:tcPr>
                <w:p w14:paraId="6A60BBB2">
                  <w:pPr>
                    <w:pStyle w:val="143"/>
                    <w:spacing w:before="0" w:line="240" w:lineRule="auto"/>
                    <w:ind w:firstLine="0" w:firstLineChars="0"/>
                    <w:rPr>
                      <w:rFonts w:hint="default" w:cs="Arial"/>
                      <w:color w:val="auto"/>
                      <w:sz w:val="24"/>
                      <w:lang w:val="en-US" w:eastAsia="zh-CN"/>
                    </w:rPr>
                  </w:pPr>
                  <w:r>
                    <w:rPr>
                      <w:rFonts w:hint="eastAsia" w:cs="Arial"/>
                      <w:color w:val="auto"/>
                      <w:sz w:val="24"/>
                      <w:lang w:val="en-US" w:eastAsia="zh-CN"/>
                    </w:rPr>
                    <w:t>3</w:t>
                  </w:r>
                </w:p>
              </w:tc>
            </w:tr>
          </w:tbl>
          <w:p w14:paraId="588904FC">
            <w:pPr>
              <w:keepNext w:val="0"/>
              <w:keepLines w:val="0"/>
              <w:numPr>
                <w:ilvl w:val="0"/>
                <w:numId w:val="0"/>
              </w:numPr>
              <w:suppressLineNumbers w:val="0"/>
              <w:spacing w:before="0" w:beforeAutospacing="0" w:after="0" w:afterAutospacing="0" w:line="360" w:lineRule="auto"/>
              <w:ind w:leftChars="200" w:right="0" w:rightChars="0"/>
              <w:rPr>
                <w:rFonts w:hint="eastAsia"/>
                <w:b/>
                <w:color w:val="auto"/>
                <w:sz w:val="24"/>
                <w:highlight w:val="none"/>
                <w:lang w:eastAsia="zh-CN"/>
              </w:rPr>
            </w:pPr>
            <w:r>
              <w:rPr>
                <w:rFonts w:hint="eastAsia"/>
                <w:b/>
                <w:color w:val="auto"/>
                <w:sz w:val="24"/>
                <w:highlight w:val="none"/>
                <w:lang w:val="en-US" w:eastAsia="zh-CN"/>
              </w:rPr>
              <w:t>8</w:t>
            </w:r>
            <w:r>
              <w:rPr>
                <w:rFonts w:hint="default" w:eastAsia="宋体"/>
                <w:b/>
                <w:color w:val="auto"/>
                <w:sz w:val="24"/>
                <w:highlight w:val="none"/>
              </w:rPr>
              <w:t>、</w:t>
            </w:r>
            <w:r>
              <w:rPr>
                <w:rFonts w:hint="eastAsia"/>
                <w:b/>
                <w:color w:val="auto"/>
                <w:sz w:val="24"/>
                <w:highlight w:val="none"/>
                <w:lang w:eastAsia="zh-CN"/>
              </w:rPr>
              <w:t>能源使用情况</w:t>
            </w:r>
          </w:p>
          <w:p w14:paraId="7DB81EFC">
            <w:pPr>
              <w:keepNext w:val="0"/>
              <w:keepLines w:val="0"/>
              <w:suppressLineNumbers w:val="0"/>
              <w:adjustRightInd w:val="0"/>
              <w:snapToGrid w:val="0"/>
              <w:spacing w:before="0" w:beforeAutospacing="0" w:after="0" w:afterAutospacing="0" w:line="360" w:lineRule="auto"/>
              <w:ind w:left="0" w:right="0" w:firstLine="480" w:firstLineChars="200"/>
              <w:rPr>
                <w:rFonts w:hint="default"/>
                <w:color w:val="auto"/>
              </w:rPr>
            </w:pPr>
            <w:r>
              <w:rPr>
                <w:rFonts w:hint="default" w:eastAsia="宋体"/>
                <w:color w:val="auto"/>
                <w:sz w:val="24"/>
                <w:highlight w:val="none"/>
              </w:rPr>
              <w:t>本项目</w:t>
            </w:r>
            <w:r>
              <w:rPr>
                <w:rFonts w:hint="eastAsia"/>
                <w:color w:val="auto"/>
                <w:sz w:val="24"/>
                <w:highlight w:val="none"/>
                <w:lang w:val="en-US" w:eastAsia="zh-CN"/>
              </w:rPr>
              <w:t>生产供热使用生物质成型燃料，</w:t>
            </w:r>
            <w:r>
              <w:rPr>
                <w:rFonts w:hint="eastAsia" w:eastAsia="宋体"/>
                <w:color w:val="auto"/>
                <w:sz w:val="24"/>
                <w:highlight w:val="none"/>
                <w:lang w:val="en-US" w:eastAsia="zh-CN"/>
              </w:rPr>
              <w:t>燃料成分分析见表2-</w:t>
            </w:r>
            <w:r>
              <w:rPr>
                <w:rFonts w:hint="eastAsia"/>
                <w:color w:val="auto"/>
                <w:sz w:val="24"/>
                <w:highlight w:val="none"/>
                <w:lang w:val="en-US" w:eastAsia="zh-CN"/>
              </w:rPr>
              <w:t>6</w:t>
            </w:r>
            <w:r>
              <w:rPr>
                <w:rFonts w:hint="default" w:eastAsia="宋体"/>
                <w:color w:val="auto"/>
                <w:sz w:val="24"/>
                <w:highlight w:val="none"/>
              </w:rPr>
              <w:t>。</w:t>
            </w:r>
          </w:p>
          <w:p w14:paraId="2E645FB2">
            <w:pPr>
              <w:pStyle w:val="64"/>
              <w:keepLines w:val="0"/>
              <w:pageBreakBefore w:val="0"/>
              <w:topLinePunct w:val="0"/>
              <w:bidi w:val="0"/>
              <w:spacing w:beforeAutospacing="0" w:afterAutospacing="0" w:line="240" w:lineRule="auto"/>
              <w:ind w:right="0" w:right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表2-</w:t>
            </w:r>
            <w:r>
              <w:rPr>
                <w:rFonts w:hint="eastAsia" w:ascii="Times New Roman" w:hAnsi="Times New Roman" w:eastAsia="宋体" w:cs="Times New Roman"/>
                <w:b/>
                <w:bCs/>
                <w:color w:val="auto"/>
                <w:sz w:val="21"/>
                <w:szCs w:val="21"/>
                <w:highlight w:val="none"/>
                <w:lang w:val="en-US" w:eastAsia="zh-CN"/>
              </w:rPr>
              <w:t>6</w:t>
            </w:r>
            <w:r>
              <w:rPr>
                <w:rFonts w:hint="default" w:ascii="Times New Roman" w:hAnsi="Times New Roman" w:eastAsia="宋体" w:cs="Times New Roman"/>
                <w:b/>
                <w:bCs/>
                <w:color w:val="auto"/>
                <w:sz w:val="21"/>
                <w:szCs w:val="21"/>
                <w:highlight w:val="none"/>
                <w:lang w:val="en-US" w:eastAsia="zh-CN"/>
              </w:rPr>
              <w:t xml:space="preserve">  </w:t>
            </w:r>
            <w:r>
              <w:rPr>
                <w:rFonts w:hint="eastAsia" w:ascii="Times New Roman" w:hAnsi="Times New Roman" w:eastAsia="宋体" w:cs="Times New Roman"/>
                <w:b/>
                <w:bCs/>
                <w:color w:val="auto"/>
                <w:sz w:val="21"/>
                <w:szCs w:val="21"/>
                <w:highlight w:val="none"/>
                <w:lang w:val="en-US" w:eastAsia="zh-CN"/>
              </w:rPr>
              <w:t>生物质成型燃料</w:t>
            </w:r>
            <w:r>
              <w:rPr>
                <w:rFonts w:hint="default" w:ascii="Times New Roman" w:hAnsi="Times New Roman" w:eastAsia="宋体" w:cs="Times New Roman"/>
                <w:b/>
                <w:bCs/>
                <w:color w:val="auto"/>
                <w:sz w:val="21"/>
                <w:szCs w:val="21"/>
                <w:highlight w:val="none"/>
                <w:lang w:val="en-US" w:eastAsia="zh-CN"/>
              </w:rPr>
              <w:t>成分分析一览表</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051"/>
              <w:gridCol w:w="1360"/>
              <w:gridCol w:w="1594"/>
              <w:gridCol w:w="2275"/>
            </w:tblGrid>
            <w:tr w14:paraId="47D50C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 w:hRule="atLeast"/>
                <w:jc w:val="center"/>
              </w:trPr>
              <w:tc>
                <w:tcPr>
                  <w:tcW w:w="1842" w:type="pct"/>
                  <w:noWrap w:val="0"/>
                  <w:vAlign w:val="center"/>
                </w:tcPr>
                <w:p w14:paraId="6EC159D1">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名称</w:t>
                  </w:r>
                </w:p>
              </w:tc>
              <w:tc>
                <w:tcPr>
                  <w:tcW w:w="821" w:type="pct"/>
                  <w:noWrap w:val="0"/>
                  <w:vAlign w:val="center"/>
                </w:tcPr>
                <w:p w14:paraId="488D3244">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符号</w:t>
                  </w:r>
                </w:p>
              </w:tc>
              <w:tc>
                <w:tcPr>
                  <w:tcW w:w="962" w:type="pct"/>
                  <w:noWrap w:val="0"/>
                  <w:vAlign w:val="center"/>
                </w:tcPr>
                <w:p w14:paraId="05C1B19E">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单位</w:t>
                  </w:r>
                </w:p>
              </w:tc>
              <w:tc>
                <w:tcPr>
                  <w:tcW w:w="1373" w:type="pct"/>
                  <w:noWrap w:val="0"/>
                  <w:vAlign w:val="center"/>
                </w:tcPr>
                <w:p w14:paraId="4EB82B1D">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eastAsia" w:ascii="Times New Roman" w:hAnsi="Times New Roman" w:cs="Times New Roman"/>
                      <w:color w:val="auto"/>
                      <w:kern w:val="2"/>
                      <w:sz w:val="21"/>
                      <w:szCs w:val="21"/>
                      <w:lang w:val="zh-CN" w:eastAsia="zh-CN" w:bidi="ar-SA"/>
                    </w:rPr>
                    <w:t>生物质成型燃料</w:t>
                  </w:r>
                </w:p>
              </w:tc>
            </w:tr>
            <w:tr w14:paraId="719B11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noWrap w:val="0"/>
                  <w:vAlign w:val="center"/>
                </w:tcPr>
                <w:p w14:paraId="1F63D7E9">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全水分</w:t>
                  </w:r>
                </w:p>
              </w:tc>
              <w:tc>
                <w:tcPr>
                  <w:tcW w:w="821" w:type="pct"/>
                  <w:noWrap w:val="0"/>
                  <w:vAlign w:val="center"/>
                </w:tcPr>
                <w:p w14:paraId="63EC471A">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Mar</w:t>
                  </w:r>
                </w:p>
              </w:tc>
              <w:tc>
                <w:tcPr>
                  <w:tcW w:w="962" w:type="pct"/>
                  <w:noWrap w:val="0"/>
                  <w:vAlign w:val="center"/>
                </w:tcPr>
                <w:p w14:paraId="28605645">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w:t>
                  </w:r>
                </w:p>
              </w:tc>
              <w:tc>
                <w:tcPr>
                  <w:tcW w:w="1373" w:type="pct"/>
                  <w:noWrap w:val="0"/>
                  <w:vAlign w:val="center"/>
                </w:tcPr>
                <w:p w14:paraId="0A95BEBD">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37.23</w:t>
                  </w:r>
                </w:p>
              </w:tc>
            </w:tr>
            <w:tr w14:paraId="44CEA0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42" w:type="pct"/>
                  <w:noWrap w:val="0"/>
                  <w:vAlign w:val="center"/>
                </w:tcPr>
                <w:p w14:paraId="602275A1">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水分</w:t>
                  </w:r>
                </w:p>
              </w:tc>
              <w:tc>
                <w:tcPr>
                  <w:tcW w:w="821" w:type="pct"/>
                  <w:noWrap w:val="0"/>
                  <w:vAlign w:val="center"/>
                </w:tcPr>
                <w:p w14:paraId="1D23EFAC">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Mad</w:t>
                  </w:r>
                </w:p>
              </w:tc>
              <w:tc>
                <w:tcPr>
                  <w:tcW w:w="962" w:type="pct"/>
                  <w:noWrap w:val="0"/>
                  <w:vAlign w:val="center"/>
                </w:tcPr>
                <w:p w14:paraId="7F1DCAA4">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w:t>
                  </w:r>
                </w:p>
              </w:tc>
              <w:tc>
                <w:tcPr>
                  <w:tcW w:w="1373" w:type="pct"/>
                  <w:noWrap w:val="0"/>
                  <w:vAlign w:val="center"/>
                </w:tcPr>
                <w:p w14:paraId="1940B23A">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4.36</w:t>
                  </w:r>
                </w:p>
              </w:tc>
            </w:tr>
            <w:tr w14:paraId="5F16FF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noWrap w:val="0"/>
                  <w:vAlign w:val="center"/>
                </w:tcPr>
                <w:p w14:paraId="29F24E5F">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灰分</w:t>
                  </w:r>
                </w:p>
              </w:tc>
              <w:tc>
                <w:tcPr>
                  <w:tcW w:w="821" w:type="pct"/>
                  <w:noWrap w:val="0"/>
                  <w:vAlign w:val="center"/>
                </w:tcPr>
                <w:p w14:paraId="24D73E9F">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CN" w:eastAsia="zh-CN" w:bidi="ar-SA"/>
                    </w:rPr>
                    <w:t>Aa</w:t>
                  </w:r>
                  <w:r>
                    <w:rPr>
                      <w:rFonts w:hint="eastAsia" w:ascii="Times New Roman" w:hAnsi="Times New Roman" w:cs="Times New Roman"/>
                      <w:color w:val="auto"/>
                      <w:kern w:val="2"/>
                      <w:sz w:val="21"/>
                      <w:szCs w:val="21"/>
                      <w:lang w:val="en-US" w:eastAsia="zh-CN" w:bidi="ar-SA"/>
                    </w:rPr>
                    <w:t>r</w:t>
                  </w:r>
                </w:p>
              </w:tc>
              <w:tc>
                <w:tcPr>
                  <w:tcW w:w="962" w:type="pct"/>
                  <w:noWrap w:val="0"/>
                  <w:vAlign w:val="center"/>
                </w:tcPr>
                <w:p w14:paraId="7AE9333A">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w:t>
                  </w:r>
                </w:p>
              </w:tc>
              <w:tc>
                <w:tcPr>
                  <w:tcW w:w="1373" w:type="pct"/>
                  <w:noWrap w:val="0"/>
                  <w:vAlign w:val="center"/>
                </w:tcPr>
                <w:p w14:paraId="3E5BCD70">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3.06</w:t>
                  </w:r>
                </w:p>
              </w:tc>
            </w:tr>
            <w:tr w14:paraId="6F44FB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42" w:type="pct"/>
                  <w:noWrap w:val="0"/>
                  <w:vAlign w:val="center"/>
                </w:tcPr>
                <w:p w14:paraId="2A3F9639">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en-US" w:eastAsia="zh-CN" w:bidi="ar-SA"/>
                    </w:rPr>
                    <w:t>挥发分</w:t>
                  </w:r>
                </w:p>
              </w:tc>
              <w:tc>
                <w:tcPr>
                  <w:tcW w:w="821" w:type="pct"/>
                  <w:noWrap w:val="0"/>
                  <w:vAlign w:val="center"/>
                </w:tcPr>
                <w:p w14:paraId="287D5CD7">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en-US" w:eastAsia="zh-CN" w:bidi="ar-SA"/>
                    </w:rPr>
                    <w:t>Vdaf</w:t>
                  </w:r>
                </w:p>
              </w:tc>
              <w:tc>
                <w:tcPr>
                  <w:tcW w:w="962" w:type="pct"/>
                  <w:noWrap w:val="0"/>
                  <w:vAlign w:val="center"/>
                </w:tcPr>
                <w:p w14:paraId="0F235713">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en-US" w:eastAsia="zh-CN" w:bidi="ar-SA"/>
                    </w:rPr>
                    <w:t>%</w:t>
                  </w:r>
                </w:p>
              </w:tc>
              <w:tc>
                <w:tcPr>
                  <w:tcW w:w="1373" w:type="pct"/>
                  <w:noWrap w:val="0"/>
                  <w:vAlign w:val="center"/>
                </w:tcPr>
                <w:p w14:paraId="2822A5C8">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84.35</w:t>
                  </w:r>
                </w:p>
              </w:tc>
            </w:tr>
            <w:tr w14:paraId="5F0D6B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noWrap w:val="0"/>
                  <w:vAlign w:val="center"/>
                </w:tcPr>
                <w:p w14:paraId="3D9F1B1D">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固定碳</w:t>
                  </w:r>
                </w:p>
              </w:tc>
              <w:tc>
                <w:tcPr>
                  <w:tcW w:w="821" w:type="pct"/>
                  <w:noWrap w:val="0"/>
                  <w:vAlign w:val="center"/>
                </w:tcPr>
                <w:p w14:paraId="68ECF248">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FCar</w:t>
                  </w:r>
                </w:p>
              </w:tc>
              <w:tc>
                <w:tcPr>
                  <w:tcW w:w="962" w:type="pct"/>
                  <w:noWrap w:val="0"/>
                  <w:vAlign w:val="center"/>
                </w:tcPr>
                <w:p w14:paraId="5395A4A6">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1373" w:type="pct"/>
                  <w:noWrap w:val="0"/>
                  <w:vAlign w:val="center"/>
                </w:tcPr>
                <w:p w14:paraId="240FF0FD">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9.35</w:t>
                  </w:r>
                </w:p>
              </w:tc>
            </w:tr>
            <w:tr w14:paraId="68443B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noWrap w:val="0"/>
                  <w:vAlign w:val="center"/>
                </w:tcPr>
                <w:p w14:paraId="200B1497">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弹筒发热量</w:t>
                  </w:r>
                </w:p>
              </w:tc>
              <w:tc>
                <w:tcPr>
                  <w:tcW w:w="821" w:type="pct"/>
                  <w:noWrap w:val="0"/>
                  <w:vAlign w:val="center"/>
                </w:tcPr>
                <w:p w14:paraId="223E78C0">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Qb，ad</w:t>
                  </w:r>
                </w:p>
              </w:tc>
              <w:tc>
                <w:tcPr>
                  <w:tcW w:w="962" w:type="pct"/>
                  <w:noWrap w:val="0"/>
                  <w:vAlign w:val="center"/>
                </w:tcPr>
                <w:p w14:paraId="6AC94235">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CN" w:eastAsia="zh-CN" w:bidi="ar-SA"/>
                    </w:rPr>
                    <w:t>MJ/kg</w:t>
                  </w:r>
                </w:p>
              </w:tc>
              <w:tc>
                <w:tcPr>
                  <w:tcW w:w="1373" w:type="pct"/>
                  <w:noWrap w:val="0"/>
                  <w:vAlign w:val="center"/>
                </w:tcPr>
                <w:p w14:paraId="66DDD3E8">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16.92</w:t>
                  </w:r>
                </w:p>
              </w:tc>
            </w:tr>
            <w:tr w14:paraId="2657FC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vMerge w:val="restart"/>
                  <w:noWrap w:val="0"/>
                  <w:vAlign w:val="center"/>
                </w:tcPr>
                <w:p w14:paraId="02CE221C">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低位发热量</w:t>
                  </w:r>
                </w:p>
              </w:tc>
              <w:tc>
                <w:tcPr>
                  <w:tcW w:w="821" w:type="pct"/>
                  <w:vMerge w:val="restart"/>
                  <w:noWrap w:val="0"/>
                  <w:vAlign w:val="center"/>
                </w:tcPr>
                <w:p w14:paraId="1C792D68">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Qnet</w:t>
                  </w:r>
                  <w:r>
                    <w:rPr>
                      <w:rFonts w:hint="eastAsia" w:ascii="Times New Roman" w:hAnsi="Times New Roman" w:cs="Times New Roman"/>
                      <w:color w:val="auto"/>
                      <w:kern w:val="2"/>
                      <w:sz w:val="21"/>
                      <w:szCs w:val="21"/>
                      <w:lang w:val="zh-CN" w:eastAsia="zh-CN" w:bidi="ar-SA"/>
                    </w:rPr>
                    <w:t>，</w:t>
                  </w:r>
                  <w:r>
                    <w:rPr>
                      <w:rFonts w:hint="default" w:ascii="Times New Roman" w:hAnsi="Times New Roman" w:eastAsia="宋体" w:cs="Times New Roman"/>
                      <w:color w:val="auto"/>
                      <w:kern w:val="2"/>
                      <w:sz w:val="21"/>
                      <w:szCs w:val="21"/>
                      <w:lang w:val="zh-CN" w:eastAsia="zh-CN" w:bidi="ar-SA"/>
                    </w:rPr>
                    <w:t>ar</w:t>
                  </w:r>
                </w:p>
              </w:tc>
              <w:tc>
                <w:tcPr>
                  <w:tcW w:w="962" w:type="pct"/>
                  <w:noWrap w:val="0"/>
                  <w:vAlign w:val="center"/>
                </w:tcPr>
                <w:p w14:paraId="5AEF7084">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MJ/kg</w:t>
                  </w:r>
                </w:p>
              </w:tc>
              <w:tc>
                <w:tcPr>
                  <w:tcW w:w="1373" w:type="pct"/>
                  <w:noWrap w:val="0"/>
                  <w:vAlign w:val="center"/>
                </w:tcPr>
                <w:p w14:paraId="34002377">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9.58</w:t>
                  </w:r>
                </w:p>
              </w:tc>
            </w:tr>
            <w:tr w14:paraId="0B12EC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vMerge w:val="continue"/>
                  <w:noWrap w:val="0"/>
                  <w:vAlign w:val="center"/>
                </w:tcPr>
                <w:p w14:paraId="17DD68BD">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p>
              </w:tc>
              <w:tc>
                <w:tcPr>
                  <w:tcW w:w="821" w:type="pct"/>
                  <w:vMerge w:val="continue"/>
                  <w:noWrap w:val="0"/>
                  <w:vAlign w:val="center"/>
                </w:tcPr>
                <w:p w14:paraId="7133A87D">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p>
              </w:tc>
              <w:tc>
                <w:tcPr>
                  <w:tcW w:w="962" w:type="pct"/>
                  <w:noWrap w:val="0"/>
                  <w:vAlign w:val="center"/>
                </w:tcPr>
                <w:p w14:paraId="7608191F">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Kcal/kg</w:t>
                  </w:r>
                </w:p>
              </w:tc>
              <w:tc>
                <w:tcPr>
                  <w:tcW w:w="1373" w:type="pct"/>
                  <w:noWrap w:val="0"/>
                  <w:vAlign w:val="center"/>
                </w:tcPr>
                <w:p w14:paraId="2A0EF0B3">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2289.62</w:t>
                  </w:r>
                </w:p>
              </w:tc>
            </w:tr>
            <w:tr w14:paraId="631C66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noWrap w:val="0"/>
                  <w:vAlign w:val="center"/>
                </w:tcPr>
                <w:p w14:paraId="23032DF0">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干基高位发热量</w:t>
                  </w:r>
                </w:p>
              </w:tc>
              <w:tc>
                <w:tcPr>
                  <w:tcW w:w="821" w:type="pct"/>
                  <w:noWrap w:val="0"/>
                  <w:vAlign w:val="center"/>
                </w:tcPr>
                <w:p w14:paraId="47BD0BBB">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en-US" w:eastAsia="zh-CN" w:bidi="ar-SA"/>
                    </w:rPr>
                    <w:t>Qgr</w:t>
                  </w:r>
                  <w:r>
                    <w:rPr>
                      <w:rFonts w:hint="eastAsia" w:ascii="Times New Roman" w:hAnsi="Times New Roman"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t>d</w:t>
                  </w:r>
                </w:p>
              </w:tc>
              <w:tc>
                <w:tcPr>
                  <w:tcW w:w="962" w:type="pct"/>
                  <w:noWrap w:val="0"/>
                  <w:vAlign w:val="center"/>
                </w:tcPr>
                <w:p w14:paraId="00CE2E6C">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MJ/kg</w:t>
                  </w:r>
                </w:p>
              </w:tc>
              <w:tc>
                <w:tcPr>
                  <w:tcW w:w="1373" w:type="pct"/>
                  <w:noWrap w:val="0"/>
                  <w:vAlign w:val="center"/>
                </w:tcPr>
                <w:p w14:paraId="2A014B51">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17.66</w:t>
                  </w:r>
                </w:p>
              </w:tc>
            </w:tr>
            <w:tr w14:paraId="42D30A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noWrap w:val="0"/>
                  <w:vAlign w:val="center"/>
                </w:tcPr>
                <w:p w14:paraId="22959C3E">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全硫</w:t>
                  </w:r>
                </w:p>
              </w:tc>
              <w:tc>
                <w:tcPr>
                  <w:tcW w:w="821" w:type="pct"/>
                  <w:noWrap w:val="0"/>
                  <w:vAlign w:val="center"/>
                </w:tcPr>
                <w:p w14:paraId="09F2915C">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CN" w:eastAsia="zh-CN" w:bidi="ar-SA"/>
                    </w:rPr>
                    <w:t>St</w:t>
                  </w:r>
                  <w:r>
                    <w:rPr>
                      <w:rFonts w:hint="eastAsia" w:ascii="Times New Roman" w:hAnsi="Times New Roman" w:cs="Times New Roman"/>
                      <w:color w:val="auto"/>
                      <w:kern w:val="2"/>
                      <w:sz w:val="21"/>
                      <w:szCs w:val="21"/>
                      <w:lang w:val="zh-CN" w:eastAsia="zh-CN" w:bidi="ar-SA"/>
                    </w:rPr>
                    <w:t>，</w:t>
                  </w:r>
                  <w:r>
                    <w:rPr>
                      <w:rFonts w:hint="default" w:ascii="Times New Roman" w:hAnsi="Times New Roman" w:eastAsia="宋体" w:cs="Times New Roman"/>
                      <w:color w:val="auto"/>
                      <w:kern w:val="2"/>
                      <w:sz w:val="21"/>
                      <w:szCs w:val="21"/>
                      <w:lang w:val="zh-CN" w:eastAsia="zh-CN" w:bidi="ar-SA"/>
                    </w:rPr>
                    <w:t>a</w:t>
                  </w:r>
                  <w:r>
                    <w:rPr>
                      <w:rFonts w:hint="eastAsia" w:ascii="Times New Roman" w:hAnsi="Times New Roman" w:cs="Times New Roman"/>
                      <w:color w:val="auto"/>
                      <w:kern w:val="2"/>
                      <w:sz w:val="21"/>
                      <w:szCs w:val="21"/>
                      <w:lang w:val="en-US" w:eastAsia="zh-CN" w:bidi="ar-SA"/>
                    </w:rPr>
                    <w:t>r</w:t>
                  </w:r>
                </w:p>
              </w:tc>
              <w:tc>
                <w:tcPr>
                  <w:tcW w:w="962" w:type="pct"/>
                  <w:noWrap w:val="0"/>
                  <w:vAlign w:val="center"/>
                </w:tcPr>
                <w:p w14:paraId="2332F5A9">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w:t>
                  </w:r>
                </w:p>
              </w:tc>
              <w:tc>
                <w:tcPr>
                  <w:tcW w:w="1373" w:type="pct"/>
                  <w:noWrap w:val="0"/>
                  <w:vAlign w:val="center"/>
                </w:tcPr>
                <w:p w14:paraId="3136F19F">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0.04</w:t>
                  </w:r>
                </w:p>
              </w:tc>
            </w:tr>
            <w:tr w14:paraId="693169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noWrap w:val="0"/>
                  <w:vAlign w:val="center"/>
                </w:tcPr>
                <w:p w14:paraId="19DDDF37">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eastAsia" w:ascii="Times New Roman" w:hAnsi="Times New Roman" w:cs="Times New Roman"/>
                      <w:color w:val="auto"/>
                      <w:kern w:val="2"/>
                      <w:sz w:val="21"/>
                      <w:szCs w:val="21"/>
                      <w:lang w:val="en-US" w:eastAsia="zh-CN" w:bidi="ar-SA"/>
                    </w:rPr>
                    <w:t>碳</w:t>
                  </w:r>
                </w:p>
              </w:tc>
              <w:tc>
                <w:tcPr>
                  <w:tcW w:w="821" w:type="pct"/>
                  <w:noWrap w:val="0"/>
                  <w:vAlign w:val="center"/>
                </w:tcPr>
                <w:p w14:paraId="429CAA6B">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Car</w:t>
                  </w:r>
                </w:p>
              </w:tc>
              <w:tc>
                <w:tcPr>
                  <w:tcW w:w="962" w:type="pct"/>
                  <w:noWrap w:val="0"/>
                  <w:vAlign w:val="center"/>
                </w:tcPr>
                <w:p w14:paraId="2BCA0D4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w:t>
                  </w:r>
                </w:p>
              </w:tc>
              <w:tc>
                <w:tcPr>
                  <w:tcW w:w="1373" w:type="pct"/>
                  <w:noWrap w:val="0"/>
                  <w:vAlign w:val="center"/>
                </w:tcPr>
                <w:p w14:paraId="08CB77B3">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30.06</w:t>
                  </w:r>
                </w:p>
              </w:tc>
            </w:tr>
            <w:tr w14:paraId="2F1991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noWrap w:val="0"/>
                  <w:vAlign w:val="center"/>
                </w:tcPr>
                <w:p w14:paraId="06DF501C">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氢</w:t>
                  </w:r>
                </w:p>
              </w:tc>
              <w:tc>
                <w:tcPr>
                  <w:tcW w:w="821" w:type="pct"/>
                  <w:noWrap w:val="0"/>
                  <w:vAlign w:val="center"/>
                </w:tcPr>
                <w:p w14:paraId="63D55263">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Har</w:t>
                  </w:r>
                </w:p>
              </w:tc>
              <w:tc>
                <w:tcPr>
                  <w:tcW w:w="962" w:type="pct"/>
                  <w:noWrap w:val="0"/>
                  <w:vAlign w:val="center"/>
                </w:tcPr>
                <w:p w14:paraId="408D96DD">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CN" w:eastAsia="zh-CN" w:bidi="ar-SA"/>
                    </w:rPr>
                    <w:t>%</w:t>
                  </w:r>
                </w:p>
              </w:tc>
              <w:tc>
                <w:tcPr>
                  <w:tcW w:w="1373" w:type="pct"/>
                  <w:noWrap w:val="0"/>
                  <w:vAlign w:val="center"/>
                </w:tcPr>
                <w:p w14:paraId="494C888D">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3.17</w:t>
                  </w:r>
                </w:p>
              </w:tc>
            </w:tr>
            <w:tr w14:paraId="40025D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noWrap w:val="0"/>
                  <w:vAlign w:val="center"/>
                </w:tcPr>
                <w:p w14:paraId="7B9DBA98">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氮</w:t>
                  </w:r>
                </w:p>
              </w:tc>
              <w:tc>
                <w:tcPr>
                  <w:tcW w:w="821" w:type="pct"/>
                  <w:noWrap w:val="0"/>
                  <w:vAlign w:val="center"/>
                </w:tcPr>
                <w:p w14:paraId="57EC9688">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Nar</w:t>
                  </w:r>
                </w:p>
              </w:tc>
              <w:tc>
                <w:tcPr>
                  <w:tcW w:w="962" w:type="pct"/>
                  <w:noWrap w:val="0"/>
                  <w:vAlign w:val="center"/>
                </w:tcPr>
                <w:p w14:paraId="407B48D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CN" w:eastAsia="zh-CN" w:bidi="ar-SA"/>
                    </w:rPr>
                    <w:t>%</w:t>
                  </w:r>
                </w:p>
              </w:tc>
              <w:tc>
                <w:tcPr>
                  <w:tcW w:w="1373" w:type="pct"/>
                  <w:noWrap w:val="0"/>
                  <w:vAlign w:val="center"/>
                </w:tcPr>
                <w:p w14:paraId="2B73EE0E">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0.32</w:t>
                  </w:r>
                </w:p>
              </w:tc>
            </w:tr>
            <w:tr w14:paraId="703B76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noWrap w:val="0"/>
                  <w:vAlign w:val="center"/>
                </w:tcPr>
                <w:p w14:paraId="6E5896F5">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氧</w:t>
                  </w:r>
                </w:p>
              </w:tc>
              <w:tc>
                <w:tcPr>
                  <w:tcW w:w="821" w:type="pct"/>
                  <w:noWrap w:val="0"/>
                  <w:vAlign w:val="center"/>
                </w:tcPr>
                <w:p w14:paraId="1510CDE7">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Oar</w:t>
                  </w:r>
                </w:p>
              </w:tc>
              <w:tc>
                <w:tcPr>
                  <w:tcW w:w="962" w:type="pct"/>
                  <w:noWrap w:val="0"/>
                  <w:vAlign w:val="center"/>
                </w:tcPr>
                <w:p w14:paraId="10B986E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CN" w:eastAsia="zh-CN" w:bidi="ar-SA"/>
                    </w:rPr>
                    <w:t>%</w:t>
                  </w:r>
                </w:p>
              </w:tc>
              <w:tc>
                <w:tcPr>
                  <w:tcW w:w="1373" w:type="pct"/>
                  <w:noWrap w:val="0"/>
                  <w:vAlign w:val="center"/>
                </w:tcPr>
                <w:p w14:paraId="24D039A8">
                  <w:pPr>
                    <w:pStyle w:val="10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26.12</w:t>
                  </w:r>
                </w:p>
              </w:tc>
            </w:tr>
          </w:tbl>
          <w:p w14:paraId="1785FAA4">
            <w:pPr>
              <w:keepNext w:val="0"/>
              <w:keepLines w:val="0"/>
              <w:suppressLineNumbers w:val="0"/>
              <w:spacing w:before="0" w:beforeAutospacing="0" w:after="0" w:afterAutospacing="0" w:line="360" w:lineRule="auto"/>
              <w:ind w:left="0" w:right="0" w:firstLine="482" w:firstLineChars="200"/>
              <w:rPr>
                <w:rFonts w:hint="default" w:eastAsia="宋体"/>
                <w:b/>
                <w:color w:val="auto"/>
                <w:sz w:val="24"/>
                <w:highlight w:val="none"/>
              </w:rPr>
            </w:pPr>
            <w:r>
              <w:rPr>
                <w:rFonts w:hint="eastAsia"/>
                <w:b/>
                <w:color w:val="auto"/>
                <w:sz w:val="24"/>
                <w:highlight w:val="none"/>
                <w:lang w:val="en-US" w:eastAsia="zh-CN"/>
              </w:rPr>
              <w:t>9、</w:t>
            </w:r>
            <w:r>
              <w:rPr>
                <w:rFonts w:hint="default" w:eastAsia="宋体"/>
                <w:b/>
                <w:color w:val="auto"/>
                <w:sz w:val="24"/>
                <w:highlight w:val="none"/>
              </w:rPr>
              <w:t>公用工程</w:t>
            </w:r>
          </w:p>
          <w:p w14:paraId="1B5CBF01">
            <w:pPr>
              <w:adjustRightInd w:val="0"/>
              <w:snapToGrid w:val="0"/>
              <w:spacing w:line="360" w:lineRule="auto"/>
              <w:ind w:firstLine="480" w:firstLineChars="200"/>
              <w:rPr>
                <w:rFonts w:hint="eastAsia" w:eastAsia="宋体"/>
                <w:bCs/>
                <w:color w:val="auto"/>
                <w:sz w:val="24"/>
                <w:lang w:eastAsia="zh-CN"/>
              </w:rPr>
            </w:pPr>
            <w:r>
              <w:rPr>
                <w:rFonts w:hint="eastAsia"/>
                <w:bCs/>
                <w:color w:val="auto"/>
                <w:sz w:val="24"/>
                <w:lang w:eastAsia="zh-CN"/>
              </w:rPr>
              <w:t>（</w:t>
            </w:r>
            <w:r>
              <w:rPr>
                <w:rFonts w:hint="eastAsia"/>
                <w:bCs/>
                <w:color w:val="auto"/>
                <w:sz w:val="24"/>
                <w:lang w:val="en-US" w:eastAsia="zh-CN"/>
              </w:rPr>
              <w:t>1</w:t>
            </w:r>
            <w:r>
              <w:rPr>
                <w:rFonts w:hint="eastAsia"/>
                <w:bCs/>
                <w:color w:val="auto"/>
                <w:sz w:val="24"/>
                <w:lang w:eastAsia="zh-CN"/>
              </w:rPr>
              <w:t>）供水</w:t>
            </w:r>
          </w:p>
          <w:p w14:paraId="27DDD78C">
            <w:pPr>
              <w:adjustRightInd w:val="0"/>
              <w:snapToGrid w:val="0"/>
              <w:spacing w:line="360" w:lineRule="auto"/>
              <w:ind w:firstLine="480" w:firstLineChars="200"/>
              <w:rPr>
                <w:color w:val="auto"/>
                <w:sz w:val="24"/>
              </w:rPr>
            </w:pPr>
            <w:r>
              <w:rPr>
                <w:rFonts w:hint="eastAsia"/>
                <w:color w:val="auto"/>
                <w:sz w:val="24"/>
              </w:rPr>
              <w:t>建设</w:t>
            </w:r>
            <w:r>
              <w:rPr>
                <w:rFonts w:hint="eastAsia"/>
                <w:bCs/>
                <w:color w:val="auto"/>
                <w:sz w:val="24"/>
              </w:rPr>
              <w:t>项目</w:t>
            </w:r>
            <w:r>
              <w:rPr>
                <w:color w:val="auto"/>
                <w:sz w:val="24"/>
              </w:rPr>
              <w:t>用水主要</w:t>
            </w:r>
            <w:r>
              <w:rPr>
                <w:rFonts w:hint="eastAsia"/>
                <w:color w:val="auto"/>
                <w:sz w:val="24"/>
              </w:rPr>
              <w:t>为</w:t>
            </w:r>
            <w:r>
              <w:rPr>
                <w:rFonts w:hint="eastAsia"/>
                <w:color w:val="auto"/>
                <w:sz w:val="24"/>
                <w:lang w:val="en-US" w:eastAsia="zh-CN"/>
              </w:rPr>
              <w:t>拆解车间地面清洗废水及生活用水，本项目用水由市政供水管网提供</w:t>
            </w:r>
            <w:r>
              <w:rPr>
                <w:rFonts w:hint="eastAsia"/>
                <w:color w:val="auto"/>
                <w:sz w:val="24"/>
              </w:rPr>
              <w:t>。</w:t>
            </w:r>
          </w:p>
          <w:p w14:paraId="1D33B499">
            <w:pPr>
              <w:adjustRightInd w:val="0"/>
              <w:snapToGrid w:val="0"/>
              <w:spacing w:line="360" w:lineRule="auto"/>
              <w:ind w:firstLine="480" w:firstLineChars="200"/>
              <w:rPr>
                <w:color w:val="auto"/>
                <w:sz w:val="24"/>
              </w:rPr>
            </w:pPr>
            <w:r>
              <w:rPr>
                <w:rFonts w:hint="eastAsia" w:ascii="Times New Roman" w:hAnsi="Times New Roman" w:eastAsia="宋体" w:cs="Times New Roman"/>
                <w:color w:val="auto"/>
                <w:sz w:val="24"/>
              </w:rPr>
              <w:t>①</w:t>
            </w:r>
            <w:r>
              <w:rPr>
                <w:rFonts w:hint="eastAsia"/>
                <w:color w:val="auto"/>
                <w:sz w:val="24"/>
                <w:lang w:val="en-US" w:eastAsia="zh-CN"/>
              </w:rPr>
              <w:t>地面</w:t>
            </w:r>
            <w:r>
              <w:rPr>
                <w:rFonts w:hint="eastAsia"/>
                <w:color w:val="auto"/>
                <w:sz w:val="24"/>
              </w:rPr>
              <w:t>清洗用水</w:t>
            </w:r>
          </w:p>
          <w:p w14:paraId="56DEBF5D">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eastAsia"/>
                <w:color w:val="auto"/>
                <w:sz w:val="24"/>
              </w:rPr>
              <w:t>项目为保证</w:t>
            </w:r>
            <w:r>
              <w:rPr>
                <w:rFonts w:hint="eastAsia"/>
                <w:color w:val="auto"/>
                <w:sz w:val="24"/>
                <w:lang w:val="en-US" w:eastAsia="zh-CN"/>
              </w:rPr>
              <w:t>拆解车间</w:t>
            </w:r>
            <w:r>
              <w:rPr>
                <w:rFonts w:hint="eastAsia"/>
                <w:color w:val="auto"/>
                <w:sz w:val="24"/>
              </w:rPr>
              <w:t>地面清洁，需定期清洗</w:t>
            </w:r>
            <w:r>
              <w:rPr>
                <w:rFonts w:hint="eastAsia"/>
                <w:color w:val="auto"/>
                <w:sz w:val="24"/>
                <w:lang w:eastAsia="zh-CN"/>
              </w:rPr>
              <w:t>，</w:t>
            </w:r>
            <w:r>
              <w:rPr>
                <w:rFonts w:hint="eastAsia"/>
                <w:color w:val="auto"/>
                <w:sz w:val="24"/>
                <w:lang w:val="en-US" w:eastAsia="zh-CN"/>
              </w:rPr>
              <w:t>主要使用拖把清洁地面，水分自然蒸发</w:t>
            </w:r>
            <w:r>
              <w:rPr>
                <w:rFonts w:hint="eastAsia"/>
                <w:color w:val="auto"/>
                <w:sz w:val="24"/>
              </w:rPr>
              <w:t>，</w:t>
            </w:r>
            <w:r>
              <w:rPr>
                <w:rFonts w:hint="eastAsia"/>
                <w:color w:val="auto"/>
                <w:sz w:val="24"/>
                <w:lang w:val="en-US" w:eastAsia="zh-CN"/>
              </w:rPr>
              <w:t>根据企业提供资料，每半个月清洗1次，</w:t>
            </w:r>
            <w:r>
              <w:rPr>
                <w:rFonts w:hint="eastAsia"/>
                <w:color w:val="auto"/>
                <w:sz w:val="24"/>
              </w:rPr>
              <w:t>根据《城市给水工程规划规范</w:t>
            </w:r>
            <w:r>
              <w:rPr>
                <w:rFonts w:hint="eastAsia"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（GB50282-2016）</w:t>
            </w:r>
            <w:r>
              <w:rPr>
                <w:rFonts w:hint="eastAsia" w:ascii="Times New Roman" w:hAnsi="Times New Roman" w:eastAsia="宋体" w:cs="Times New Roman"/>
                <w:color w:val="auto"/>
                <w:sz w:val="24"/>
                <w:lang w:val="en-US" w:eastAsia="zh-CN"/>
              </w:rPr>
              <w:t>，</w:t>
            </w:r>
            <w:r>
              <w:rPr>
                <w:rFonts w:hint="eastAsia"/>
                <w:color w:val="auto"/>
                <w:sz w:val="24"/>
              </w:rPr>
              <w:t>地面清洗用水量按2L/m</w:t>
            </w:r>
            <w:r>
              <w:rPr>
                <w:rFonts w:hint="eastAsia"/>
                <w:color w:val="auto"/>
                <w:sz w:val="24"/>
                <w:vertAlign w:val="superscript"/>
              </w:rPr>
              <w:t>2</w:t>
            </w:r>
            <w:r>
              <w:rPr>
                <w:rFonts w:hint="eastAsia"/>
                <w:color w:val="auto"/>
                <w:sz w:val="24"/>
              </w:rPr>
              <w:t>·次计。项目需要清洗的区域面积约</w:t>
            </w:r>
            <w:bookmarkStart w:id="8" w:name="OLE_LINK43"/>
            <w:r>
              <w:rPr>
                <w:rFonts w:hint="eastAsia" w:cs="Times New Roman"/>
                <w:color w:val="auto"/>
                <w:spacing w:val="4"/>
                <w:sz w:val="24"/>
                <w:highlight w:val="none"/>
                <w:lang w:val="en-US" w:eastAsia="zh-CN"/>
              </w:rPr>
              <w:t>400</w:t>
            </w:r>
            <w:bookmarkEnd w:id="8"/>
            <w:r>
              <w:rPr>
                <w:rFonts w:hint="eastAsia"/>
                <w:color w:val="auto"/>
                <w:sz w:val="24"/>
              </w:rPr>
              <w:t>m</w:t>
            </w:r>
            <w:r>
              <w:rPr>
                <w:rFonts w:hint="eastAsia"/>
                <w:color w:val="auto"/>
                <w:sz w:val="24"/>
                <w:vertAlign w:val="superscript"/>
              </w:rPr>
              <w:t>2</w:t>
            </w:r>
            <w:r>
              <w:rPr>
                <w:rFonts w:hint="eastAsia"/>
                <w:color w:val="auto"/>
                <w:sz w:val="24"/>
              </w:rPr>
              <w:t>，年约清洗</w:t>
            </w:r>
            <w:r>
              <w:rPr>
                <w:rFonts w:hint="eastAsia"/>
                <w:color w:val="auto"/>
                <w:sz w:val="24"/>
                <w:lang w:val="en-US" w:eastAsia="zh-CN"/>
              </w:rPr>
              <w:t>24</w:t>
            </w:r>
            <w:r>
              <w:rPr>
                <w:rFonts w:hint="eastAsia"/>
                <w:color w:val="auto"/>
                <w:sz w:val="24"/>
              </w:rPr>
              <w:t>次，则地面年用水量为</w:t>
            </w:r>
            <w:r>
              <w:rPr>
                <w:rFonts w:hint="eastAsia" w:cs="Times New Roman"/>
                <w:color w:val="auto"/>
                <w:spacing w:val="4"/>
                <w:sz w:val="24"/>
                <w:highlight w:val="none"/>
                <w:lang w:val="en-US" w:eastAsia="zh-CN"/>
              </w:rPr>
              <w:t>19.2</w:t>
            </w:r>
            <w:r>
              <w:rPr>
                <w:rFonts w:hint="eastAsia"/>
                <w:color w:val="auto"/>
                <w:sz w:val="24"/>
                <w:lang w:val="en-US" w:eastAsia="zh-CN"/>
              </w:rPr>
              <w:t>t</w:t>
            </w:r>
            <w:r>
              <w:rPr>
                <w:rFonts w:hint="eastAsia"/>
                <w:color w:val="auto"/>
                <w:sz w:val="24"/>
              </w:rPr>
              <w:t>/a</w:t>
            </w:r>
            <w:r>
              <w:rPr>
                <w:rFonts w:hint="eastAsia"/>
                <w:color w:val="auto"/>
                <w:sz w:val="24"/>
                <w:lang w:eastAsia="zh-CN"/>
              </w:rPr>
              <w:t>。</w:t>
            </w:r>
          </w:p>
          <w:p w14:paraId="37863D5E">
            <w:pPr>
              <w:adjustRightInd w:val="0"/>
              <w:snapToGrid w:val="0"/>
              <w:spacing w:line="360" w:lineRule="auto"/>
              <w:ind w:firstLine="480" w:firstLineChars="200"/>
              <w:rPr>
                <w:rFonts w:hint="eastAsia" w:ascii="Times New Roman" w:hAnsi="Times New Roman" w:eastAsia="宋体" w:cs="Times New Roman"/>
                <w:color w:val="auto"/>
                <w:sz w:val="24"/>
                <w:lang w:val="en-US" w:eastAsia="zh-CN"/>
              </w:rPr>
            </w:pPr>
            <w:r>
              <w:rPr>
                <w:rFonts w:hint="eastAsia"/>
                <w:color w:val="auto"/>
                <w:sz w:val="24"/>
              </w:rPr>
              <w:t>②</w:t>
            </w:r>
            <w:r>
              <w:rPr>
                <w:rFonts w:hint="eastAsia" w:ascii="Times New Roman" w:hAnsi="Times New Roman" w:eastAsia="宋体" w:cs="Times New Roman"/>
                <w:color w:val="auto"/>
                <w:sz w:val="24"/>
                <w:lang w:val="en-US" w:eastAsia="zh-CN"/>
              </w:rPr>
              <w:t>生活用水</w:t>
            </w:r>
          </w:p>
          <w:p w14:paraId="55A7969E">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eastAsia"/>
                <w:color w:val="auto"/>
                <w:sz w:val="24"/>
              </w:rPr>
              <w:t>项目劳动定员为</w:t>
            </w:r>
            <w:r>
              <w:rPr>
                <w:rFonts w:hint="eastAsia"/>
                <w:color w:val="auto"/>
                <w:sz w:val="24"/>
                <w:lang w:val="en-US" w:eastAsia="zh-CN"/>
              </w:rPr>
              <w:t>11</w:t>
            </w:r>
            <w:r>
              <w:rPr>
                <w:color w:val="auto"/>
                <w:sz w:val="24"/>
              </w:rPr>
              <w:t>人，</w:t>
            </w:r>
            <w:r>
              <w:rPr>
                <w:rFonts w:hint="eastAsia"/>
                <w:color w:val="auto"/>
                <w:sz w:val="24"/>
              </w:rPr>
              <w:t>年工作</w:t>
            </w:r>
            <w:r>
              <w:rPr>
                <w:rFonts w:hint="eastAsia"/>
                <w:color w:val="auto"/>
                <w:sz w:val="24"/>
                <w:lang w:val="en-US" w:eastAsia="zh-CN"/>
              </w:rPr>
              <w:t>250</w:t>
            </w:r>
            <w:r>
              <w:rPr>
                <w:rFonts w:hint="eastAsia"/>
                <w:color w:val="auto"/>
                <w:sz w:val="24"/>
              </w:rPr>
              <w:t>天，</w:t>
            </w:r>
            <w:r>
              <w:rPr>
                <w:color w:val="auto"/>
                <w:sz w:val="24"/>
              </w:rPr>
              <w:t>参照</w:t>
            </w:r>
            <w:r>
              <w:rPr>
                <w:rFonts w:hint="eastAsia"/>
                <w:color w:val="auto"/>
                <w:sz w:val="24"/>
              </w:rPr>
              <w:t>《</w:t>
            </w:r>
            <w:r>
              <w:rPr>
                <w:rFonts w:hint="eastAsia"/>
                <w:color w:val="auto"/>
                <w:sz w:val="24"/>
                <w:lang w:val="en-US" w:eastAsia="zh-CN"/>
              </w:rPr>
              <w:t>黑龙江省用水定额</w:t>
            </w:r>
            <w:r>
              <w:rPr>
                <w:rFonts w:hint="eastAsia"/>
                <w:color w:val="auto"/>
                <w:sz w:val="24"/>
              </w:rPr>
              <w:t>》</w:t>
            </w:r>
            <w:r>
              <w:rPr>
                <w:rFonts w:hint="default" w:eastAsia="宋体"/>
                <w:color w:val="auto"/>
                <w:sz w:val="24"/>
                <w:highlight w:val="none"/>
              </w:rPr>
              <w:t>（DB23/T727-2021）表H.2居民生活用水定额</w:t>
            </w:r>
            <w:r>
              <w:rPr>
                <w:rFonts w:hint="eastAsia"/>
                <w:color w:val="auto"/>
                <w:sz w:val="24"/>
                <w:highlight w:val="none"/>
                <w:lang w:eastAsia="zh-CN"/>
              </w:rPr>
              <w:t>“</w:t>
            </w:r>
            <w:r>
              <w:rPr>
                <w:rFonts w:hint="eastAsia"/>
                <w:color w:val="auto"/>
                <w:sz w:val="24"/>
                <w:highlight w:val="none"/>
                <w:lang w:val="en-US" w:eastAsia="zh-CN"/>
              </w:rPr>
              <w:t>农村居民生活</w:t>
            </w:r>
            <w:r>
              <w:rPr>
                <w:rFonts w:hint="eastAsia"/>
                <w:color w:val="auto"/>
                <w:sz w:val="24"/>
                <w:highlight w:val="none"/>
                <w:lang w:eastAsia="zh-CN"/>
              </w:rPr>
              <w:t>”</w:t>
            </w:r>
            <w:r>
              <w:rPr>
                <w:rFonts w:hint="eastAsia"/>
                <w:color w:val="auto"/>
                <w:sz w:val="24"/>
                <w:highlight w:val="none"/>
                <w:lang w:val="en-US" w:eastAsia="zh-CN"/>
              </w:rPr>
              <w:t>定额值</w:t>
            </w:r>
            <w:r>
              <w:rPr>
                <w:color w:val="auto"/>
                <w:sz w:val="24"/>
              </w:rPr>
              <w:t>，</w:t>
            </w:r>
            <w:r>
              <w:rPr>
                <w:rFonts w:hint="eastAsia"/>
                <w:color w:val="auto"/>
                <w:sz w:val="24"/>
                <w:lang w:val="en-US" w:eastAsia="zh-CN"/>
              </w:rPr>
              <w:t>本项目</w:t>
            </w:r>
            <w:r>
              <w:rPr>
                <w:color w:val="auto"/>
                <w:sz w:val="24"/>
              </w:rPr>
              <w:t>职工用水取</w:t>
            </w:r>
            <w:r>
              <w:rPr>
                <w:rFonts w:hint="eastAsia"/>
                <w:color w:val="auto"/>
                <w:sz w:val="24"/>
                <w:lang w:val="en-US" w:eastAsia="zh-CN"/>
              </w:rPr>
              <w:t>80</w:t>
            </w:r>
            <w:r>
              <w:rPr>
                <w:color w:val="auto"/>
                <w:sz w:val="24"/>
              </w:rPr>
              <w:t>L/人</w:t>
            </w:r>
            <w:r>
              <w:rPr>
                <w:rFonts w:hint="eastAsia"/>
                <w:color w:val="auto"/>
                <w:sz w:val="24"/>
              </w:rPr>
              <w:t>·</w:t>
            </w:r>
            <w:r>
              <w:rPr>
                <w:color w:val="auto"/>
                <w:sz w:val="24"/>
              </w:rPr>
              <w:t>天，则生活用水量</w:t>
            </w:r>
            <w:r>
              <w:rPr>
                <w:rFonts w:hint="eastAsia"/>
                <w:color w:val="auto"/>
                <w:sz w:val="24"/>
                <w:lang w:val="en-US" w:eastAsia="zh-CN"/>
              </w:rPr>
              <w:t>0.88t/d，220t/a</w:t>
            </w:r>
            <w:r>
              <w:rPr>
                <w:rFonts w:hint="eastAsia"/>
                <w:color w:val="auto"/>
                <w:sz w:val="24"/>
                <w:lang w:eastAsia="zh-CN"/>
              </w:rPr>
              <w:t>。</w:t>
            </w:r>
          </w:p>
          <w:p w14:paraId="4015CB99">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③锅炉用水</w:t>
            </w:r>
          </w:p>
          <w:p w14:paraId="573FB094">
            <w:pPr>
              <w:adjustRightInd w:val="0"/>
              <w:snapToGrid w:val="0"/>
              <w:spacing w:line="360" w:lineRule="auto"/>
              <w:ind w:firstLine="480" w:firstLineChars="200"/>
              <w:rPr>
                <w:rFonts w:hint="eastAsia" w:cs="Times New Roman"/>
                <w:bCs/>
                <w:color w:val="auto"/>
                <w:sz w:val="24"/>
                <w:lang w:val="en-US" w:eastAsia="zh-CN"/>
              </w:rPr>
            </w:pPr>
            <w:r>
              <w:rPr>
                <w:rFonts w:hint="default" w:ascii="Times New Roman" w:hAnsi="Times New Roman" w:eastAsia="宋体" w:cs="Times New Roman"/>
                <w:bCs/>
                <w:color w:val="auto"/>
                <w:sz w:val="24"/>
                <w:lang w:val="en-US" w:eastAsia="zh-CN"/>
              </w:rPr>
              <w:t>本项目</w:t>
            </w:r>
            <w:r>
              <w:rPr>
                <w:rFonts w:hint="eastAsia" w:ascii="Times New Roman" w:hAnsi="Times New Roman" w:eastAsia="宋体" w:cs="Times New Roman"/>
                <w:bCs/>
                <w:color w:val="auto"/>
                <w:sz w:val="24"/>
                <w:lang w:val="en-US" w:eastAsia="zh-CN"/>
              </w:rPr>
              <w:t>建设1台</w:t>
            </w:r>
            <w:r>
              <w:rPr>
                <w:rFonts w:hint="eastAsia" w:cs="Times New Roman"/>
                <w:bCs/>
                <w:color w:val="auto"/>
                <w:sz w:val="24"/>
                <w:lang w:val="en-US" w:eastAsia="zh-CN"/>
              </w:rPr>
              <w:t>2.5t/h</w:t>
            </w:r>
            <w:r>
              <w:rPr>
                <w:rFonts w:hint="eastAsia" w:ascii="Times New Roman" w:hAnsi="Times New Roman" w:eastAsia="宋体" w:cs="Times New Roman"/>
                <w:bCs/>
                <w:color w:val="auto"/>
                <w:sz w:val="24"/>
                <w:lang w:val="en-US" w:eastAsia="zh-CN"/>
              </w:rPr>
              <w:t>燃</w:t>
            </w:r>
            <w:r>
              <w:rPr>
                <w:rFonts w:hint="eastAsia" w:ascii="Times New Roman" w:hAnsi="Times New Roman" w:cs="Times New Roman"/>
                <w:bCs/>
                <w:color w:val="auto"/>
                <w:sz w:val="24"/>
                <w:lang w:val="en-US" w:eastAsia="zh-CN"/>
              </w:rPr>
              <w:t>生物质</w:t>
            </w:r>
            <w:r>
              <w:rPr>
                <w:rFonts w:hint="eastAsia" w:ascii="Times New Roman" w:hAnsi="Times New Roman" w:eastAsia="宋体" w:cs="Times New Roman"/>
                <w:bCs/>
                <w:color w:val="auto"/>
                <w:sz w:val="24"/>
                <w:lang w:val="en-US" w:eastAsia="zh-CN"/>
              </w:rPr>
              <w:t>锅炉，</w:t>
            </w:r>
            <w:r>
              <w:rPr>
                <w:rFonts w:hint="eastAsia"/>
                <w:color w:val="auto"/>
                <w:sz w:val="24"/>
                <w:highlight w:val="none"/>
              </w:rPr>
              <w:t>用于冬季厂区供暖</w:t>
            </w:r>
            <w:r>
              <w:rPr>
                <w:rFonts w:hint="eastAsia"/>
                <w:color w:val="auto"/>
                <w:sz w:val="24"/>
                <w:highlight w:val="none"/>
                <w:lang w:eastAsia="zh-CN"/>
              </w:rPr>
              <w:t>。</w:t>
            </w:r>
            <w:r>
              <w:rPr>
                <w:rFonts w:hint="eastAsia" w:ascii="Times New Roman" w:hAnsi="Times New Roman" w:eastAsia="宋体" w:cs="Times New Roman"/>
                <w:bCs/>
                <w:color w:val="auto"/>
                <w:sz w:val="24"/>
                <w:lang w:val="en-US" w:eastAsia="zh-CN"/>
              </w:rPr>
              <w:t>每天运行</w:t>
            </w:r>
            <w:r>
              <w:rPr>
                <w:rFonts w:hint="eastAsia" w:cs="Times New Roman"/>
                <w:bCs/>
                <w:color w:val="auto"/>
                <w:sz w:val="24"/>
                <w:lang w:val="en-US" w:eastAsia="zh-CN"/>
              </w:rPr>
              <w:t>8</w:t>
            </w:r>
            <w:r>
              <w:rPr>
                <w:rFonts w:hint="eastAsia" w:ascii="Times New Roman" w:hAnsi="Times New Roman" w:eastAsia="宋体" w:cs="Times New Roman"/>
                <w:bCs/>
                <w:color w:val="auto"/>
                <w:sz w:val="24"/>
                <w:lang w:val="en-US" w:eastAsia="zh-CN"/>
              </w:rPr>
              <w:t>小时，年运行</w:t>
            </w:r>
            <w:r>
              <w:rPr>
                <w:rFonts w:hint="eastAsia" w:cs="Times New Roman"/>
                <w:bCs/>
                <w:color w:val="auto"/>
                <w:sz w:val="24"/>
                <w:lang w:val="en-US" w:eastAsia="zh-CN"/>
              </w:rPr>
              <w:t>180</w:t>
            </w:r>
            <w:r>
              <w:rPr>
                <w:rFonts w:hint="eastAsia" w:ascii="Times New Roman" w:hAnsi="Times New Roman" w:eastAsia="宋体" w:cs="Times New Roman"/>
                <w:bCs/>
                <w:color w:val="auto"/>
                <w:sz w:val="24"/>
                <w:lang w:val="en-US" w:eastAsia="zh-CN"/>
              </w:rPr>
              <w:t>天</w:t>
            </w:r>
            <w:r>
              <w:rPr>
                <w:rFonts w:hint="eastAsia" w:ascii="Times New Roman" w:hAnsi="Times New Roman" w:eastAsia="宋体" w:cs="Times New Roman"/>
                <w:bCs/>
                <w:color w:val="auto"/>
                <w:sz w:val="24"/>
                <w:lang w:val="en-US" w:eastAsia="zh-CN"/>
              </w:rPr>
              <w:t>，软化水采用炉外软化的方式，燃</w:t>
            </w:r>
            <w:r>
              <w:rPr>
                <w:rFonts w:hint="eastAsia" w:ascii="Times New Roman" w:hAnsi="Times New Roman" w:cs="Times New Roman"/>
                <w:bCs/>
                <w:color w:val="auto"/>
                <w:sz w:val="24"/>
                <w:lang w:val="en-US" w:eastAsia="zh-CN"/>
              </w:rPr>
              <w:t>生物质</w:t>
            </w:r>
            <w:r>
              <w:rPr>
                <w:rFonts w:hint="eastAsia" w:ascii="Times New Roman" w:hAnsi="Times New Roman" w:eastAsia="宋体" w:cs="Times New Roman"/>
                <w:bCs/>
                <w:color w:val="auto"/>
                <w:sz w:val="24"/>
                <w:lang w:val="en-US" w:eastAsia="zh-CN"/>
              </w:rPr>
              <w:t>锅炉软化水用量=锅炉蒸发量+锅炉排污损失，燃</w:t>
            </w:r>
            <w:r>
              <w:rPr>
                <w:rFonts w:hint="eastAsia" w:ascii="Times New Roman" w:hAnsi="Times New Roman" w:cs="Times New Roman"/>
                <w:bCs/>
                <w:color w:val="auto"/>
                <w:sz w:val="24"/>
                <w:lang w:val="en-US" w:eastAsia="zh-CN"/>
              </w:rPr>
              <w:t>生物质</w:t>
            </w:r>
            <w:r>
              <w:rPr>
                <w:rFonts w:hint="eastAsia" w:ascii="Times New Roman" w:hAnsi="Times New Roman" w:eastAsia="宋体" w:cs="Times New Roman"/>
                <w:bCs/>
                <w:color w:val="auto"/>
                <w:sz w:val="24"/>
                <w:lang w:val="en-US" w:eastAsia="zh-CN"/>
              </w:rPr>
              <w:t>锅炉软化水用量取日蒸发水量的20-40%，则耗水量=</w:t>
            </w:r>
            <w:r>
              <w:rPr>
                <w:rFonts w:hint="eastAsia" w:cs="Times New Roman"/>
                <w:bCs/>
                <w:color w:val="auto"/>
                <w:sz w:val="24"/>
                <w:lang w:val="en-US" w:eastAsia="zh-CN"/>
              </w:rPr>
              <w:t>2.5</w:t>
            </w:r>
            <w:r>
              <w:rPr>
                <w:rFonts w:hint="eastAsia" w:ascii="Times New Roman" w:hAnsi="Times New Roman" w:eastAsia="宋体" w:cs="Times New Roman"/>
                <w:bCs/>
                <w:color w:val="auto"/>
                <w:sz w:val="24"/>
                <w:lang w:val="en-US" w:eastAsia="zh-CN"/>
              </w:rPr>
              <w:t>t×</w:t>
            </w:r>
            <w:r>
              <w:rPr>
                <w:rFonts w:hint="eastAsia" w:cs="Times New Roman"/>
                <w:bCs/>
                <w:color w:val="auto"/>
                <w:sz w:val="24"/>
                <w:lang w:val="en-US" w:eastAsia="zh-CN"/>
              </w:rPr>
              <w:t>1440</w:t>
            </w:r>
            <w:r>
              <w:rPr>
                <w:rFonts w:hint="eastAsia" w:ascii="Times New Roman" w:hAnsi="Times New Roman" w:eastAsia="宋体" w:cs="Times New Roman"/>
                <w:bCs/>
                <w:color w:val="auto"/>
                <w:sz w:val="24"/>
                <w:lang w:val="en-US" w:eastAsia="zh-CN"/>
              </w:rPr>
              <w:t>h×30%+</w:t>
            </w:r>
            <w:r>
              <w:rPr>
                <w:rFonts w:hint="eastAsia"/>
                <w:color w:val="auto"/>
                <w:sz w:val="24"/>
                <w:highlight w:val="none"/>
                <w:lang w:val="en-US" w:eastAsia="zh-CN"/>
              </w:rPr>
              <w:t>373.202</w:t>
            </w:r>
            <w:r>
              <w:rPr>
                <w:rFonts w:hint="eastAsia" w:ascii="Times New Roman" w:hAnsi="Times New Roman" w:eastAsia="宋体" w:cs="Times New Roman"/>
                <w:color w:val="auto"/>
                <w:sz w:val="24"/>
                <w:lang w:val="en-US" w:eastAsia="zh-CN"/>
              </w:rPr>
              <w:t>t/a</w:t>
            </w:r>
            <w:r>
              <w:rPr>
                <w:rFonts w:hint="eastAsia" w:ascii="Times New Roman" w:hAnsi="Times New Roman" w:eastAsia="宋体" w:cs="Times New Roman"/>
                <w:bCs/>
                <w:color w:val="auto"/>
                <w:sz w:val="24"/>
                <w:lang w:val="en-US" w:eastAsia="zh-CN"/>
              </w:rPr>
              <w:t>=</w:t>
            </w:r>
            <w:r>
              <w:rPr>
                <w:rFonts w:hint="eastAsia"/>
                <w:color w:val="auto"/>
                <w:sz w:val="24"/>
                <w:highlight w:val="none"/>
                <w:lang w:val="en-US" w:eastAsia="zh-CN"/>
              </w:rPr>
              <w:t>1453.202</w:t>
            </w:r>
            <w:r>
              <w:rPr>
                <w:rFonts w:hint="eastAsia" w:ascii="Times New Roman" w:hAnsi="Times New Roman" w:eastAsia="宋体" w:cs="Times New Roman"/>
                <w:bCs/>
                <w:color w:val="auto"/>
                <w:sz w:val="24"/>
                <w:lang w:val="en-US" w:eastAsia="zh-CN"/>
              </w:rPr>
              <w:t>t</w:t>
            </w:r>
            <w:r>
              <w:rPr>
                <w:rFonts w:hint="default" w:ascii="Times New Roman" w:hAnsi="Times New Roman" w:eastAsia="宋体" w:cs="Times New Roman"/>
                <w:bCs/>
                <w:color w:val="auto"/>
                <w:sz w:val="24"/>
                <w:lang w:val="zh-CN" w:eastAsia="zh-CN"/>
              </w:rPr>
              <w:t>/a</w:t>
            </w:r>
            <w:r>
              <w:rPr>
                <w:rFonts w:hint="eastAsia" w:ascii="Times New Roman" w:hAnsi="Times New Roman" w:eastAsia="宋体" w:cs="Times New Roman"/>
                <w:bCs/>
                <w:color w:val="auto"/>
                <w:sz w:val="24"/>
                <w:lang w:val="zh-CN" w:eastAsia="zh-CN"/>
              </w:rPr>
              <w:t>，</w:t>
            </w:r>
            <w:r>
              <w:rPr>
                <w:rFonts w:hint="eastAsia" w:ascii="Times New Roman" w:hAnsi="Times New Roman" w:eastAsia="宋体" w:cs="Times New Roman"/>
                <w:bCs/>
                <w:color w:val="auto"/>
                <w:sz w:val="24"/>
                <w:lang w:val="zh-CN" w:eastAsia="zh-CN"/>
              </w:rPr>
              <w:t>平均每天用水量</w:t>
            </w:r>
            <w:r>
              <w:rPr>
                <w:rFonts w:hint="eastAsia" w:cs="Times New Roman"/>
                <w:bCs/>
                <w:color w:val="auto"/>
                <w:sz w:val="24"/>
                <w:lang w:val="en-US" w:eastAsia="zh-CN"/>
              </w:rPr>
              <w:t>8.073</w:t>
            </w:r>
            <w:r>
              <w:rPr>
                <w:rFonts w:hint="eastAsia" w:ascii="Times New Roman" w:hAnsi="Times New Roman" w:eastAsia="宋体" w:cs="Times New Roman"/>
                <w:bCs/>
                <w:color w:val="auto"/>
                <w:sz w:val="24"/>
                <w:lang w:val="en-US" w:eastAsia="zh-CN"/>
              </w:rPr>
              <w:t>t</w:t>
            </w:r>
            <w:r>
              <w:rPr>
                <w:rFonts w:hint="default" w:ascii="Times New Roman" w:hAnsi="Times New Roman" w:eastAsia="宋体" w:cs="Times New Roman"/>
                <w:bCs/>
                <w:color w:val="auto"/>
                <w:sz w:val="24"/>
                <w:lang w:val="zh-CN" w:eastAsia="zh-CN"/>
              </w:rPr>
              <w:t>/</w:t>
            </w:r>
            <w:r>
              <w:rPr>
                <w:rFonts w:hint="eastAsia" w:ascii="Times New Roman" w:hAnsi="Times New Roman" w:eastAsia="宋体" w:cs="Times New Roman"/>
                <w:bCs/>
                <w:color w:val="auto"/>
                <w:sz w:val="24"/>
                <w:lang w:val="en-US" w:eastAsia="zh-CN"/>
              </w:rPr>
              <w:t>d</w:t>
            </w:r>
            <w:r>
              <w:rPr>
                <w:rFonts w:hint="eastAsia" w:ascii="Times New Roman" w:hAnsi="Times New Roman" w:eastAsia="宋体" w:cs="Times New Roman"/>
                <w:bCs/>
                <w:color w:val="auto"/>
                <w:sz w:val="24"/>
                <w:lang w:val="zh-CN" w:eastAsia="zh-CN"/>
              </w:rPr>
              <w:t>。</w:t>
            </w:r>
            <w:r>
              <w:rPr>
                <w:rFonts w:hint="eastAsia" w:cs="Times New Roman"/>
                <w:bCs/>
                <w:color w:val="auto"/>
                <w:sz w:val="24"/>
                <w:lang w:val="en-US" w:eastAsia="zh-CN"/>
              </w:rPr>
              <w:t>预购</w:t>
            </w:r>
            <w:r>
              <w:rPr>
                <w:rFonts w:hint="eastAsia" w:ascii="Times New Roman" w:hAnsi="Times New Roman" w:eastAsia="宋体" w:cs="Times New Roman"/>
                <w:bCs/>
                <w:color w:val="auto"/>
                <w:sz w:val="24"/>
                <w:lang w:val="en-US" w:eastAsia="zh-CN"/>
              </w:rPr>
              <w:t>软化水制备系统设计出水能力1</w:t>
            </w:r>
            <w:r>
              <w:rPr>
                <w:rFonts w:hint="eastAsia" w:ascii="Times New Roman" w:hAnsi="Times New Roman" w:cs="Times New Roman"/>
                <w:bCs/>
                <w:color w:val="auto"/>
                <w:sz w:val="24"/>
                <w:lang w:val="en-US" w:eastAsia="zh-CN"/>
              </w:rPr>
              <w:t>.5</w:t>
            </w:r>
            <w:r>
              <w:rPr>
                <w:rFonts w:hint="default" w:ascii="Times New Roman" w:hAnsi="Times New Roman" w:eastAsia="宋体" w:cs="Times New Roman"/>
                <w:bCs/>
                <w:color w:val="auto"/>
                <w:sz w:val="24"/>
                <w:lang w:val="en-US" w:eastAsia="zh-CN"/>
              </w:rPr>
              <w:t>m</w:t>
            </w:r>
            <w:r>
              <w:rPr>
                <w:rFonts w:hint="default" w:ascii="Times New Roman" w:hAnsi="Times New Roman" w:eastAsia="宋体" w:cs="Times New Roman"/>
                <w:bCs/>
                <w:color w:val="auto"/>
                <w:sz w:val="24"/>
                <w:vertAlign w:val="superscript"/>
                <w:lang w:val="en-US" w:eastAsia="zh-CN"/>
              </w:rPr>
              <w:t>3</w:t>
            </w:r>
            <w:r>
              <w:rPr>
                <w:rFonts w:hint="default" w:ascii="Times New Roman" w:hAnsi="Times New Roman" w:eastAsia="宋体" w:cs="Times New Roman"/>
                <w:bCs/>
                <w:color w:val="auto"/>
                <w:sz w:val="24"/>
                <w:lang w:val="en-US" w:eastAsia="zh-CN"/>
              </w:rPr>
              <w:t>/h</w:t>
            </w:r>
            <w:r>
              <w:rPr>
                <w:rFonts w:hint="eastAsia" w:ascii="Times New Roman" w:hAnsi="Times New Roman" w:eastAsia="宋体" w:cs="Times New Roman"/>
                <w:bCs/>
                <w:color w:val="auto"/>
                <w:sz w:val="24"/>
                <w:lang w:val="en-US" w:eastAsia="zh-CN"/>
              </w:rPr>
              <w:t>，可以满足本项目用水需求。</w:t>
            </w:r>
          </w:p>
          <w:p w14:paraId="2894ED6D">
            <w:pPr>
              <w:adjustRightInd w:val="0"/>
              <w:snapToGrid w:val="0"/>
              <w:spacing w:line="360" w:lineRule="auto"/>
              <w:ind w:firstLine="480" w:firstLineChars="200"/>
              <w:rPr>
                <w:rFonts w:hint="eastAsia" w:ascii="Times New Roman" w:hAnsi="Times New Roman" w:eastAsia="宋体" w:cs="Times New Roman"/>
                <w:bCs/>
                <w:color w:val="auto"/>
                <w:sz w:val="24"/>
                <w:lang w:val="en-US" w:eastAsia="zh-CN"/>
              </w:rPr>
            </w:pPr>
            <w:r>
              <w:rPr>
                <w:rFonts w:hint="eastAsia" w:cs="Times New Roman"/>
                <w:bCs/>
                <w:color w:val="auto"/>
                <w:sz w:val="24"/>
                <w:lang w:val="en-US" w:eastAsia="zh-CN"/>
              </w:rPr>
              <w:t>综上，本项目总用水量</w:t>
            </w:r>
            <w:r>
              <w:rPr>
                <w:rFonts w:hint="default" w:ascii="Times New Roman" w:hAnsi="Times New Roman" w:eastAsia="Times New Roman"/>
                <w:color w:val="auto"/>
                <w:sz w:val="24"/>
                <w:szCs w:val="24"/>
                <w:lang w:val="zh-CN"/>
              </w:rPr>
              <w:t>1692.402</w:t>
            </w:r>
            <w:r>
              <w:rPr>
                <w:rFonts w:hint="eastAsia"/>
                <w:color w:val="auto"/>
                <w:sz w:val="24"/>
                <w:lang w:val="en-US" w:eastAsia="zh-CN"/>
              </w:rPr>
              <w:t>t</w:t>
            </w:r>
            <w:r>
              <w:rPr>
                <w:rFonts w:hint="eastAsia"/>
                <w:color w:val="auto"/>
                <w:sz w:val="24"/>
              </w:rPr>
              <w:t>/a</w:t>
            </w:r>
            <w:r>
              <w:rPr>
                <w:rFonts w:hint="eastAsia"/>
                <w:color w:val="auto"/>
                <w:sz w:val="24"/>
                <w:lang w:val="en-US" w:eastAsia="zh-CN"/>
              </w:rPr>
              <w:t>。</w:t>
            </w:r>
          </w:p>
          <w:p w14:paraId="7EAC3715">
            <w:pPr>
              <w:adjustRightInd w:val="0"/>
              <w:snapToGrid w:val="0"/>
              <w:spacing w:line="360" w:lineRule="auto"/>
              <w:ind w:firstLine="480" w:firstLineChars="200"/>
              <w:rPr>
                <w:rFonts w:hint="eastAsia"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lang w:val="en-US" w:eastAsia="zh-CN"/>
              </w:rPr>
              <w:t>（2）排水</w:t>
            </w:r>
          </w:p>
          <w:p w14:paraId="4FD5713C">
            <w:pPr>
              <w:spacing w:line="360" w:lineRule="auto"/>
              <w:ind w:firstLine="480" w:firstLineChars="200"/>
              <w:jc w:val="left"/>
              <w:rPr>
                <w:rFonts w:hint="default"/>
                <w:color w:val="auto"/>
                <w:sz w:val="24"/>
                <w:lang w:val="en-US" w:eastAsia="zh-CN"/>
              </w:rPr>
            </w:pPr>
            <w:r>
              <w:rPr>
                <w:color w:val="auto"/>
                <w:sz w:val="24"/>
                <w:szCs w:val="32"/>
              </w:rPr>
              <w:t>本项目</w:t>
            </w:r>
            <w:r>
              <w:rPr>
                <w:rFonts w:hint="eastAsia"/>
                <w:color w:val="auto"/>
                <w:sz w:val="24"/>
              </w:rPr>
              <w:t>车辆进场后直接露天存放于厂区内</w:t>
            </w:r>
            <w:r>
              <w:rPr>
                <w:color w:val="auto"/>
                <w:sz w:val="24"/>
              </w:rPr>
              <w:t>。</w:t>
            </w:r>
            <w:r>
              <w:rPr>
                <w:color w:val="auto"/>
                <w:spacing w:val="-4"/>
                <w:sz w:val="24"/>
              </w:rPr>
              <w:t>本项目所拆解的均为报废</w:t>
            </w:r>
            <w:r>
              <w:rPr>
                <w:rFonts w:hint="eastAsia"/>
                <w:color w:val="auto"/>
                <w:spacing w:val="-4"/>
                <w:sz w:val="24"/>
                <w:lang w:val="en-US" w:eastAsia="zh-CN"/>
              </w:rPr>
              <w:t>农机</w:t>
            </w:r>
            <w:r>
              <w:rPr>
                <w:color w:val="auto"/>
                <w:spacing w:val="-4"/>
                <w:sz w:val="24"/>
              </w:rPr>
              <w:t>无需冲洗。在报废</w:t>
            </w:r>
            <w:r>
              <w:rPr>
                <w:rFonts w:hint="eastAsia"/>
                <w:color w:val="auto"/>
                <w:spacing w:val="-4"/>
                <w:sz w:val="24"/>
                <w:lang w:val="en-US" w:eastAsia="zh-CN"/>
              </w:rPr>
              <w:t>农机</w:t>
            </w:r>
            <w:r>
              <w:rPr>
                <w:color w:val="auto"/>
                <w:spacing w:val="-4"/>
                <w:sz w:val="24"/>
              </w:rPr>
              <w:t>拆解中各类废油及废液抽取过程，采用较为先进的可吸附式的真空抽取机械，可有效防止废油、废液落地，偶有落地立刻用抹布进行收集处理，因此本项目不产生生产废水。厂区废水主要为职工产生的生活污水</w:t>
            </w:r>
            <w:r>
              <w:rPr>
                <w:rFonts w:hint="eastAsia"/>
                <w:color w:val="auto"/>
                <w:spacing w:val="-4"/>
                <w:sz w:val="24"/>
              </w:rPr>
              <w:t>和初期雨水</w:t>
            </w:r>
            <w:r>
              <w:rPr>
                <w:color w:val="auto"/>
                <w:spacing w:val="-4"/>
                <w:sz w:val="24"/>
              </w:rPr>
              <w:t>。</w:t>
            </w:r>
            <w:r>
              <w:rPr>
                <w:rFonts w:hint="eastAsia"/>
                <w:color w:val="auto"/>
                <w:spacing w:val="-4"/>
                <w:sz w:val="24"/>
              </w:rPr>
              <w:t>本项目设置初期雨水收集系统，收集前15</w:t>
            </w:r>
            <w:r>
              <w:rPr>
                <w:color w:val="auto"/>
                <w:spacing w:val="-4"/>
                <w:sz w:val="24"/>
              </w:rPr>
              <w:t>min</w:t>
            </w:r>
            <w:r>
              <w:rPr>
                <w:rFonts w:hint="eastAsia"/>
                <w:color w:val="auto"/>
                <w:spacing w:val="-4"/>
                <w:sz w:val="24"/>
              </w:rPr>
              <w:t>雨水，</w:t>
            </w:r>
            <w:r>
              <w:rPr>
                <w:rFonts w:hint="eastAsia"/>
                <w:color w:val="auto"/>
                <w:spacing w:val="-4"/>
                <w:sz w:val="24"/>
                <w:lang w:val="en-US" w:eastAsia="zh-CN"/>
              </w:rPr>
              <w:t>收集后经油水分离装置处理后，</w:t>
            </w:r>
            <w:r>
              <w:rPr>
                <w:rFonts w:hint="eastAsia"/>
                <w:color w:val="auto"/>
                <w:sz w:val="24"/>
                <w:lang w:val="en-US" w:eastAsia="zh-CN"/>
              </w:rPr>
              <w:t>和锅炉排污水、软化水制备废水及生活污水一同排入市政管网</w:t>
            </w:r>
            <w:r>
              <w:rPr>
                <w:rFonts w:hint="eastAsia"/>
                <w:color w:val="auto"/>
                <w:spacing w:val="-4"/>
                <w:sz w:val="24"/>
                <w:lang w:val="en-US" w:eastAsia="zh-CN"/>
              </w:rPr>
              <w:t>，送入鸡西市鸡冠区污水处理</w:t>
            </w:r>
            <w:r>
              <w:rPr>
                <w:rFonts w:hint="eastAsia"/>
                <w:color w:val="auto"/>
                <w:sz w:val="24"/>
                <w:lang w:val="en-US" w:eastAsia="zh-CN"/>
              </w:rPr>
              <w:t>厂，经处理后</w:t>
            </w:r>
            <w:r>
              <w:rPr>
                <w:rFonts w:hint="eastAsia"/>
                <w:color w:val="auto"/>
                <w:sz w:val="24"/>
              </w:rPr>
              <w:t>可以达到《城镇污水处理厂污染物排放标准》（GB 18918－2002）中一级A标准</w:t>
            </w:r>
            <w:r>
              <w:rPr>
                <w:rFonts w:hint="eastAsia"/>
                <w:color w:val="auto"/>
                <w:sz w:val="24"/>
                <w:lang w:eastAsia="zh-CN"/>
              </w:rPr>
              <w:t>。</w:t>
            </w:r>
            <w:r>
              <w:rPr>
                <w:rFonts w:hint="eastAsia"/>
                <w:color w:val="auto"/>
                <w:sz w:val="24"/>
              </w:rPr>
              <w:t>后期清净雨水通过雨水口和管道收集后排至厂区外。</w:t>
            </w:r>
          </w:p>
          <w:p w14:paraId="0CA85100">
            <w:pPr>
              <w:spacing w:line="360" w:lineRule="auto"/>
              <w:ind w:firstLine="480" w:firstLineChars="200"/>
              <w:jc w:val="left"/>
              <w:rPr>
                <w:rFonts w:ascii="Times New Roman" w:hAnsi="Times New Roman" w:cs="Times New Roman"/>
                <w:color w:val="auto"/>
                <w:sz w:val="24"/>
                <w:szCs w:val="32"/>
              </w:rPr>
            </w:pPr>
            <w:r>
              <w:rPr>
                <w:rFonts w:hint="eastAsia" w:ascii="Times New Roman" w:hAnsi="Times New Roman" w:cs="Times New Roman"/>
                <w:color w:val="auto"/>
                <w:sz w:val="24"/>
                <w:szCs w:val="32"/>
              </w:rPr>
              <w:t>①</w:t>
            </w:r>
            <w:r>
              <w:rPr>
                <w:rFonts w:ascii="Times New Roman" w:hAnsi="Times New Roman" w:cs="Times New Roman"/>
                <w:color w:val="auto"/>
                <w:sz w:val="24"/>
                <w:szCs w:val="32"/>
              </w:rPr>
              <w:t>生活污水</w:t>
            </w:r>
          </w:p>
          <w:p w14:paraId="19E31E6A">
            <w:pPr>
              <w:spacing w:line="360" w:lineRule="auto"/>
              <w:ind w:firstLine="480" w:firstLineChars="200"/>
              <w:jc w:val="left"/>
              <w:rPr>
                <w:rFonts w:ascii="Times New Roman" w:hAnsi="Times New Roman" w:cs="Times New Roman"/>
                <w:color w:val="auto"/>
                <w:sz w:val="24"/>
                <w:szCs w:val="32"/>
              </w:rPr>
            </w:pPr>
            <w:r>
              <w:rPr>
                <w:rFonts w:ascii="Times New Roman" w:hAnsi="Times New Roman" w:cs="Times New Roman"/>
                <w:color w:val="auto"/>
                <w:sz w:val="24"/>
                <w:szCs w:val="32"/>
              </w:rPr>
              <w:t>排放量按生活用水量的80%计算，则生活污水产生量为</w:t>
            </w:r>
            <w:r>
              <w:rPr>
                <w:rFonts w:hint="eastAsia" w:ascii="Times New Roman" w:hAnsi="Times New Roman" w:cs="Times New Roman"/>
                <w:color w:val="auto"/>
                <w:sz w:val="24"/>
                <w:szCs w:val="32"/>
                <w:lang w:val="en-US" w:eastAsia="zh-CN"/>
              </w:rPr>
              <w:t>0.704</w:t>
            </w:r>
            <w:r>
              <w:rPr>
                <w:rFonts w:ascii="Times New Roman" w:hAnsi="Times New Roman" w:cs="Times New Roman"/>
                <w:color w:val="auto"/>
                <w:sz w:val="24"/>
                <w:szCs w:val="32"/>
              </w:rPr>
              <w:t>t/d，</w:t>
            </w:r>
            <w:r>
              <w:rPr>
                <w:rFonts w:hint="eastAsia" w:ascii="Times New Roman" w:hAnsi="Times New Roman" w:cs="Times New Roman"/>
                <w:color w:val="auto"/>
                <w:sz w:val="24"/>
                <w:szCs w:val="32"/>
                <w:lang w:val="en-US" w:eastAsia="zh-CN"/>
              </w:rPr>
              <w:t>176</w:t>
            </w:r>
            <w:r>
              <w:rPr>
                <w:rFonts w:ascii="Times New Roman" w:hAnsi="Times New Roman" w:cs="Times New Roman"/>
                <w:color w:val="auto"/>
                <w:sz w:val="24"/>
                <w:szCs w:val="32"/>
              </w:rPr>
              <w:t>t/a。本项目生活污水</w:t>
            </w:r>
            <w:r>
              <w:rPr>
                <w:rFonts w:hint="eastAsia" w:ascii="Times New Roman" w:hAnsi="Times New Roman" w:cs="Times New Roman"/>
                <w:color w:val="auto"/>
                <w:sz w:val="24"/>
                <w:szCs w:val="32"/>
              </w:rPr>
              <w:t>排入市政管网。</w:t>
            </w:r>
          </w:p>
          <w:p w14:paraId="68F955C9">
            <w:pPr>
              <w:pStyle w:val="144"/>
              <w:ind w:firstLine="480"/>
              <w:rPr>
                <w:color w:val="auto"/>
              </w:rPr>
            </w:pPr>
            <w:r>
              <w:rPr>
                <w:rFonts w:hint="eastAsia"/>
                <w:color w:val="auto"/>
              </w:rPr>
              <w:t>②</w:t>
            </w:r>
            <w:r>
              <w:rPr>
                <w:color w:val="auto"/>
              </w:rPr>
              <w:t>初期雨水</w:t>
            </w:r>
          </w:p>
          <w:p w14:paraId="202713B2">
            <w:pPr>
              <w:pStyle w:val="144"/>
              <w:ind w:firstLine="480"/>
              <w:rPr>
                <w:color w:val="auto"/>
              </w:rPr>
            </w:pPr>
            <w:r>
              <w:rPr>
                <w:rFonts w:hint="eastAsia"/>
                <w:color w:val="auto"/>
              </w:rPr>
              <w:t>本项目设置初期雨水收集系统，收集前15</w:t>
            </w:r>
            <w:r>
              <w:rPr>
                <w:color w:val="auto"/>
              </w:rPr>
              <w:t>min</w:t>
            </w:r>
            <w:r>
              <w:rPr>
                <w:rFonts w:hint="eastAsia"/>
                <w:color w:val="auto"/>
              </w:rPr>
              <w:t>雨水，后期清净雨水通过雨水口和管道收集后排至厂区外。</w:t>
            </w:r>
          </w:p>
          <w:p w14:paraId="772CF74E">
            <w:pPr>
              <w:pStyle w:val="144"/>
              <w:ind w:firstLine="480"/>
              <w:rPr>
                <w:color w:val="auto"/>
              </w:rPr>
            </w:pPr>
            <w:r>
              <w:rPr>
                <w:rFonts w:hint="eastAsia"/>
                <w:color w:val="auto"/>
              </w:rPr>
              <w:t>厂区分为污染区和非污染区，非污染区主要指封闭拆解车间</w:t>
            </w:r>
            <w:r>
              <w:rPr>
                <w:rFonts w:hint="eastAsia"/>
                <w:color w:val="auto"/>
                <w:lang w:eastAsia="zh-CN"/>
              </w:rPr>
              <w:t>、</w:t>
            </w:r>
            <w:r>
              <w:rPr>
                <w:rFonts w:hint="eastAsia"/>
                <w:color w:val="auto"/>
                <w:lang w:val="en-US" w:eastAsia="zh-CN"/>
              </w:rPr>
              <w:t>封闭危废贮存点、燃料与灰渣库、锅炉房和</w:t>
            </w:r>
            <w:r>
              <w:rPr>
                <w:rFonts w:hint="eastAsia"/>
                <w:color w:val="auto"/>
              </w:rPr>
              <w:t>半封闭</w:t>
            </w:r>
            <w:r>
              <w:rPr>
                <w:rFonts w:hint="eastAsia"/>
                <w:color w:val="auto"/>
                <w:lang w:val="en-US" w:eastAsia="zh-CN"/>
              </w:rPr>
              <w:t>废钢铁及废橡胶贮存库</w:t>
            </w:r>
            <w:r>
              <w:rPr>
                <w:rFonts w:hint="eastAsia"/>
                <w:color w:val="auto"/>
              </w:rPr>
              <w:t>，污染区为厂区路面、</w:t>
            </w:r>
            <w:r>
              <w:rPr>
                <w:rFonts w:hint="eastAsia"/>
                <w:color w:val="auto"/>
                <w:lang w:val="en-US" w:eastAsia="zh-CN"/>
              </w:rPr>
              <w:t>待拆车辆暂存区</w:t>
            </w:r>
            <w:r>
              <w:rPr>
                <w:rFonts w:hint="eastAsia"/>
                <w:color w:val="auto"/>
              </w:rPr>
              <w:t>等。本项目合计汇水面积为总占地面积</w:t>
            </w:r>
            <w:r>
              <w:rPr>
                <w:rFonts w:hint="eastAsia"/>
                <w:color w:val="auto"/>
                <w:lang w:eastAsia="zh-CN"/>
              </w:rPr>
              <w:t>—</w:t>
            </w:r>
            <w:r>
              <w:rPr>
                <w:rFonts w:hint="eastAsia" w:cs="Arial"/>
                <w:color w:val="auto"/>
                <w:szCs w:val="21"/>
              </w:rPr>
              <w:t>拆解车间</w:t>
            </w:r>
            <w:r>
              <w:rPr>
                <w:rFonts w:hint="eastAsia"/>
                <w:color w:val="auto"/>
              </w:rPr>
              <w:t>占地面积</w:t>
            </w:r>
            <w:r>
              <w:rPr>
                <w:rFonts w:hint="eastAsia"/>
                <w:color w:val="auto"/>
                <w:lang w:eastAsia="zh-CN"/>
              </w:rPr>
              <w:t>—</w:t>
            </w:r>
            <w:r>
              <w:rPr>
                <w:rFonts w:hint="eastAsia" w:hAnsi="宋体" w:cs="Arial"/>
                <w:color w:val="auto"/>
                <w:szCs w:val="21"/>
                <w:lang w:val="en-US" w:eastAsia="zh-CN"/>
              </w:rPr>
              <w:t>危废贮存点</w:t>
            </w:r>
            <w:r>
              <w:rPr>
                <w:rFonts w:hint="eastAsia" w:hAnsi="宋体" w:cs="Arial"/>
                <w:color w:val="auto"/>
                <w:szCs w:val="21"/>
              </w:rPr>
              <w:t>占地</w:t>
            </w:r>
            <w:r>
              <w:rPr>
                <w:rFonts w:hint="eastAsia" w:hAnsi="宋体" w:cs="Arial"/>
                <w:color w:val="auto"/>
                <w:szCs w:val="21"/>
                <w:lang w:val="en-US" w:eastAsia="zh-CN"/>
              </w:rPr>
              <w:t>面积</w:t>
            </w:r>
            <w:r>
              <w:rPr>
                <w:rFonts w:hint="eastAsia"/>
                <w:color w:val="auto"/>
                <w:lang w:eastAsia="zh-CN"/>
              </w:rPr>
              <w:t>—</w:t>
            </w:r>
            <w:r>
              <w:rPr>
                <w:rFonts w:hint="eastAsia"/>
                <w:color w:val="auto"/>
                <w:lang w:val="en-US" w:eastAsia="zh-CN"/>
              </w:rPr>
              <w:t>锅炉房占地面积—燃料与灰渣库占地面积</w:t>
            </w:r>
            <w:r>
              <w:rPr>
                <w:rFonts w:hint="eastAsia"/>
                <w:color w:val="auto"/>
              </w:rPr>
              <w:t>=</w:t>
            </w:r>
            <w:r>
              <w:rPr>
                <w:rFonts w:hint="eastAsia"/>
                <w:color w:val="auto"/>
                <w:lang w:val="en-US" w:eastAsia="zh-CN"/>
              </w:rPr>
              <w:t>5100</w:t>
            </w:r>
            <w:r>
              <w:rPr>
                <w:rFonts w:hint="eastAsia"/>
                <w:color w:val="auto"/>
              </w:rPr>
              <w:t>m</w:t>
            </w:r>
            <w:r>
              <w:rPr>
                <w:rFonts w:hint="eastAsia"/>
                <w:color w:val="auto"/>
                <w:vertAlign w:val="superscript"/>
              </w:rPr>
              <w:t>2</w:t>
            </w:r>
            <w:r>
              <w:rPr>
                <w:rFonts w:hint="eastAsia"/>
                <w:color w:val="auto"/>
              </w:rPr>
              <w:t>，初期雨水量按照鸡西市重现期</w:t>
            </w:r>
            <w:r>
              <w:rPr>
                <w:color w:val="auto"/>
              </w:rPr>
              <w:t>2</w:t>
            </w:r>
            <w:r>
              <w:rPr>
                <w:rFonts w:hint="eastAsia"/>
                <w:color w:val="auto"/>
              </w:rPr>
              <w:t>年，径流系数为</w:t>
            </w:r>
            <w:r>
              <w:rPr>
                <w:color w:val="auto"/>
              </w:rPr>
              <w:t>0.9</w:t>
            </w:r>
            <w:r>
              <w:rPr>
                <w:rFonts w:hint="eastAsia"/>
                <w:color w:val="auto"/>
              </w:rPr>
              <w:t>，降雨历时</w:t>
            </w:r>
            <w:r>
              <w:rPr>
                <w:color w:val="auto"/>
              </w:rPr>
              <w:t>15</w:t>
            </w:r>
            <w:r>
              <w:rPr>
                <w:rFonts w:hint="eastAsia"/>
                <w:color w:val="auto"/>
              </w:rPr>
              <w:t>分钟计算，则暴雨强度为</w:t>
            </w:r>
            <w:r>
              <w:rPr>
                <w:rFonts w:hint="eastAsia"/>
                <w:color w:val="auto"/>
              </w:rPr>
              <w:t>171.46</w:t>
            </w:r>
            <w:r>
              <w:rPr>
                <w:color w:val="auto"/>
              </w:rPr>
              <w:t>L/</w:t>
            </w:r>
            <w:r>
              <w:rPr>
                <w:rFonts w:hint="eastAsia"/>
                <w:color w:val="auto"/>
              </w:rPr>
              <w:t>（</w:t>
            </w:r>
            <w:r>
              <w:rPr>
                <w:color w:val="auto"/>
              </w:rPr>
              <w:t>s·</w:t>
            </w:r>
            <w:r>
              <w:rPr>
                <w:rFonts w:hint="eastAsia"/>
                <w:color w:val="auto"/>
              </w:rPr>
              <w:t>公顷）</w:t>
            </w:r>
            <w:r>
              <w:rPr>
                <w:rFonts w:hint="eastAsia"/>
                <w:color w:val="auto"/>
              </w:rPr>
              <w:t>，</w:t>
            </w:r>
            <w:r>
              <w:rPr>
                <w:color w:val="auto"/>
              </w:rPr>
              <w:t>雨水流量为</w:t>
            </w:r>
            <w:r>
              <w:rPr>
                <w:rFonts w:hint="eastAsia"/>
                <w:color w:val="auto"/>
                <w:lang w:val="en-US" w:eastAsia="zh-CN"/>
              </w:rPr>
              <w:t>78.7</w:t>
            </w:r>
            <w:r>
              <w:rPr>
                <w:color w:val="auto"/>
              </w:rPr>
              <w:t>L/s</w:t>
            </w:r>
            <w:r>
              <w:rPr>
                <w:color w:val="auto"/>
              </w:rPr>
              <w:t>，</w:t>
            </w:r>
            <w:r>
              <w:rPr>
                <w:rFonts w:hint="eastAsia"/>
                <w:color w:val="auto"/>
              </w:rPr>
              <w:t>初期雨水产生量为</w:t>
            </w:r>
            <w:r>
              <w:rPr>
                <w:rFonts w:hint="eastAsia"/>
                <w:color w:val="auto"/>
              </w:rPr>
              <w:t>70.83</w:t>
            </w:r>
            <w:r>
              <w:rPr>
                <w:color w:val="auto"/>
              </w:rPr>
              <w:t>m</w:t>
            </w:r>
            <w:r>
              <w:rPr>
                <w:color w:val="auto"/>
                <w:vertAlign w:val="superscript"/>
              </w:rPr>
              <w:t>3</w:t>
            </w:r>
            <w:r>
              <w:rPr>
                <w:color w:val="auto"/>
              </w:rPr>
              <w:t>/</w:t>
            </w:r>
            <w:r>
              <w:rPr>
                <w:rFonts w:hint="eastAsia"/>
                <w:color w:val="auto"/>
              </w:rPr>
              <w:t>次</w:t>
            </w:r>
            <w:r>
              <w:rPr>
                <w:rFonts w:hint="eastAsia"/>
                <w:color w:val="auto"/>
              </w:rPr>
              <w:t>，间歇降雨频次按</w:t>
            </w:r>
            <w:r>
              <w:rPr>
                <w:color w:val="auto"/>
              </w:rPr>
              <w:t>20</w:t>
            </w:r>
            <w:r>
              <w:rPr>
                <w:rFonts w:hint="eastAsia"/>
                <w:color w:val="auto"/>
              </w:rPr>
              <w:t>次</w:t>
            </w:r>
            <w:r>
              <w:rPr>
                <w:color w:val="auto"/>
              </w:rPr>
              <w:t>/</w:t>
            </w:r>
            <w:r>
              <w:rPr>
                <w:rFonts w:hint="eastAsia"/>
                <w:color w:val="auto"/>
              </w:rPr>
              <w:t>年计，排放量约为</w:t>
            </w:r>
            <w:r>
              <w:rPr>
                <w:rFonts w:hint="eastAsia"/>
                <w:color w:val="auto"/>
              </w:rPr>
              <w:t>1416.6</w:t>
            </w:r>
            <w:r>
              <w:rPr>
                <w:color w:val="auto"/>
              </w:rPr>
              <w:t>m</w:t>
            </w:r>
            <w:r>
              <w:rPr>
                <w:color w:val="auto"/>
                <w:vertAlign w:val="superscript"/>
              </w:rPr>
              <w:t>3</w:t>
            </w:r>
            <w:r>
              <w:rPr>
                <w:color w:val="auto"/>
              </w:rPr>
              <w:t>/a</w:t>
            </w:r>
            <w:r>
              <w:rPr>
                <w:rFonts w:hint="eastAsia"/>
                <w:color w:val="auto"/>
              </w:rPr>
              <w:t>，类比同行业排污情况，污染因子主要为COD、石油类、SS，COD</w:t>
            </w:r>
            <w:r>
              <w:rPr>
                <w:rFonts w:hint="eastAsia"/>
                <w:color w:val="auto"/>
                <w:lang w:eastAsia="zh-CN"/>
              </w:rPr>
              <w:t>：</w:t>
            </w:r>
            <w:r>
              <w:rPr>
                <w:rFonts w:hint="eastAsia"/>
                <w:color w:val="auto"/>
              </w:rPr>
              <w:t>150mg/L、SS</w:t>
            </w:r>
            <w:r>
              <w:rPr>
                <w:rFonts w:hint="eastAsia"/>
                <w:color w:val="auto"/>
                <w:lang w:eastAsia="zh-CN"/>
              </w:rPr>
              <w:t>：</w:t>
            </w:r>
            <w:r>
              <w:rPr>
                <w:rFonts w:hint="eastAsia"/>
                <w:color w:val="auto"/>
              </w:rPr>
              <w:t>300mg/L、石油类</w:t>
            </w:r>
            <w:r>
              <w:rPr>
                <w:rFonts w:hint="eastAsia"/>
                <w:color w:val="auto"/>
                <w:lang w:eastAsia="zh-CN"/>
              </w:rPr>
              <w:t>：</w:t>
            </w:r>
            <w:r>
              <w:rPr>
                <w:rFonts w:hint="eastAsia"/>
                <w:color w:val="auto"/>
              </w:rPr>
              <w:t>100mg/L，场地地面南侧地形偏高，</w:t>
            </w:r>
            <w:r>
              <w:rPr>
                <w:color w:val="auto"/>
              </w:rPr>
              <w:t>在除生活管理区、绿化区外其他的存储拆解场地四周设置环形排水沟</w:t>
            </w:r>
            <w:r>
              <w:rPr>
                <w:rFonts w:hint="eastAsia"/>
                <w:color w:val="auto"/>
              </w:rPr>
              <w:t>，排水沟断面尺寸为0.5m×0.5m，初期雨水顺地势进入排水沟，经排水沟收集于</w:t>
            </w:r>
            <w:r>
              <w:rPr>
                <w:rFonts w:hint="eastAsia"/>
                <w:color w:val="auto"/>
                <w:lang w:val="en-US" w:eastAsia="zh-CN"/>
              </w:rPr>
              <w:t>75</w:t>
            </w:r>
            <w:r>
              <w:rPr>
                <w:rFonts w:hint="eastAsia"/>
                <w:color w:val="auto"/>
              </w:rPr>
              <w:t>m</w:t>
            </w:r>
            <w:r>
              <w:rPr>
                <w:rFonts w:hint="eastAsia"/>
                <w:color w:val="auto"/>
                <w:vertAlign w:val="superscript"/>
              </w:rPr>
              <w:t>3</w:t>
            </w:r>
            <w:r>
              <w:rPr>
                <w:rFonts w:hint="eastAsia"/>
                <w:color w:val="auto"/>
              </w:rPr>
              <w:t>初期雨水收集池中，初期雨水收集池设置处理效率为</w:t>
            </w:r>
            <w:r>
              <w:rPr>
                <w:color w:val="auto"/>
              </w:rPr>
              <w:t>90%</w:t>
            </w:r>
            <w:r>
              <w:rPr>
                <w:rFonts w:hint="eastAsia"/>
                <w:color w:val="auto"/>
              </w:rPr>
              <w:t>的油水分离装置，初期雨水经油水分离器处理后直接排入</w:t>
            </w:r>
            <w:r>
              <w:rPr>
                <w:rFonts w:hint="eastAsia"/>
                <w:color w:val="auto"/>
                <w:szCs w:val="21"/>
              </w:rPr>
              <w:t>鸡西市鸡冠区污水处理厂</w:t>
            </w:r>
            <w:r>
              <w:rPr>
                <w:rFonts w:hint="eastAsia"/>
                <w:color w:val="auto"/>
              </w:rPr>
              <w:t>进行处理。</w:t>
            </w:r>
          </w:p>
          <w:p w14:paraId="0BEB967F">
            <w:pPr>
              <w:pStyle w:val="144"/>
              <w:ind w:firstLine="0" w:firstLineChars="0"/>
              <w:jc w:val="center"/>
              <w:rPr>
                <w:color w:val="auto"/>
              </w:rPr>
            </w:pPr>
            <w:r>
              <w:rPr>
                <w:color w:val="auto"/>
              </w:rPr>
              <w:drawing>
                <wp:inline distT="0" distB="0" distL="114300" distR="114300">
                  <wp:extent cx="4068445" cy="3993515"/>
                  <wp:effectExtent l="0" t="0" r="8255" b="6985"/>
                  <wp:docPr id="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
                          <pic:cNvPicPr>
                            <a:picLocks noChangeAspect="1"/>
                          </pic:cNvPicPr>
                        </pic:nvPicPr>
                        <pic:blipFill>
                          <a:blip r:embed="rId10"/>
                          <a:srcRect l="702" r="1060"/>
                          <a:stretch>
                            <a:fillRect/>
                          </a:stretch>
                        </pic:blipFill>
                        <pic:spPr>
                          <a:xfrm>
                            <a:off x="0" y="0"/>
                            <a:ext cx="4068445" cy="3993515"/>
                          </a:xfrm>
                          <a:prstGeom prst="rect">
                            <a:avLst/>
                          </a:prstGeom>
                          <a:noFill/>
                          <a:ln>
                            <a:noFill/>
                          </a:ln>
                        </pic:spPr>
                      </pic:pic>
                    </a:graphicData>
                  </a:graphic>
                </wp:inline>
              </w:drawing>
            </w:r>
          </w:p>
          <w:p w14:paraId="6AC2E7DA">
            <w:pPr>
              <w:keepNext w:val="0"/>
              <w:keepLines w:val="0"/>
              <w:suppressLineNumbers w:val="0"/>
              <w:spacing w:before="0" w:beforeAutospacing="0" w:after="0" w:afterAutospacing="0" w:line="360" w:lineRule="auto"/>
              <w:ind w:left="0" w:right="0" w:firstLine="480" w:firstLineChars="200"/>
              <w:rPr>
                <w:rFonts w:hint="eastAsia"/>
                <w:color w:val="auto"/>
                <w:sz w:val="24"/>
                <w:highlight w:val="none"/>
              </w:rPr>
            </w:pPr>
            <w:r>
              <w:rPr>
                <w:rFonts w:hint="eastAsia"/>
                <w:color w:val="auto"/>
                <w:sz w:val="24"/>
                <w:highlight w:val="none"/>
              </w:rPr>
              <w:t>③锅炉</w:t>
            </w:r>
            <w:r>
              <w:rPr>
                <w:rFonts w:hint="eastAsia"/>
                <w:color w:val="auto"/>
                <w:sz w:val="24"/>
                <w:highlight w:val="none"/>
                <w:lang w:eastAsia="zh-CN"/>
              </w:rPr>
              <w:t>排污水</w:t>
            </w:r>
            <w:r>
              <w:rPr>
                <w:rFonts w:hint="eastAsia"/>
                <w:color w:val="auto"/>
                <w:sz w:val="24"/>
                <w:highlight w:val="none"/>
                <w:lang w:val="en-US" w:eastAsia="zh-CN"/>
              </w:rPr>
              <w:t>+软化水制备废水</w:t>
            </w:r>
          </w:p>
          <w:p w14:paraId="1E1252C3">
            <w:pPr>
              <w:adjustRightInd w:val="0"/>
              <w:snapToGrid w:val="0"/>
              <w:spacing w:line="360" w:lineRule="auto"/>
              <w:ind w:firstLine="480" w:firstLineChars="200"/>
              <w:rPr>
                <w:rFonts w:hint="eastAsia"/>
                <w:color w:val="auto"/>
                <w:sz w:val="24"/>
                <w:lang w:val="en-US" w:eastAsia="zh-CN"/>
              </w:rPr>
            </w:pPr>
            <w:r>
              <w:rPr>
                <w:rFonts w:hint="eastAsia"/>
                <w:color w:val="auto"/>
                <w:sz w:val="24"/>
                <w:highlight w:val="none"/>
              </w:rPr>
              <w:t>锅炉</w:t>
            </w:r>
            <w:r>
              <w:rPr>
                <w:rFonts w:hint="eastAsia"/>
                <w:color w:val="auto"/>
                <w:sz w:val="24"/>
                <w:highlight w:val="none"/>
                <w:lang w:eastAsia="zh-CN"/>
              </w:rPr>
              <w:t>排污水</w:t>
            </w:r>
            <w:r>
              <w:rPr>
                <w:rFonts w:hint="eastAsia"/>
                <w:color w:val="auto"/>
                <w:sz w:val="24"/>
                <w:highlight w:val="none"/>
                <w:lang w:val="en-US" w:eastAsia="zh-CN"/>
              </w:rPr>
              <w:t>+软化水制备废水</w:t>
            </w:r>
            <w:r>
              <w:rPr>
                <w:rFonts w:hint="default"/>
                <w:color w:val="auto"/>
                <w:sz w:val="24"/>
                <w:highlight w:val="none"/>
              </w:rPr>
              <w:t>根据《排放源统计调查产排污核算方法和系数手册》中</w:t>
            </w:r>
            <w:r>
              <w:rPr>
                <w:rFonts w:hint="eastAsia"/>
                <w:color w:val="auto"/>
                <w:sz w:val="24"/>
                <w:highlight w:val="none"/>
              </w:rPr>
              <w:t>“</w:t>
            </w:r>
            <w:r>
              <w:rPr>
                <w:rFonts w:hint="default"/>
                <w:color w:val="auto"/>
                <w:sz w:val="24"/>
                <w:highlight w:val="none"/>
              </w:rPr>
              <w:t>4430工业锅炉（热力供应）行业系数手册</w:t>
            </w:r>
            <w:r>
              <w:rPr>
                <w:rFonts w:hint="eastAsia"/>
                <w:color w:val="auto"/>
                <w:sz w:val="24"/>
                <w:highlight w:val="none"/>
              </w:rPr>
              <w:t>”</w:t>
            </w:r>
            <w:r>
              <w:rPr>
                <w:rFonts w:hint="default"/>
                <w:color w:val="auto"/>
                <w:sz w:val="24"/>
                <w:highlight w:val="none"/>
              </w:rPr>
              <w:t>中产污系数，燃生物质锅炉（锅</w:t>
            </w:r>
            <w:r>
              <w:rPr>
                <w:rFonts w:hint="eastAsia"/>
                <w:color w:val="auto"/>
                <w:sz w:val="24"/>
                <w:highlight w:val="none"/>
                <w:lang w:eastAsia="zh-CN"/>
              </w:rPr>
              <w:t>外</w:t>
            </w:r>
            <w:r>
              <w:rPr>
                <w:rFonts w:hint="default"/>
                <w:color w:val="auto"/>
                <w:sz w:val="24"/>
                <w:highlight w:val="none"/>
              </w:rPr>
              <w:t>水处理）废水产生系数为</w:t>
            </w:r>
            <w:r>
              <w:rPr>
                <w:rFonts w:hint="eastAsia"/>
                <w:color w:val="auto"/>
                <w:sz w:val="24"/>
                <w:highlight w:val="none"/>
                <w:lang w:val="en-US" w:eastAsia="zh-CN"/>
              </w:rPr>
              <w:t>0.356</w:t>
            </w:r>
            <w:r>
              <w:rPr>
                <w:rFonts w:hint="default"/>
                <w:color w:val="auto"/>
                <w:sz w:val="24"/>
                <w:highlight w:val="none"/>
              </w:rPr>
              <w:t>吨/吨-原料，本项目</w:t>
            </w:r>
            <w:r>
              <w:rPr>
                <w:rFonts w:hint="eastAsia"/>
                <w:color w:val="auto"/>
                <w:sz w:val="24"/>
                <w:highlight w:val="none"/>
              </w:rPr>
              <w:t>燃</w:t>
            </w:r>
            <w:r>
              <w:rPr>
                <w:rFonts w:hint="default"/>
                <w:color w:val="auto"/>
                <w:sz w:val="24"/>
                <w:highlight w:val="none"/>
              </w:rPr>
              <w:t>生物质锅炉</w:t>
            </w:r>
            <w:r>
              <w:rPr>
                <w:rFonts w:hint="eastAsia"/>
                <w:color w:val="auto"/>
                <w:sz w:val="24"/>
                <w:highlight w:val="none"/>
              </w:rPr>
              <w:t>生物质</w:t>
            </w:r>
            <w:r>
              <w:rPr>
                <w:rFonts w:hint="default"/>
                <w:color w:val="auto"/>
                <w:sz w:val="24"/>
                <w:highlight w:val="none"/>
              </w:rPr>
              <w:t>成型燃料使用量</w:t>
            </w:r>
            <w:r>
              <w:rPr>
                <w:rFonts w:hint="default"/>
                <w:color w:val="auto"/>
                <w:sz w:val="24"/>
                <w:highlight w:val="none"/>
                <w:lang w:val="en-US" w:eastAsia="zh-CN"/>
              </w:rPr>
              <w:t>为</w:t>
            </w:r>
            <w:r>
              <w:rPr>
                <w:rFonts w:hint="eastAsia"/>
                <w:color w:val="auto"/>
                <w:sz w:val="24"/>
                <w:highlight w:val="none"/>
                <w:lang w:val="en-US" w:eastAsia="zh-CN"/>
              </w:rPr>
              <w:t>1048.32</w:t>
            </w:r>
            <w:r>
              <w:rPr>
                <w:rFonts w:hint="default"/>
                <w:color w:val="auto"/>
                <w:sz w:val="24"/>
                <w:highlight w:val="none"/>
                <w:lang w:val="en-US" w:eastAsia="zh-CN"/>
              </w:rPr>
              <w:t>t/a</w:t>
            </w:r>
            <w:r>
              <w:rPr>
                <w:rFonts w:hint="default"/>
                <w:color w:val="auto"/>
                <w:sz w:val="24"/>
                <w:highlight w:val="none"/>
                <w:lang w:val="en-US" w:eastAsia="zh-CN"/>
              </w:rPr>
              <w:t>，</w:t>
            </w:r>
            <w:r>
              <w:rPr>
                <w:rFonts w:hint="default"/>
                <w:color w:val="auto"/>
                <w:sz w:val="24"/>
                <w:highlight w:val="none"/>
              </w:rPr>
              <w:t>则</w:t>
            </w:r>
            <w:r>
              <w:rPr>
                <w:rFonts w:hint="eastAsia"/>
                <w:color w:val="auto"/>
                <w:sz w:val="24"/>
                <w:highlight w:val="none"/>
              </w:rPr>
              <w:t>锅炉</w:t>
            </w:r>
            <w:r>
              <w:rPr>
                <w:rFonts w:hint="eastAsia"/>
                <w:color w:val="auto"/>
                <w:sz w:val="24"/>
                <w:highlight w:val="none"/>
                <w:lang w:eastAsia="zh-CN"/>
              </w:rPr>
              <w:t>排污水</w:t>
            </w:r>
            <w:r>
              <w:rPr>
                <w:rFonts w:hint="eastAsia"/>
                <w:color w:val="auto"/>
                <w:sz w:val="24"/>
                <w:highlight w:val="none"/>
                <w:lang w:val="en-US" w:eastAsia="zh-CN"/>
              </w:rPr>
              <w:t>+软化水制备废水</w:t>
            </w:r>
            <w:r>
              <w:rPr>
                <w:rFonts w:hint="default"/>
                <w:color w:val="auto"/>
                <w:sz w:val="24"/>
                <w:highlight w:val="none"/>
              </w:rPr>
              <w:t>总的产生量为</w:t>
            </w:r>
            <w:r>
              <w:rPr>
                <w:rFonts w:hint="eastAsia"/>
                <w:color w:val="auto"/>
                <w:sz w:val="24"/>
                <w:highlight w:val="none"/>
                <w:lang w:val="en-US" w:eastAsia="zh-CN"/>
              </w:rPr>
              <w:t>2.073t</w:t>
            </w:r>
            <w:r>
              <w:rPr>
                <w:rFonts w:hint="eastAsia"/>
                <w:color w:val="auto"/>
                <w:sz w:val="24"/>
                <w:highlight w:val="none"/>
              </w:rPr>
              <w:t>/d</w:t>
            </w:r>
            <w:r>
              <w:rPr>
                <w:rFonts w:hint="default"/>
                <w:color w:val="auto"/>
                <w:sz w:val="24"/>
                <w:highlight w:val="none"/>
              </w:rPr>
              <w:t>，</w:t>
            </w:r>
            <w:r>
              <w:rPr>
                <w:rFonts w:hint="eastAsia"/>
                <w:color w:val="auto"/>
                <w:sz w:val="24"/>
                <w:highlight w:val="none"/>
                <w:lang w:val="en-US" w:eastAsia="zh-CN"/>
              </w:rPr>
              <w:t>373.202t</w:t>
            </w:r>
            <w:r>
              <w:rPr>
                <w:rFonts w:hint="eastAsia"/>
                <w:color w:val="auto"/>
                <w:sz w:val="24"/>
                <w:highlight w:val="none"/>
              </w:rPr>
              <w:t>/a</w:t>
            </w:r>
            <w:r>
              <w:rPr>
                <w:rFonts w:hint="eastAsia" w:ascii="Times New Roman" w:hAnsi="Times New Roman" w:eastAsia="宋体"/>
                <w:color w:val="auto"/>
                <w:sz w:val="24"/>
                <w:szCs w:val="32"/>
                <w:highlight w:val="none"/>
                <w:lang w:eastAsia="zh-CN"/>
              </w:rPr>
              <w:t>（软水制备效率为</w:t>
            </w:r>
            <w:r>
              <w:rPr>
                <w:rFonts w:hint="eastAsia" w:ascii="Times New Roman" w:hAnsi="Times New Roman" w:eastAsia="宋体"/>
                <w:color w:val="auto"/>
                <w:sz w:val="24"/>
                <w:szCs w:val="32"/>
                <w:highlight w:val="none"/>
                <w:lang w:val="en-US" w:eastAsia="zh-CN"/>
              </w:rPr>
              <w:t>90%，</w:t>
            </w:r>
            <w:r>
              <w:rPr>
                <w:rFonts w:hint="eastAsia" w:ascii="Times New Roman" w:hAnsi="Times New Roman" w:eastAsia="宋体"/>
                <w:color w:val="auto"/>
                <w:sz w:val="24"/>
                <w:szCs w:val="32"/>
                <w:highlight w:val="none"/>
                <w:lang w:eastAsia="zh-CN"/>
              </w:rPr>
              <w:t>其中</w:t>
            </w:r>
            <w:r>
              <w:rPr>
                <w:rFonts w:hint="eastAsia" w:ascii="Times New Roman" w:hAnsi="Times New Roman" w:eastAsia="宋体"/>
                <w:color w:val="auto"/>
                <w:sz w:val="24"/>
                <w:szCs w:val="32"/>
                <w:highlight w:val="none"/>
                <w:lang w:val="en-US" w:eastAsia="zh-CN"/>
              </w:rPr>
              <w:t>软化处理废水</w:t>
            </w:r>
            <w:r>
              <w:rPr>
                <w:rFonts w:hint="eastAsia"/>
                <w:color w:val="auto"/>
                <w:sz w:val="24"/>
                <w:szCs w:val="32"/>
                <w:highlight w:val="none"/>
                <w:lang w:val="en-US" w:eastAsia="zh-CN"/>
              </w:rPr>
              <w:t>145.32</w:t>
            </w:r>
            <w:r>
              <w:rPr>
                <w:rFonts w:hint="eastAsia" w:ascii="Times New Roman" w:hAnsi="Times New Roman" w:eastAsia="宋体"/>
                <w:color w:val="auto"/>
                <w:sz w:val="24"/>
                <w:szCs w:val="32"/>
                <w:highlight w:val="none"/>
                <w:lang w:val="en-US" w:eastAsia="zh-CN"/>
              </w:rPr>
              <w:t>t/a，</w:t>
            </w:r>
            <w:r>
              <w:rPr>
                <w:rFonts w:hint="eastAsia" w:ascii="Times New Roman" w:hAnsi="Times New Roman" w:eastAsia="宋体"/>
                <w:color w:val="auto"/>
                <w:sz w:val="24"/>
                <w:szCs w:val="32"/>
                <w:highlight w:val="none"/>
                <w:lang w:eastAsia="zh-CN"/>
              </w:rPr>
              <w:t>锅炉排污水</w:t>
            </w:r>
            <w:r>
              <w:rPr>
                <w:rFonts w:hint="eastAsia" w:ascii="Times New Roman" w:hAnsi="Times New Roman" w:eastAsia="宋体"/>
                <w:color w:val="auto"/>
                <w:sz w:val="24"/>
                <w:szCs w:val="32"/>
                <w:highlight w:val="none"/>
                <w:lang w:val="en-US" w:eastAsia="zh-CN"/>
              </w:rPr>
              <w:t>227.882t/a</w:t>
            </w:r>
            <w:r>
              <w:rPr>
                <w:rFonts w:hint="eastAsia" w:ascii="Times New Roman" w:hAnsi="Times New Roman" w:eastAsia="宋体"/>
                <w:color w:val="auto"/>
                <w:sz w:val="24"/>
                <w:szCs w:val="32"/>
                <w:highlight w:val="none"/>
                <w:lang w:eastAsia="zh-CN"/>
              </w:rPr>
              <w:t>）</w:t>
            </w:r>
            <w:r>
              <w:rPr>
                <w:rFonts w:hint="eastAsia"/>
                <w:color w:val="auto"/>
                <w:sz w:val="24"/>
                <w:highlight w:val="none"/>
                <w:lang w:eastAsia="zh-CN"/>
              </w:rPr>
              <w:t>。</w:t>
            </w:r>
          </w:p>
          <w:p w14:paraId="3C592CD1">
            <w:pPr>
              <w:adjustRightInd w:val="0"/>
              <w:snapToGrid w:val="0"/>
              <w:spacing w:line="360" w:lineRule="auto"/>
              <w:ind w:firstLine="480" w:firstLineChars="200"/>
              <w:rPr>
                <w:rFonts w:hint="eastAsia"/>
                <w:color w:val="auto"/>
                <w:sz w:val="24"/>
                <w:lang w:val="en-US" w:eastAsia="zh-CN"/>
              </w:rPr>
            </w:pPr>
            <w:r>
              <w:rPr>
                <w:rFonts w:hint="eastAsia"/>
                <w:color w:val="auto"/>
                <w:sz w:val="24"/>
                <w:lang w:eastAsia="zh-CN"/>
              </w:rPr>
              <w:t>综上，本项目废水总产生量</w:t>
            </w:r>
            <w:r>
              <w:rPr>
                <w:rFonts w:hint="eastAsia"/>
                <w:color w:val="auto"/>
                <w:sz w:val="24"/>
                <w:lang w:val="en-US" w:eastAsia="zh-CN"/>
              </w:rPr>
              <w:t>1965.802</w:t>
            </w:r>
            <w:r>
              <w:rPr>
                <w:rFonts w:hint="eastAsia" w:cs="Times New Roman"/>
                <w:color w:val="auto"/>
                <w:sz w:val="24"/>
                <w:lang w:val="en-US" w:eastAsia="zh-CN"/>
              </w:rPr>
              <w:t>t/a</w:t>
            </w:r>
            <w:r>
              <w:rPr>
                <w:rFonts w:hint="eastAsia"/>
                <w:color w:val="auto"/>
                <w:sz w:val="24"/>
                <w:lang w:val="en-US" w:eastAsia="zh-CN"/>
              </w:rPr>
              <w:t>。</w:t>
            </w:r>
          </w:p>
          <w:p w14:paraId="2FF320DD">
            <w:pPr>
              <w:adjustRightInd w:val="0"/>
              <w:snapToGrid w:val="0"/>
              <w:spacing w:line="360" w:lineRule="auto"/>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5252085" cy="3216910"/>
                  <wp:effectExtent l="0" t="0" r="5715" b="2540"/>
                  <wp:docPr id="51" name="图片 51" descr="水平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水平衡"/>
                          <pic:cNvPicPr>
                            <a:picLocks noChangeAspect="1"/>
                          </pic:cNvPicPr>
                        </pic:nvPicPr>
                        <pic:blipFill>
                          <a:blip r:embed="rId11"/>
                          <a:stretch>
                            <a:fillRect/>
                          </a:stretch>
                        </pic:blipFill>
                        <pic:spPr>
                          <a:xfrm>
                            <a:off x="0" y="0"/>
                            <a:ext cx="5252085" cy="3216910"/>
                          </a:xfrm>
                          <a:prstGeom prst="rect">
                            <a:avLst/>
                          </a:prstGeom>
                        </pic:spPr>
                      </pic:pic>
                    </a:graphicData>
                  </a:graphic>
                </wp:inline>
              </w:drawing>
            </w:r>
          </w:p>
          <w:p w14:paraId="38679296">
            <w:pPr>
              <w:keepNext w:val="0"/>
              <w:keepLines w:val="0"/>
              <w:suppressLineNumbers w:val="0"/>
              <w:spacing w:before="0" w:beforeAutospacing="0" w:after="0" w:afterAutospacing="0" w:line="240" w:lineRule="auto"/>
              <w:ind w:left="0" w:right="0"/>
              <w:jc w:val="center"/>
              <w:rPr>
                <w:rFonts w:hint="default" w:eastAsia="宋体"/>
                <w:color w:val="auto"/>
                <w:sz w:val="24"/>
                <w:highlight w:val="none"/>
              </w:rPr>
            </w:pPr>
            <w:r>
              <w:rPr>
                <w:rFonts w:hint="default" w:eastAsia="宋体"/>
                <w:b/>
                <w:bCs w:val="0"/>
                <w:color w:val="auto"/>
                <w:sz w:val="21"/>
                <w:szCs w:val="21"/>
                <w:highlight w:val="none"/>
              </w:rPr>
              <w:t>图2-</w:t>
            </w:r>
            <w:r>
              <w:rPr>
                <w:rFonts w:hint="eastAsia"/>
                <w:b/>
                <w:bCs w:val="0"/>
                <w:color w:val="auto"/>
                <w:sz w:val="21"/>
                <w:szCs w:val="21"/>
                <w:highlight w:val="none"/>
                <w:lang w:val="en-US" w:eastAsia="zh-CN"/>
              </w:rPr>
              <w:t xml:space="preserve">2  </w:t>
            </w:r>
            <w:r>
              <w:rPr>
                <w:rFonts w:hint="default" w:eastAsia="宋体"/>
                <w:b/>
                <w:bCs w:val="0"/>
                <w:color w:val="auto"/>
                <w:sz w:val="21"/>
                <w:szCs w:val="21"/>
                <w:highlight w:val="none"/>
              </w:rPr>
              <w:t>水量平衡图（单位：</w:t>
            </w:r>
            <w:r>
              <w:rPr>
                <w:rFonts w:hint="eastAsia"/>
                <w:b/>
                <w:bCs w:val="0"/>
                <w:color w:val="auto"/>
                <w:sz w:val="21"/>
                <w:szCs w:val="21"/>
                <w:highlight w:val="none"/>
                <w:lang w:val="en-US" w:eastAsia="zh-CN"/>
              </w:rPr>
              <w:t>t</w:t>
            </w:r>
            <w:r>
              <w:rPr>
                <w:rFonts w:hint="default" w:eastAsia="宋体"/>
                <w:b/>
                <w:bCs w:val="0"/>
                <w:color w:val="auto"/>
                <w:sz w:val="21"/>
                <w:szCs w:val="21"/>
                <w:highlight w:val="none"/>
              </w:rPr>
              <w:t>/</w:t>
            </w:r>
            <w:r>
              <w:rPr>
                <w:rFonts w:hint="eastAsia"/>
                <w:b/>
                <w:bCs w:val="0"/>
                <w:color w:val="auto"/>
                <w:sz w:val="21"/>
                <w:szCs w:val="21"/>
                <w:highlight w:val="none"/>
                <w:lang w:val="en-US" w:eastAsia="zh-CN"/>
              </w:rPr>
              <w:t>a</w:t>
            </w:r>
            <w:r>
              <w:rPr>
                <w:rFonts w:hint="default" w:eastAsia="宋体"/>
                <w:b/>
                <w:bCs w:val="0"/>
                <w:color w:val="auto"/>
                <w:sz w:val="21"/>
                <w:szCs w:val="21"/>
                <w:highlight w:val="none"/>
              </w:rPr>
              <w:t>）</w:t>
            </w:r>
          </w:p>
          <w:p w14:paraId="0DF92A8D">
            <w:pPr>
              <w:keepNext w:val="0"/>
              <w:keepLines w:val="0"/>
              <w:suppressLineNumbers w:val="0"/>
              <w:adjustRightInd w:val="0"/>
              <w:snapToGrid w:val="0"/>
              <w:spacing w:before="0" w:beforeAutospacing="0" w:after="0" w:afterAutospacing="0" w:line="360" w:lineRule="auto"/>
              <w:ind w:left="0" w:right="0" w:firstLine="480" w:firstLineChars="200"/>
              <w:rPr>
                <w:rFonts w:hint="eastAsia" w:eastAsia="宋体"/>
                <w:color w:val="auto"/>
                <w:sz w:val="24"/>
                <w:highlight w:val="none"/>
                <w:lang w:eastAsia="zh-CN"/>
              </w:rPr>
            </w:pPr>
            <w:r>
              <w:rPr>
                <w:rFonts w:hint="default" w:eastAsia="宋体"/>
                <w:color w:val="auto"/>
                <w:sz w:val="24"/>
                <w:highlight w:val="none"/>
              </w:rPr>
              <w:t>（3）</w:t>
            </w:r>
            <w:r>
              <w:rPr>
                <w:rFonts w:hint="eastAsia"/>
                <w:color w:val="auto"/>
                <w:sz w:val="24"/>
                <w:highlight w:val="none"/>
                <w:lang w:eastAsia="zh-CN"/>
              </w:rPr>
              <w:t>供</w:t>
            </w:r>
            <w:r>
              <w:rPr>
                <w:rFonts w:hint="eastAsia"/>
                <w:color w:val="auto"/>
                <w:sz w:val="24"/>
                <w:highlight w:val="none"/>
                <w:lang w:val="en-US" w:eastAsia="zh-CN"/>
              </w:rPr>
              <w:t>热</w:t>
            </w:r>
          </w:p>
          <w:p w14:paraId="50AA344F">
            <w:pPr>
              <w:keepNext w:val="0"/>
              <w:keepLines w:val="0"/>
              <w:suppressLineNumbers w:val="0"/>
              <w:adjustRightInd w:val="0"/>
              <w:snapToGrid w:val="0"/>
              <w:spacing w:before="0" w:beforeAutospacing="0" w:after="0" w:afterAutospacing="0" w:line="360" w:lineRule="auto"/>
              <w:ind w:left="0" w:right="0" w:firstLine="480" w:firstLineChars="200"/>
              <w:rPr>
                <w:rFonts w:hint="eastAsia" w:eastAsia="宋体"/>
                <w:color w:val="auto"/>
                <w:sz w:val="24"/>
                <w:highlight w:val="none"/>
                <w:lang w:val="en-US" w:eastAsia="zh-CN"/>
              </w:rPr>
            </w:pPr>
            <w:r>
              <w:rPr>
                <w:rFonts w:hint="eastAsia"/>
                <w:color w:val="auto"/>
                <w:sz w:val="24"/>
                <w:highlight w:val="none"/>
                <w:lang w:val="en-US" w:eastAsia="zh-CN"/>
              </w:rPr>
              <w:t>本项目冬季厂区供暖</w:t>
            </w:r>
            <w:r>
              <w:rPr>
                <w:rFonts w:hint="eastAsia" w:eastAsia="宋体"/>
                <w:color w:val="auto"/>
                <w:sz w:val="24"/>
                <w:highlight w:val="none"/>
                <w:lang w:val="en-US" w:eastAsia="zh-CN"/>
              </w:rPr>
              <w:t>由</w:t>
            </w:r>
            <w:r>
              <w:rPr>
                <w:rFonts w:hint="eastAsia"/>
                <w:color w:val="auto"/>
                <w:sz w:val="24"/>
                <w:highlight w:val="none"/>
                <w:lang w:val="en-US" w:eastAsia="zh-CN"/>
              </w:rPr>
              <w:t>1</w:t>
            </w:r>
            <w:r>
              <w:rPr>
                <w:rFonts w:hint="eastAsia" w:eastAsia="宋体"/>
                <w:color w:val="auto"/>
                <w:sz w:val="24"/>
                <w:highlight w:val="none"/>
                <w:lang w:val="en-US" w:eastAsia="zh-CN"/>
              </w:rPr>
              <w:t>台</w:t>
            </w:r>
            <w:r>
              <w:rPr>
                <w:rFonts w:hint="eastAsia" w:cs="Times New Roman"/>
                <w:bCs/>
                <w:color w:val="auto"/>
                <w:sz w:val="24"/>
                <w:lang w:val="en-US" w:eastAsia="zh-CN"/>
              </w:rPr>
              <w:t>2.5t/</w:t>
            </w:r>
            <w:r>
              <w:rPr>
                <w:rFonts w:hint="eastAsia" w:ascii="Times New Roman" w:hAnsi="Times New Roman" w:cs="Times New Roman"/>
                <w:bCs/>
                <w:color w:val="auto"/>
                <w:sz w:val="24"/>
                <w:lang w:val="en-US" w:eastAsia="zh-CN"/>
              </w:rPr>
              <w:t>h</w:t>
            </w:r>
            <w:r>
              <w:rPr>
                <w:rFonts w:hint="eastAsia" w:ascii="Times New Roman" w:hAnsi="Times New Roman" w:eastAsia="宋体" w:cs="Times New Roman"/>
                <w:bCs/>
                <w:color w:val="auto"/>
                <w:sz w:val="24"/>
                <w:lang w:val="en-US" w:eastAsia="zh-CN"/>
              </w:rPr>
              <w:t>燃</w:t>
            </w:r>
            <w:r>
              <w:rPr>
                <w:rFonts w:hint="eastAsia" w:ascii="Times New Roman" w:hAnsi="Times New Roman" w:cs="Times New Roman"/>
                <w:bCs/>
                <w:color w:val="auto"/>
                <w:sz w:val="24"/>
                <w:lang w:val="en-US" w:eastAsia="zh-CN"/>
              </w:rPr>
              <w:t>生物质</w:t>
            </w:r>
            <w:r>
              <w:rPr>
                <w:rFonts w:hint="eastAsia" w:ascii="Times New Roman" w:hAnsi="Times New Roman" w:eastAsia="宋体" w:cs="Times New Roman"/>
                <w:bCs/>
                <w:color w:val="auto"/>
                <w:sz w:val="24"/>
                <w:lang w:val="en-US" w:eastAsia="zh-CN"/>
              </w:rPr>
              <w:t>锅炉</w:t>
            </w:r>
            <w:r>
              <w:rPr>
                <w:rFonts w:hint="eastAsia" w:eastAsia="宋体"/>
                <w:color w:val="auto"/>
                <w:sz w:val="24"/>
                <w:highlight w:val="none"/>
                <w:lang w:val="en-US" w:eastAsia="zh-CN"/>
              </w:rPr>
              <w:t>提供。</w:t>
            </w:r>
          </w:p>
          <w:p w14:paraId="160A5640">
            <w:pPr>
              <w:keepNext w:val="0"/>
              <w:keepLines w:val="0"/>
              <w:suppressLineNumbers w:val="0"/>
              <w:adjustRightInd w:val="0"/>
              <w:snapToGrid w:val="0"/>
              <w:spacing w:before="0" w:beforeAutospacing="0" w:after="0" w:afterAutospacing="0" w:line="360" w:lineRule="auto"/>
              <w:ind w:left="0" w:right="0" w:firstLine="480" w:firstLineChars="200"/>
              <w:rPr>
                <w:rFonts w:hint="eastAsia" w:eastAsia="宋体"/>
                <w:color w:val="auto"/>
                <w:sz w:val="24"/>
                <w:highlight w:val="none"/>
                <w:lang w:val="en-US" w:eastAsia="zh-CN"/>
              </w:rPr>
            </w:pPr>
            <w:r>
              <w:rPr>
                <w:rFonts w:hint="eastAsia" w:eastAsia="宋体"/>
                <w:color w:val="auto"/>
                <w:sz w:val="24"/>
                <w:highlight w:val="none"/>
                <w:lang w:val="en-US" w:eastAsia="zh-CN"/>
              </w:rPr>
              <w:t>本项目冬季供暖由1台</w:t>
            </w:r>
            <w:r>
              <w:rPr>
                <w:rFonts w:hint="eastAsia" w:cs="Times New Roman"/>
                <w:bCs/>
                <w:color w:val="auto"/>
                <w:sz w:val="24"/>
                <w:lang w:val="en-US" w:eastAsia="zh-CN"/>
              </w:rPr>
              <w:t>2.5t/</w:t>
            </w:r>
            <w:r>
              <w:rPr>
                <w:rFonts w:hint="eastAsia" w:ascii="Times New Roman" w:hAnsi="Times New Roman" w:cs="Times New Roman"/>
                <w:bCs/>
                <w:color w:val="auto"/>
                <w:sz w:val="24"/>
                <w:lang w:val="en-US" w:eastAsia="zh-CN"/>
              </w:rPr>
              <w:t>h</w:t>
            </w:r>
            <w:r>
              <w:rPr>
                <w:rFonts w:hint="eastAsia" w:ascii="Times New Roman" w:hAnsi="Times New Roman" w:eastAsia="宋体" w:cs="Times New Roman"/>
                <w:bCs/>
                <w:color w:val="auto"/>
                <w:sz w:val="24"/>
                <w:lang w:val="en-US" w:eastAsia="zh-CN"/>
              </w:rPr>
              <w:t>燃</w:t>
            </w:r>
            <w:r>
              <w:rPr>
                <w:rFonts w:hint="eastAsia" w:ascii="Times New Roman" w:hAnsi="Times New Roman" w:cs="Times New Roman"/>
                <w:bCs/>
                <w:color w:val="auto"/>
                <w:sz w:val="24"/>
                <w:lang w:val="en-US" w:eastAsia="zh-CN"/>
              </w:rPr>
              <w:t>生物质</w:t>
            </w:r>
            <w:r>
              <w:rPr>
                <w:rFonts w:hint="eastAsia" w:ascii="Times New Roman" w:hAnsi="Times New Roman" w:eastAsia="宋体" w:cs="Times New Roman"/>
                <w:bCs/>
                <w:color w:val="auto"/>
                <w:sz w:val="24"/>
                <w:lang w:val="en-US" w:eastAsia="zh-CN"/>
              </w:rPr>
              <w:t>锅炉</w:t>
            </w:r>
            <w:r>
              <w:rPr>
                <w:rFonts w:hint="eastAsia" w:eastAsia="宋体"/>
                <w:color w:val="auto"/>
                <w:sz w:val="24"/>
                <w:highlight w:val="none"/>
                <w:lang w:val="en-US" w:eastAsia="zh-CN"/>
              </w:rPr>
              <w:t>提供，锅炉每天运行</w:t>
            </w:r>
            <w:r>
              <w:rPr>
                <w:rFonts w:hint="eastAsia"/>
                <w:color w:val="auto"/>
                <w:sz w:val="24"/>
                <w:highlight w:val="none"/>
                <w:lang w:val="en-US" w:eastAsia="zh-CN"/>
              </w:rPr>
              <w:t>8</w:t>
            </w:r>
            <w:r>
              <w:rPr>
                <w:rFonts w:hint="eastAsia" w:eastAsia="宋体"/>
                <w:color w:val="auto"/>
                <w:sz w:val="24"/>
                <w:highlight w:val="none"/>
                <w:lang w:val="en-US" w:eastAsia="zh-CN"/>
              </w:rPr>
              <w:t>小时，年运行</w:t>
            </w:r>
            <w:r>
              <w:rPr>
                <w:rFonts w:hint="eastAsia"/>
                <w:color w:val="auto"/>
                <w:sz w:val="24"/>
                <w:highlight w:val="none"/>
                <w:lang w:val="en-US" w:eastAsia="zh-CN"/>
              </w:rPr>
              <w:t>180</w:t>
            </w:r>
            <w:r>
              <w:rPr>
                <w:rFonts w:hint="eastAsia" w:eastAsia="宋体"/>
                <w:color w:val="auto"/>
                <w:sz w:val="24"/>
                <w:highlight w:val="none"/>
                <w:lang w:val="en-US" w:eastAsia="zh-CN"/>
              </w:rPr>
              <w:t>天，配套</w:t>
            </w:r>
            <w:r>
              <w:rPr>
                <w:rFonts w:hint="eastAsia"/>
                <w:color w:val="auto"/>
                <w:sz w:val="24"/>
                <w:highlight w:val="none"/>
                <w:lang w:val="en-US" w:eastAsia="zh-CN"/>
              </w:rPr>
              <w:t>旋风除尘器+布袋除尘器</w:t>
            </w:r>
            <w:r>
              <w:rPr>
                <w:rFonts w:hint="eastAsia" w:eastAsia="宋体"/>
                <w:color w:val="auto"/>
                <w:sz w:val="24"/>
                <w:highlight w:val="none"/>
                <w:lang w:val="en-US" w:eastAsia="zh-CN"/>
              </w:rPr>
              <w:t>及</w:t>
            </w:r>
            <w:r>
              <w:rPr>
                <w:rFonts w:hint="eastAsia"/>
                <w:color w:val="auto"/>
                <w:sz w:val="24"/>
                <w:highlight w:val="none"/>
                <w:lang w:val="en-US" w:eastAsia="zh-CN"/>
              </w:rPr>
              <w:t>30</w:t>
            </w:r>
            <w:r>
              <w:rPr>
                <w:rFonts w:hint="eastAsia" w:eastAsia="宋体"/>
                <w:color w:val="auto"/>
                <w:sz w:val="24"/>
                <w:highlight w:val="none"/>
                <w:lang w:val="en-US" w:eastAsia="zh-CN"/>
              </w:rPr>
              <w:t>m高烟囱</w:t>
            </w:r>
            <w:r>
              <w:rPr>
                <w:rFonts w:hint="eastAsia" w:eastAsia="宋体"/>
                <w:color w:val="auto"/>
                <w:sz w:val="24"/>
                <w:highlight w:val="none"/>
                <w:lang w:val="en-US" w:eastAsia="zh-CN"/>
              </w:rPr>
              <w:t>。燃料消耗量由锅炉最大生产能力估算。</w:t>
            </w:r>
          </w:p>
          <w:p w14:paraId="261694C6">
            <w:pPr>
              <w:keepNext w:val="0"/>
              <w:keepLines w:val="0"/>
              <w:suppressLineNumbers w:val="0"/>
              <w:adjustRightInd w:val="0"/>
              <w:snapToGrid w:val="0"/>
              <w:spacing w:before="0" w:beforeAutospacing="0" w:after="0" w:afterAutospacing="0" w:line="360" w:lineRule="auto"/>
              <w:ind w:left="0" w:right="0" w:firstLine="480" w:firstLineChars="200"/>
              <w:rPr>
                <w:rFonts w:hint="eastAsia" w:eastAsia="宋体"/>
                <w:color w:val="auto"/>
                <w:sz w:val="24"/>
                <w:highlight w:val="none"/>
                <w:lang w:val="en-US" w:eastAsia="zh-CN"/>
              </w:rPr>
            </w:pPr>
            <w:r>
              <w:rPr>
                <w:rFonts w:hint="eastAsia" w:eastAsia="宋体"/>
                <w:color w:val="auto"/>
                <w:sz w:val="24"/>
                <w:highlight w:val="none"/>
                <w:lang w:val="en-US" w:eastAsia="zh-CN"/>
              </w:rPr>
              <w:t>锅炉每小时消耗</w:t>
            </w:r>
            <w:r>
              <w:rPr>
                <w:rFonts w:hint="eastAsia"/>
                <w:color w:val="auto"/>
                <w:sz w:val="24"/>
                <w:highlight w:val="none"/>
                <w:lang w:val="en-US" w:eastAsia="zh-CN"/>
              </w:rPr>
              <w:t>燃料</w:t>
            </w:r>
            <w:r>
              <w:rPr>
                <w:rFonts w:hint="eastAsia" w:eastAsia="宋体"/>
                <w:color w:val="auto"/>
                <w:sz w:val="24"/>
                <w:highlight w:val="none"/>
                <w:lang w:val="en-US" w:eastAsia="zh-CN"/>
              </w:rPr>
              <w:t>量的计算过程如下：</w:t>
            </w:r>
          </w:p>
          <w:p w14:paraId="24CF0513">
            <w:pPr>
              <w:keepNext w:val="0"/>
              <w:keepLines w:val="0"/>
              <w:suppressLineNumbers w:val="0"/>
              <w:adjustRightInd w:val="0"/>
              <w:snapToGrid w:val="0"/>
              <w:spacing w:before="0" w:beforeAutospacing="0" w:after="0" w:afterAutospacing="0" w:line="360" w:lineRule="auto"/>
              <w:ind w:left="0" w:right="0" w:firstLine="480" w:firstLineChars="200"/>
              <w:rPr>
                <w:rFonts w:hint="eastAsia" w:eastAsia="宋体"/>
                <w:color w:val="auto"/>
                <w:sz w:val="24"/>
                <w:highlight w:val="none"/>
                <w:lang w:val="en-US" w:eastAsia="zh-CN"/>
              </w:rPr>
            </w:pPr>
            <w:r>
              <w:rPr>
                <w:rFonts w:hint="eastAsia" w:eastAsia="宋体"/>
                <w:color w:val="auto"/>
                <w:sz w:val="24"/>
                <w:highlight w:val="none"/>
                <w:lang w:val="en-US" w:eastAsia="zh-CN"/>
              </w:rPr>
              <w:t>锅炉每小时消耗</w:t>
            </w:r>
            <w:r>
              <w:rPr>
                <w:rFonts w:hint="eastAsia"/>
                <w:color w:val="auto"/>
                <w:sz w:val="24"/>
                <w:highlight w:val="none"/>
                <w:lang w:val="en-US" w:eastAsia="zh-CN"/>
              </w:rPr>
              <w:t>燃料</w:t>
            </w:r>
            <w:r>
              <w:rPr>
                <w:rFonts w:hint="eastAsia" w:eastAsia="宋体"/>
                <w:color w:val="auto"/>
                <w:sz w:val="24"/>
                <w:highlight w:val="none"/>
                <w:lang w:val="en-US" w:eastAsia="zh-CN"/>
              </w:rPr>
              <w:t>量=</w:t>
            </w:r>
            <w:r>
              <w:rPr>
                <w:rFonts w:hint="eastAsia" w:ascii="Times New Roman" w:hAnsi="Times New Roman" w:eastAsia="宋体" w:cs="Times New Roman"/>
                <w:bCs/>
                <w:color w:val="auto"/>
                <w:sz w:val="24"/>
                <w:lang w:val="en-US" w:eastAsia="zh-CN"/>
              </w:rPr>
              <w:t>燃</w:t>
            </w:r>
            <w:r>
              <w:rPr>
                <w:rFonts w:hint="eastAsia" w:ascii="Times New Roman" w:hAnsi="Times New Roman" w:cs="Times New Roman"/>
                <w:bCs/>
                <w:color w:val="auto"/>
                <w:sz w:val="24"/>
                <w:lang w:val="en-US" w:eastAsia="zh-CN"/>
              </w:rPr>
              <w:t>生物质</w:t>
            </w:r>
            <w:r>
              <w:rPr>
                <w:rFonts w:hint="eastAsia" w:eastAsia="宋体"/>
                <w:color w:val="auto"/>
                <w:sz w:val="24"/>
                <w:highlight w:val="none"/>
                <w:lang w:val="en-US" w:eastAsia="zh-CN"/>
              </w:rPr>
              <w:t>锅炉出力/热效率/燃料热值</w:t>
            </w:r>
          </w:p>
          <w:p w14:paraId="556332F6">
            <w:pPr>
              <w:keepNext w:val="0"/>
              <w:keepLines w:val="0"/>
              <w:suppressLineNumbers w:val="0"/>
              <w:adjustRightInd w:val="0"/>
              <w:snapToGrid w:val="0"/>
              <w:spacing w:before="0" w:beforeAutospacing="0" w:after="0" w:afterAutospacing="0" w:line="360" w:lineRule="auto"/>
              <w:ind w:left="0" w:right="0" w:firstLine="480" w:firstLineChars="200"/>
              <w:rPr>
                <w:rFonts w:hint="eastAsia" w:eastAsia="宋体"/>
                <w:color w:val="auto"/>
                <w:sz w:val="24"/>
                <w:highlight w:val="none"/>
                <w:lang w:val="en-US" w:eastAsia="zh-CN"/>
              </w:rPr>
            </w:pPr>
            <w:r>
              <w:rPr>
                <w:rFonts w:hint="eastAsia" w:eastAsia="宋体"/>
                <w:color w:val="auto"/>
                <w:sz w:val="24"/>
                <w:highlight w:val="none"/>
                <w:lang w:val="en-US" w:eastAsia="zh-CN"/>
              </w:rPr>
              <w:t>本项目</w:t>
            </w:r>
            <w:r>
              <w:rPr>
                <w:rFonts w:hint="eastAsia" w:cs="Times New Roman"/>
                <w:bCs/>
                <w:color w:val="auto"/>
                <w:sz w:val="24"/>
                <w:lang w:val="en-US" w:eastAsia="zh-CN"/>
              </w:rPr>
              <w:t>2.5t/</w:t>
            </w:r>
            <w:r>
              <w:rPr>
                <w:rFonts w:hint="eastAsia" w:ascii="Times New Roman" w:hAnsi="Times New Roman" w:cs="Times New Roman"/>
                <w:bCs/>
                <w:color w:val="auto"/>
                <w:sz w:val="24"/>
                <w:lang w:val="en-US" w:eastAsia="zh-CN"/>
              </w:rPr>
              <w:t>h</w:t>
            </w:r>
            <w:r>
              <w:rPr>
                <w:rFonts w:hint="eastAsia" w:ascii="Times New Roman" w:hAnsi="Times New Roman" w:eastAsia="宋体" w:cs="Times New Roman"/>
                <w:bCs/>
                <w:color w:val="auto"/>
                <w:sz w:val="24"/>
                <w:lang w:val="en-US" w:eastAsia="zh-CN"/>
              </w:rPr>
              <w:t>燃</w:t>
            </w:r>
            <w:r>
              <w:rPr>
                <w:rFonts w:hint="eastAsia" w:ascii="Times New Roman" w:hAnsi="Times New Roman" w:cs="Times New Roman"/>
                <w:bCs/>
                <w:color w:val="auto"/>
                <w:sz w:val="24"/>
                <w:lang w:val="en-US" w:eastAsia="zh-CN"/>
              </w:rPr>
              <w:t>生物质锅炉折算为1500000kcal/h，生</w:t>
            </w:r>
            <w:r>
              <w:rPr>
                <w:rFonts w:hint="eastAsia"/>
                <w:color w:val="auto"/>
                <w:sz w:val="24"/>
                <w:highlight w:val="none"/>
                <w:lang w:val="en-US" w:eastAsia="zh-CN"/>
              </w:rPr>
              <w:t>物质成型燃料</w:t>
            </w:r>
            <w:r>
              <w:rPr>
                <w:rFonts w:hint="eastAsia" w:eastAsia="宋体"/>
                <w:color w:val="auto"/>
                <w:sz w:val="24"/>
                <w:highlight w:val="none"/>
                <w:lang w:val="en-US" w:eastAsia="zh-CN"/>
              </w:rPr>
              <w:t>低位发热量为</w:t>
            </w:r>
            <w:r>
              <w:rPr>
                <w:rFonts w:hint="eastAsia"/>
                <w:color w:val="auto"/>
                <w:sz w:val="24"/>
                <w:highlight w:val="none"/>
                <w:lang w:val="en-US" w:eastAsia="zh-CN"/>
              </w:rPr>
              <w:t>9.58</w:t>
            </w:r>
            <w:r>
              <w:rPr>
                <w:rFonts w:hint="eastAsia" w:eastAsia="宋体"/>
                <w:color w:val="auto"/>
                <w:sz w:val="24"/>
                <w:highlight w:val="none"/>
                <w:lang w:val="en-US" w:eastAsia="zh-CN"/>
              </w:rPr>
              <w:t>MJ/m</w:t>
            </w:r>
            <w:r>
              <w:rPr>
                <w:rFonts w:hint="eastAsia" w:eastAsia="宋体"/>
                <w:color w:val="auto"/>
                <w:sz w:val="24"/>
                <w:highlight w:val="none"/>
                <w:vertAlign w:val="superscript"/>
                <w:lang w:val="en-US" w:eastAsia="zh-CN"/>
              </w:rPr>
              <w:t>3</w:t>
            </w:r>
            <w:r>
              <w:rPr>
                <w:rFonts w:hint="eastAsia" w:eastAsia="宋体"/>
                <w:color w:val="auto"/>
                <w:sz w:val="24"/>
                <w:highlight w:val="none"/>
                <w:lang w:val="en-US" w:eastAsia="zh-CN"/>
              </w:rPr>
              <w:t>，已知1MJ/m</w:t>
            </w:r>
            <w:r>
              <w:rPr>
                <w:rFonts w:hint="eastAsia" w:eastAsia="宋体"/>
                <w:color w:val="auto"/>
                <w:sz w:val="24"/>
                <w:highlight w:val="none"/>
                <w:vertAlign w:val="superscript"/>
                <w:lang w:val="en-US" w:eastAsia="zh-CN"/>
              </w:rPr>
              <w:t>3</w:t>
            </w:r>
            <w:r>
              <w:rPr>
                <w:rFonts w:hint="eastAsia" w:eastAsia="宋体"/>
                <w:color w:val="auto"/>
                <w:sz w:val="24"/>
                <w:highlight w:val="none"/>
                <w:lang w:val="en-US" w:eastAsia="zh-CN"/>
              </w:rPr>
              <w:t>=</w:t>
            </w:r>
            <w:bookmarkStart w:id="9" w:name="OLE_LINK7"/>
            <w:r>
              <w:rPr>
                <w:rFonts w:hint="eastAsia" w:eastAsia="宋体"/>
                <w:color w:val="auto"/>
                <w:sz w:val="24"/>
                <w:highlight w:val="none"/>
                <w:lang w:val="en-US" w:eastAsia="zh-CN"/>
              </w:rPr>
              <w:t>239</w:t>
            </w:r>
            <w:bookmarkEnd w:id="9"/>
            <w:r>
              <w:rPr>
                <w:rFonts w:hint="eastAsia" w:eastAsia="宋体"/>
                <w:color w:val="auto"/>
                <w:sz w:val="24"/>
                <w:highlight w:val="none"/>
                <w:lang w:val="en-US" w:eastAsia="zh-CN"/>
              </w:rPr>
              <w:t>kcal/m</w:t>
            </w:r>
            <w:r>
              <w:rPr>
                <w:rFonts w:hint="eastAsia" w:eastAsia="宋体"/>
                <w:color w:val="auto"/>
                <w:sz w:val="24"/>
                <w:highlight w:val="none"/>
                <w:vertAlign w:val="superscript"/>
                <w:lang w:val="en-US" w:eastAsia="zh-CN"/>
              </w:rPr>
              <w:t>3</w:t>
            </w:r>
            <w:r>
              <w:rPr>
                <w:rFonts w:hint="eastAsia" w:eastAsia="宋体"/>
                <w:color w:val="auto"/>
                <w:sz w:val="24"/>
                <w:highlight w:val="none"/>
                <w:lang w:val="en-US" w:eastAsia="zh-CN"/>
              </w:rPr>
              <w:t>，故</w:t>
            </w:r>
            <w:r>
              <w:rPr>
                <w:rFonts w:hint="eastAsia"/>
                <w:color w:val="auto"/>
                <w:sz w:val="24"/>
                <w:highlight w:val="none"/>
                <w:lang w:val="en-US" w:eastAsia="zh-CN"/>
              </w:rPr>
              <w:t>生物质成型燃料</w:t>
            </w:r>
            <w:r>
              <w:rPr>
                <w:rFonts w:hint="eastAsia" w:eastAsia="宋体"/>
                <w:color w:val="auto"/>
                <w:sz w:val="24"/>
                <w:highlight w:val="none"/>
                <w:lang w:val="en-US" w:eastAsia="zh-CN"/>
              </w:rPr>
              <w:t>低位发热量=</w:t>
            </w:r>
            <w:r>
              <w:rPr>
                <w:rFonts w:hint="eastAsia"/>
                <w:color w:val="auto"/>
                <w:sz w:val="24"/>
                <w:highlight w:val="none"/>
                <w:lang w:val="en-US" w:eastAsia="zh-CN"/>
              </w:rPr>
              <w:t>9.58</w:t>
            </w:r>
            <w:r>
              <w:rPr>
                <w:rFonts w:hint="eastAsia" w:eastAsia="宋体"/>
                <w:color w:val="auto"/>
                <w:sz w:val="24"/>
                <w:highlight w:val="none"/>
                <w:lang w:val="en-US" w:eastAsia="zh-CN"/>
              </w:rPr>
              <w:t>*239=2289.62kcal/m</w:t>
            </w:r>
            <w:r>
              <w:rPr>
                <w:rFonts w:hint="eastAsia" w:eastAsia="宋体"/>
                <w:color w:val="auto"/>
                <w:sz w:val="24"/>
                <w:highlight w:val="none"/>
                <w:vertAlign w:val="superscript"/>
                <w:lang w:val="en-US" w:eastAsia="zh-CN"/>
              </w:rPr>
              <w:t>3</w:t>
            </w:r>
            <w:r>
              <w:rPr>
                <w:rFonts w:hint="eastAsia" w:eastAsia="宋体"/>
                <w:color w:val="auto"/>
                <w:sz w:val="24"/>
                <w:highlight w:val="none"/>
                <w:lang w:val="en-US" w:eastAsia="zh-CN"/>
              </w:rPr>
              <w:t>。燃烧效率取90%，则：</w:t>
            </w:r>
          </w:p>
          <w:p w14:paraId="333C6DF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eastAsia="宋体"/>
                <w:color w:val="auto"/>
                <w:sz w:val="24"/>
                <w:highlight w:val="none"/>
                <w:lang w:val="en-US" w:eastAsia="zh-CN"/>
              </w:rPr>
            </w:pPr>
            <w:r>
              <w:rPr>
                <w:rFonts w:hint="eastAsia" w:cs="Times New Roman"/>
                <w:bCs/>
                <w:color w:val="auto"/>
                <w:sz w:val="24"/>
                <w:lang w:val="en-US" w:eastAsia="zh-CN"/>
              </w:rPr>
              <w:t>2.5t/</w:t>
            </w:r>
            <w:r>
              <w:rPr>
                <w:rFonts w:hint="eastAsia" w:ascii="Times New Roman" w:hAnsi="Times New Roman" w:cs="Times New Roman"/>
                <w:bCs/>
                <w:color w:val="auto"/>
                <w:sz w:val="24"/>
                <w:lang w:val="en-US" w:eastAsia="zh-CN"/>
              </w:rPr>
              <w:t>h</w:t>
            </w:r>
            <w:r>
              <w:rPr>
                <w:rFonts w:hint="eastAsia" w:ascii="Times New Roman" w:hAnsi="Times New Roman" w:eastAsia="宋体" w:cs="Times New Roman"/>
                <w:bCs/>
                <w:color w:val="auto"/>
                <w:sz w:val="24"/>
                <w:lang w:val="en-US" w:eastAsia="zh-CN"/>
              </w:rPr>
              <w:t>燃</w:t>
            </w:r>
            <w:r>
              <w:rPr>
                <w:rFonts w:hint="eastAsia" w:ascii="Times New Roman" w:hAnsi="Times New Roman" w:cs="Times New Roman"/>
                <w:bCs/>
                <w:color w:val="auto"/>
                <w:sz w:val="24"/>
                <w:lang w:val="en-US" w:eastAsia="zh-CN"/>
              </w:rPr>
              <w:t>生物质</w:t>
            </w:r>
            <w:r>
              <w:rPr>
                <w:rFonts w:hint="eastAsia" w:ascii="Times New Roman" w:hAnsi="Times New Roman" w:eastAsia="宋体" w:cs="Times New Roman"/>
                <w:bCs/>
                <w:color w:val="auto"/>
                <w:sz w:val="24"/>
                <w:lang w:val="en-US" w:eastAsia="zh-CN"/>
              </w:rPr>
              <w:t>锅炉</w:t>
            </w:r>
            <w:r>
              <w:rPr>
                <w:rFonts w:hint="eastAsia" w:eastAsia="宋体"/>
                <w:color w:val="auto"/>
                <w:sz w:val="24"/>
                <w:highlight w:val="none"/>
                <w:lang w:val="en-US" w:eastAsia="zh-CN"/>
              </w:rPr>
              <w:t>每小时消耗</w:t>
            </w:r>
            <w:r>
              <w:rPr>
                <w:rFonts w:hint="eastAsia"/>
                <w:color w:val="auto"/>
                <w:sz w:val="24"/>
                <w:highlight w:val="none"/>
                <w:lang w:val="en-US" w:eastAsia="zh-CN"/>
              </w:rPr>
              <w:t>生物质成型燃料</w:t>
            </w:r>
            <w:r>
              <w:rPr>
                <w:rFonts w:hint="eastAsia" w:eastAsia="宋体"/>
                <w:color w:val="auto"/>
                <w:sz w:val="24"/>
                <w:highlight w:val="none"/>
                <w:lang w:val="en-US" w:eastAsia="zh-CN"/>
              </w:rPr>
              <w:t>量=锅炉出力÷热效率÷</w:t>
            </w:r>
            <w:r>
              <w:rPr>
                <w:rFonts w:hint="eastAsia"/>
                <w:color w:val="auto"/>
                <w:sz w:val="24"/>
                <w:highlight w:val="none"/>
                <w:lang w:val="en-US" w:eastAsia="zh-CN"/>
              </w:rPr>
              <w:t>生物质成型燃料</w:t>
            </w:r>
            <w:r>
              <w:rPr>
                <w:rFonts w:hint="eastAsia" w:eastAsia="宋体"/>
                <w:color w:val="auto"/>
                <w:sz w:val="24"/>
                <w:highlight w:val="none"/>
                <w:lang w:val="en-US" w:eastAsia="zh-CN"/>
              </w:rPr>
              <w:t>低位发热量=</w:t>
            </w:r>
            <w:r>
              <w:rPr>
                <w:rFonts w:hint="eastAsia" w:ascii="Times New Roman" w:hAnsi="Times New Roman" w:cs="Times New Roman"/>
                <w:bCs/>
                <w:color w:val="auto"/>
                <w:sz w:val="24"/>
                <w:lang w:val="en-US" w:eastAsia="zh-CN"/>
              </w:rPr>
              <w:t>1500000</w:t>
            </w:r>
            <w:r>
              <w:rPr>
                <w:rFonts w:hint="eastAsia" w:eastAsia="宋体"/>
                <w:color w:val="auto"/>
                <w:sz w:val="24"/>
                <w:highlight w:val="none"/>
                <w:lang w:val="en-US" w:eastAsia="zh-CN"/>
              </w:rPr>
              <w:t>kcal/h÷90%÷2289.62kcal/m</w:t>
            </w:r>
            <w:r>
              <w:rPr>
                <w:rFonts w:hint="eastAsia" w:eastAsia="宋体"/>
                <w:color w:val="auto"/>
                <w:sz w:val="24"/>
                <w:highlight w:val="none"/>
                <w:vertAlign w:val="superscript"/>
                <w:lang w:val="en-US" w:eastAsia="zh-CN"/>
              </w:rPr>
              <w:t>3</w:t>
            </w:r>
            <w:r>
              <w:rPr>
                <w:rFonts w:hint="eastAsia" w:eastAsia="宋体"/>
                <w:color w:val="auto"/>
                <w:sz w:val="24"/>
                <w:highlight w:val="none"/>
                <w:lang w:val="en-US" w:eastAsia="zh-CN"/>
              </w:rPr>
              <w:t>÷1000=</w:t>
            </w:r>
            <w:r>
              <w:rPr>
                <w:rFonts w:hint="eastAsia"/>
                <w:color w:val="auto"/>
                <w:sz w:val="24"/>
                <w:highlight w:val="none"/>
                <w:lang w:val="en-US" w:eastAsia="zh-CN"/>
              </w:rPr>
              <w:t>0.728t</w:t>
            </w:r>
            <w:r>
              <w:rPr>
                <w:rFonts w:hint="eastAsia" w:eastAsia="宋体"/>
                <w:color w:val="auto"/>
                <w:sz w:val="24"/>
                <w:highlight w:val="none"/>
                <w:lang w:val="en-US" w:eastAsia="zh-CN"/>
              </w:rPr>
              <w:t>/h。</w:t>
            </w:r>
          </w:p>
          <w:p w14:paraId="6E0765BB">
            <w:pPr>
              <w:keepNext w:val="0"/>
              <w:keepLines w:val="0"/>
              <w:suppressLineNumbers w:val="0"/>
              <w:adjustRightInd w:val="0"/>
              <w:snapToGrid w:val="0"/>
              <w:spacing w:before="0" w:beforeAutospacing="0" w:after="0" w:afterAutospacing="0" w:line="360" w:lineRule="auto"/>
              <w:ind w:left="0" w:right="0" w:firstLine="480" w:firstLineChars="200"/>
              <w:rPr>
                <w:rFonts w:hint="default" w:eastAsia="宋体"/>
                <w:color w:val="auto"/>
                <w:sz w:val="24"/>
                <w:highlight w:val="none"/>
                <w:lang w:val="en-US" w:eastAsia="zh-CN"/>
              </w:rPr>
            </w:pPr>
            <w:r>
              <w:rPr>
                <w:rFonts w:hint="eastAsia" w:eastAsia="宋体"/>
                <w:color w:val="auto"/>
                <w:sz w:val="24"/>
                <w:highlight w:val="none"/>
                <w:lang w:val="en-US" w:eastAsia="zh-CN"/>
              </w:rPr>
              <w:t>综上，本项目一台</w:t>
            </w:r>
            <w:r>
              <w:rPr>
                <w:rFonts w:hint="eastAsia" w:cs="Times New Roman"/>
                <w:bCs/>
                <w:color w:val="auto"/>
                <w:sz w:val="24"/>
                <w:lang w:val="en-US" w:eastAsia="zh-CN"/>
              </w:rPr>
              <w:t>2.5t/</w:t>
            </w:r>
            <w:r>
              <w:rPr>
                <w:rFonts w:hint="eastAsia" w:ascii="Times New Roman" w:hAnsi="Times New Roman" w:cs="Times New Roman"/>
                <w:bCs/>
                <w:color w:val="auto"/>
                <w:sz w:val="24"/>
                <w:lang w:val="en-US" w:eastAsia="zh-CN"/>
              </w:rPr>
              <w:t>h</w:t>
            </w:r>
            <w:r>
              <w:rPr>
                <w:rFonts w:hint="eastAsia" w:ascii="Times New Roman" w:hAnsi="Times New Roman" w:eastAsia="宋体" w:cs="Times New Roman"/>
                <w:bCs/>
                <w:color w:val="auto"/>
                <w:sz w:val="24"/>
                <w:lang w:val="en-US" w:eastAsia="zh-CN"/>
              </w:rPr>
              <w:t>燃</w:t>
            </w:r>
            <w:r>
              <w:rPr>
                <w:rFonts w:hint="eastAsia" w:ascii="Times New Roman" w:hAnsi="Times New Roman" w:cs="Times New Roman"/>
                <w:bCs/>
                <w:color w:val="auto"/>
                <w:sz w:val="24"/>
                <w:lang w:val="en-US" w:eastAsia="zh-CN"/>
              </w:rPr>
              <w:t>生物质</w:t>
            </w:r>
            <w:r>
              <w:rPr>
                <w:rFonts w:hint="eastAsia" w:ascii="Times New Roman" w:hAnsi="Times New Roman" w:eastAsia="宋体" w:cs="Times New Roman"/>
                <w:bCs/>
                <w:color w:val="auto"/>
                <w:sz w:val="24"/>
                <w:lang w:val="en-US" w:eastAsia="zh-CN"/>
              </w:rPr>
              <w:t>锅炉</w:t>
            </w:r>
            <w:r>
              <w:rPr>
                <w:rFonts w:hint="eastAsia"/>
                <w:color w:val="auto"/>
                <w:sz w:val="24"/>
                <w:highlight w:val="none"/>
                <w:lang w:val="en-US" w:eastAsia="zh-CN"/>
              </w:rPr>
              <w:t>生物质成型燃料</w:t>
            </w:r>
            <w:r>
              <w:rPr>
                <w:rFonts w:hint="eastAsia" w:eastAsia="宋体"/>
                <w:color w:val="auto"/>
                <w:sz w:val="24"/>
                <w:highlight w:val="none"/>
                <w:lang w:val="en-US" w:eastAsia="zh-CN"/>
              </w:rPr>
              <w:t>用量为</w:t>
            </w:r>
            <w:r>
              <w:rPr>
                <w:rFonts w:hint="eastAsia"/>
                <w:color w:val="auto"/>
                <w:sz w:val="24"/>
                <w:highlight w:val="none"/>
                <w:lang w:val="en-US" w:eastAsia="zh-CN"/>
              </w:rPr>
              <w:t>1048.32t</w:t>
            </w:r>
            <w:r>
              <w:rPr>
                <w:rFonts w:hint="eastAsia" w:eastAsia="宋体"/>
                <w:color w:val="auto"/>
                <w:sz w:val="24"/>
                <w:highlight w:val="none"/>
                <w:lang w:val="en-US" w:eastAsia="zh-CN"/>
              </w:rPr>
              <w:t>/a。</w:t>
            </w:r>
          </w:p>
          <w:p w14:paraId="27ED56C1">
            <w:pPr>
              <w:keepNext w:val="0"/>
              <w:keepLines w:val="0"/>
              <w:suppressLineNumbers w:val="0"/>
              <w:adjustRightInd w:val="0"/>
              <w:snapToGrid w:val="0"/>
              <w:spacing w:before="0" w:beforeAutospacing="0" w:after="0" w:afterAutospacing="0" w:line="360" w:lineRule="auto"/>
              <w:ind w:left="0" w:right="0" w:firstLine="480" w:firstLineChars="200"/>
              <w:rPr>
                <w:rFonts w:hint="default" w:eastAsia="宋体"/>
                <w:color w:val="auto"/>
                <w:sz w:val="24"/>
                <w:highlight w:val="none"/>
              </w:rPr>
            </w:pPr>
            <w:r>
              <w:rPr>
                <w:rFonts w:hint="default" w:eastAsia="宋体"/>
                <w:color w:val="auto"/>
                <w:sz w:val="24"/>
                <w:highlight w:val="none"/>
              </w:rPr>
              <w:t>（4）供电</w:t>
            </w:r>
          </w:p>
          <w:p w14:paraId="52EF91C4">
            <w:pPr>
              <w:keepNext w:val="0"/>
              <w:keepLines w:val="0"/>
              <w:suppressLineNumbers w:val="0"/>
              <w:adjustRightInd w:val="0"/>
              <w:snapToGrid w:val="0"/>
              <w:spacing w:before="0" w:beforeAutospacing="0" w:after="0" w:afterAutospacing="0" w:line="360" w:lineRule="auto"/>
              <w:ind w:left="0" w:right="0" w:firstLine="480" w:firstLineChars="200"/>
              <w:rPr>
                <w:rFonts w:hint="default" w:eastAsia="宋体"/>
                <w:color w:val="auto"/>
                <w:sz w:val="24"/>
                <w:highlight w:val="none"/>
              </w:rPr>
            </w:pPr>
            <w:r>
              <w:rPr>
                <w:rFonts w:hint="default" w:eastAsia="宋体"/>
                <w:color w:val="auto"/>
                <w:sz w:val="24"/>
                <w:highlight w:val="none"/>
              </w:rPr>
              <w:t>项目用电由</w:t>
            </w:r>
            <w:r>
              <w:rPr>
                <w:rFonts w:hint="eastAsia"/>
                <w:color w:val="auto"/>
                <w:sz w:val="24"/>
                <w:highlight w:val="none"/>
                <w:lang w:val="en-US" w:eastAsia="zh-CN"/>
              </w:rPr>
              <w:t>当地供电局提供</w:t>
            </w:r>
            <w:r>
              <w:rPr>
                <w:rFonts w:hint="default" w:eastAsia="宋体"/>
                <w:color w:val="auto"/>
                <w:sz w:val="24"/>
                <w:highlight w:val="none"/>
              </w:rPr>
              <w:t>，能够满足本项目用电。</w:t>
            </w:r>
          </w:p>
          <w:p w14:paraId="0B665505">
            <w:pPr>
              <w:keepNext w:val="0"/>
              <w:keepLines w:val="0"/>
              <w:numPr>
                <w:ilvl w:val="0"/>
                <w:numId w:val="0"/>
              </w:numPr>
              <w:suppressLineNumbers w:val="0"/>
              <w:spacing w:before="0" w:beforeAutospacing="0" w:after="0" w:afterAutospacing="0" w:line="360" w:lineRule="auto"/>
              <w:ind w:left="420" w:leftChars="200" w:right="0" w:rightChars="0"/>
              <w:jc w:val="left"/>
              <w:rPr>
                <w:rFonts w:hint="default" w:eastAsia="宋体"/>
                <w:b/>
                <w:color w:val="auto"/>
                <w:sz w:val="24"/>
                <w:highlight w:val="none"/>
              </w:rPr>
            </w:pPr>
            <w:r>
              <w:rPr>
                <w:rFonts w:hint="eastAsia"/>
                <w:b/>
                <w:color w:val="auto"/>
                <w:sz w:val="24"/>
                <w:highlight w:val="none"/>
                <w:lang w:val="en-US" w:eastAsia="zh-CN"/>
              </w:rPr>
              <w:t>8、</w:t>
            </w:r>
            <w:r>
              <w:rPr>
                <w:rFonts w:hint="default" w:eastAsia="宋体"/>
                <w:b/>
                <w:color w:val="auto"/>
                <w:sz w:val="24"/>
                <w:highlight w:val="none"/>
              </w:rPr>
              <w:t>环保投资</w:t>
            </w:r>
          </w:p>
          <w:p w14:paraId="353C8A2C">
            <w:pPr>
              <w:keepNext w:val="0"/>
              <w:keepLines w:val="0"/>
              <w:suppressLineNumbers w:val="0"/>
              <w:adjustRightInd w:val="0"/>
              <w:snapToGrid w:val="0"/>
              <w:spacing w:before="0" w:beforeAutospacing="0" w:after="0" w:afterAutospacing="0" w:line="360" w:lineRule="auto"/>
              <w:ind w:left="0" w:right="0" w:firstLine="480" w:firstLineChars="200"/>
              <w:rPr>
                <w:rFonts w:hint="default"/>
                <w:color w:val="auto"/>
                <w:highlight w:val="none"/>
              </w:rPr>
            </w:pPr>
            <w:r>
              <w:rPr>
                <w:rFonts w:hint="eastAsia"/>
                <w:color w:val="auto"/>
                <w:sz w:val="24"/>
                <w:highlight w:val="none"/>
                <w:lang w:eastAsia="zh-CN"/>
              </w:rPr>
              <w:t>本</w:t>
            </w:r>
            <w:r>
              <w:rPr>
                <w:rFonts w:hint="default" w:eastAsia="宋体"/>
                <w:color w:val="auto"/>
                <w:sz w:val="24"/>
                <w:highlight w:val="none"/>
              </w:rPr>
              <w:t>项目</w:t>
            </w:r>
            <w:r>
              <w:rPr>
                <w:rFonts w:hint="eastAsia"/>
                <w:color w:val="auto"/>
                <w:sz w:val="24"/>
                <w:highlight w:val="none"/>
                <w:lang w:eastAsia="zh-CN"/>
              </w:rPr>
              <w:t>总投资</w:t>
            </w:r>
            <w:r>
              <w:rPr>
                <w:rFonts w:hint="eastAsia" w:cs="Times New Roman"/>
                <w:color w:val="auto"/>
                <w:sz w:val="24"/>
                <w:highlight w:val="none"/>
                <w:lang w:val="en-US" w:eastAsia="zh-CN"/>
              </w:rPr>
              <w:t>500</w:t>
            </w:r>
            <w:r>
              <w:rPr>
                <w:rFonts w:hint="eastAsia"/>
                <w:color w:val="auto"/>
                <w:sz w:val="24"/>
                <w:highlight w:val="none"/>
                <w:lang w:val="en-US" w:eastAsia="zh-CN"/>
              </w:rPr>
              <w:t>万元。环保投资133万元，环保投资占总投资26.6%，环保投资具体情况参见表2-7</w:t>
            </w:r>
            <w:r>
              <w:rPr>
                <w:rFonts w:hint="default" w:eastAsia="宋体"/>
                <w:color w:val="auto"/>
                <w:sz w:val="24"/>
                <w:highlight w:val="none"/>
              </w:rPr>
              <w:t>。</w:t>
            </w:r>
          </w:p>
          <w:p w14:paraId="78D68D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表2-</w:t>
            </w:r>
            <w:r>
              <w:rPr>
                <w:rFonts w:hint="eastAsia" w:cs="Times New Roman"/>
                <w:b/>
                <w:color w:val="auto"/>
                <w:sz w:val="21"/>
                <w:szCs w:val="21"/>
                <w:highlight w:val="none"/>
                <w:lang w:val="en-US" w:eastAsia="zh-CN"/>
              </w:rPr>
              <w:t>7</w:t>
            </w:r>
            <w:r>
              <w:rPr>
                <w:rFonts w:hint="eastAsia" w:ascii="Times New Roman" w:hAnsi="Times New Roman" w:eastAsia="宋体" w:cs="Times New Roman"/>
                <w:b/>
                <w:color w:val="auto"/>
                <w:sz w:val="21"/>
                <w:szCs w:val="21"/>
                <w:highlight w:val="none"/>
                <w:lang w:val="en-US" w:eastAsia="zh-CN"/>
              </w:rPr>
              <w:t xml:space="preserve">  </w:t>
            </w:r>
            <w:r>
              <w:rPr>
                <w:rFonts w:hint="default" w:ascii="Times New Roman" w:hAnsi="Times New Roman" w:eastAsia="宋体" w:cs="Times New Roman"/>
                <w:b/>
                <w:color w:val="auto"/>
                <w:sz w:val="21"/>
                <w:szCs w:val="21"/>
                <w:highlight w:val="none"/>
                <w:lang w:val="en-US" w:eastAsia="zh-CN"/>
              </w:rPr>
              <w:t>环保投资一览表</w:t>
            </w:r>
          </w:p>
          <w:tbl>
            <w:tblPr>
              <w:tblStyle w:val="31"/>
              <w:tblW w:w="4995"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77"/>
              <w:gridCol w:w="1883"/>
              <w:gridCol w:w="1306"/>
              <w:gridCol w:w="3379"/>
              <w:gridCol w:w="1127"/>
            </w:tblGrid>
            <w:tr w14:paraId="6421053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49" w:type="pct"/>
                  <w:vAlign w:val="center"/>
                </w:tcPr>
                <w:p w14:paraId="3406BB7E">
                  <w:pPr>
                    <w:pStyle w:val="110"/>
                    <w:keepNext w:val="0"/>
                    <w:keepLines w:val="0"/>
                    <w:suppressLineNumbers w:val="0"/>
                    <w:spacing w:before="0" w:beforeAutospacing="0" w:after="0" w:afterAutospacing="0"/>
                    <w:ind w:left="0" w:right="0"/>
                    <w:jc w:val="center"/>
                    <w:rPr>
                      <w:rFonts w:hint="default" w:eastAsia="宋体"/>
                      <w:color w:val="auto"/>
                      <w:sz w:val="21"/>
                      <w:szCs w:val="21"/>
                      <w:highlight w:val="none"/>
                    </w:rPr>
                  </w:pPr>
                  <w:r>
                    <w:rPr>
                      <w:rFonts w:hint="default" w:eastAsia="宋体"/>
                      <w:color w:val="auto"/>
                      <w:sz w:val="21"/>
                      <w:szCs w:val="21"/>
                      <w:highlight w:val="none"/>
                    </w:rPr>
                    <w:t>阶段</w:t>
                  </w:r>
                </w:p>
              </w:tc>
              <w:tc>
                <w:tcPr>
                  <w:tcW w:w="1138" w:type="pct"/>
                  <w:vAlign w:val="center"/>
                </w:tcPr>
                <w:p w14:paraId="58704669">
                  <w:pPr>
                    <w:pStyle w:val="110"/>
                    <w:keepNext w:val="0"/>
                    <w:keepLines w:val="0"/>
                    <w:suppressLineNumbers w:val="0"/>
                    <w:spacing w:before="0" w:beforeAutospacing="0" w:after="0" w:afterAutospacing="0"/>
                    <w:ind w:left="0" w:right="0"/>
                    <w:jc w:val="center"/>
                    <w:rPr>
                      <w:rFonts w:hint="default" w:eastAsia="宋体"/>
                      <w:color w:val="auto"/>
                      <w:sz w:val="21"/>
                      <w:szCs w:val="21"/>
                      <w:highlight w:val="none"/>
                    </w:rPr>
                  </w:pPr>
                  <w:r>
                    <w:rPr>
                      <w:rFonts w:hint="default" w:eastAsia="宋体"/>
                      <w:color w:val="auto"/>
                      <w:sz w:val="21"/>
                      <w:szCs w:val="21"/>
                      <w:highlight w:val="none"/>
                    </w:rPr>
                    <w:t>污染源</w:t>
                  </w:r>
                </w:p>
              </w:tc>
              <w:tc>
                <w:tcPr>
                  <w:tcW w:w="2830" w:type="pct"/>
                  <w:gridSpan w:val="2"/>
                  <w:vAlign w:val="center"/>
                </w:tcPr>
                <w:p w14:paraId="54D79A2E">
                  <w:pPr>
                    <w:pStyle w:val="110"/>
                    <w:keepNext w:val="0"/>
                    <w:keepLines w:val="0"/>
                    <w:suppressLineNumbers w:val="0"/>
                    <w:spacing w:before="0" w:beforeAutospacing="0" w:after="0" w:afterAutospacing="0"/>
                    <w:ind w:left="0" w:right="0"/>
                    <w:jc w:val="center"/>
                    <w:rPr>
                      <w:rFonts w:hint="default" w:eastAsia="宋体"/>
                      <w:color w:val="auto"/>
                      <w:sz w:val="21"/>
                      <w:szCs w:val="21"/>
                      <w:highlight w:val="none"/>
                    </w:rPr>
                  </w:pPr>
                  <w:r>
                    <w:rPr>
                      <w:rFonts w:hint="default" w:eastAsia="宋体"/>
                      <w:color w:val="auto"/>
                      <w:sz w:val="21"/>
                      <w:szCs w:val="21"/>
                      <w:highlight w:val="none"/>
                    </w:rPr>
                    <w:t>本项目环保措施</w:t>
                  </w:r>
                </w:p>
              </w:tc>
              <w:tc>
                <w:tcPr>
                  <w:tcW w:w="681" w:type="pct"/>
                  <w:vAlign w:val="center"/>
                </w:tcPr>
                <w:p w14:paraId="0919574B">
                  <w:pPr>
                    <w:pStyle w:val="110"/>
                    <w:keepNext w:val="0"/>
                    <w:keepLines w:val="0"/>
                    <w:suppressLineNumbers w:val="0"/>
                    <w:spacing w:before="0" w:beforeAutospacing="0" w:after="0" w:afterAutospacing="0"/>
                    <w:ind w:left="0" w:right="0"/>
                    <w:jc w:val="center"/>
                    <w:rPr>
                      <w:rFonts w:hint="default" w:eastAsia="宋体"/>
                      <w:color w:val="auto"/>
                      <w:sz w:val="21"/>
                      <w:szCs w:val="21"/>
                      <w:highlight w:val="none"/>
                    </w:rPr>
                  </w:pPr>
                  <w:r>
                    <w:rPr>
                      <w:rFonts w:hint="default" w:eastAsia="宋体"/>
                      <w:color w:val="auto"/>
                      <w:sz w:val="21"/>
                      <w:szCs w:val="21"/>
                      <w:highlight w:val="none"/>
                    </w:rPr>
                    <w:t>金额</w:t>
                  </w:r>
                </w:p>
                <w:p w14:paraId="18CD5469">
                  <w:pPr>
                    <w:pStyle w:val="110"/>
                    <w:keepNext w:val="0"/>
                    <w:keepLines w:val="0"/>
                    <w:suppressLineNumbers w:val="0"/>
                    <w:spacing w:before="0" w:beforeAutospacing="0" w:after="0" w:afterAutospacing="0"/>
                    <w:ind w:left="0" w:right="0"/>
                    <w:jc w:val="center"/>
                    <w:rPr>
                      <w:rFonts w:hint="default" w:eastAsia="宋体"/>
                      <w:color w:val="auto"/>
                      <w:sz w:val="21"/>
                      <w:szCs w:val="21"/>
                      <w:highlight w:val="none"/>
                    </w:rPr>
                  </w:pPr>
                  <w:r>
                    <w:rPr>
                      <w:rFonts w:hint="default" w:eastAsia="宋体"/>
                      <w:color w:val="auto"/>
                      <w:sz w:val="21"/>
                      <w:szCs w:val="21"/>
                      <w:highlight w:val="none"/>
                    </w:rPr>
                    <w:t>（万元）</w:t>
                  </w:r>
                </w:p>
              </w:tc>
            </w:tr>
            <w:tr w14:paraId="6BF2D5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2" w:hRule="atLeast"/>
                <w:jc w:val="center"/>
              </w:trPr>
              <w:tc>
                <w:tcPr>
                  <w:tcW w:w="349" w:type="pct"/>
                  <w:vMerge w:val="restart"/>
                  <w:tcBorders>
                    <w:right w:val="single" w:color="auto" w:sz="4" w:space="0"/>
                  </w:tcBorders>
                  <w:vAlign w:val="center"/>
                </w:tcPr>
                <w:p w14:paraId="21B2AACD">
                  <w:pPr>
                    <w:pStyle w:val="110"/>
                    <w:keepNext w:val="0"/>
                    <w:keepLines w:val="0"/>
                    <w:suppressLineNumbers w:val="0"/>
                    <w:spacing w:before="0" w:beforeAutospacing="0" w:after="0" w:afterAutospacing="0"/>
                    <w:ind w:left="0" w:right="0"/>
                    <w:jc w:val="center"/>
                    <w:rPr>
                      <w:rFonts w:hint="default" w:eastAsia="宋体"/>
                      <w:color w:val="auto"/>
                      <w:sz w:val="21"/>
                      <w:szCs w:val="21"/>
                      <w:highlight w:val="none"/>
                    </w:rPr>
                  </w:pPr>
                  <w:r>
                    <w:rPr>
                      <w:rFonts w:hint="default" w:eastAsia="宋体"/>
                      <w:color w:val="auto"/>
                      <w:sz w:val="21"/>
                      <w:szCs w:val="21"/>
                      <w:highlight w:val="none"/>
                    </w:rPr>
                    <w:t>运</w:t>
                  </w:r>
                </w:p>
                <w:p w14:paraId="375D8346">
                  <w:pPr>
                    <w:pStyle w:val="110"/>
                    <w:keepNext w:val="0"/>
                    <w:keepLines w:val="0"/>
                    <w:suppressLineNumbers w:val="0"/>
                    <w:spacing w:before="0" w:beforeAutospacing="0" w:after="0" w:afterAutospacing="0"/>
                    <w:ind w:left="0" w:right="0"/>
                    <w:jc w:val="center"/>
                    <w:rPr>
                      <w:rFonts w:hint="default" w:eastAsia="宋体"/>
                      <w:color w:val="auto"/>
                      <w:sz w:val="21"/>
                      <w:szCs w:val="21"/>
                      <w:highlight w:val="none"/>
                    </w:rPr>
                  </w:pPr>
                  <w:r>
                    <w:rPr>
                      <w:rFonts w:hint="default" w:eastAsia="宋体"/>
                      <w:color w:val="auto"/>
                      <w:sz w:val="21"/>
                      <w:szCs w:val="21"/>
                      <w:highlight w:val="none"/>
                    </w:rPr>
                    <w:t>营</w:t>
                  </w:r>
                </w:p>
                <w:p w14:paraId="5F24BC1F">
                  <w:pPr>
                    <w:pStyle w:val="110"/>
                    <w:keepNext w:val="0"/>
                    <w:keepLines w:val="0"/>
                    <w:suppressLineNumbers w:val="0"/>
                    <w:spacing w:before="0" w:beforeAutospacing="0" w:after="0" w:afterAutospacing="0"/>
                    <w:ind w:left="0" w:right="0"/>
                    <w:jc w:val="center"/>
                    <w:rPr>
                      <w:rFonts w:hint="default" w:eastAsia="宋体"/>
                      <w:color w:val="auto"/>
                      <w:sz w:val="21"/>
                      <w:szCs w:val="21"/>
                      <w:highlight w:val="none"/>
                    </w:rPr>
                  </w:pPr>
                  <w:r>
                    <w:rPr>
                      <w:rFonts w:hint="default" w:eastAsia="宋体"/>
                      <w:color w:val="auto"/>
                      <w:sz w:val="21"/>
                      <w:szCs w:val="21"/>
                      <w:highlight w:val="none"/>
                    </w:rPr>
                    <w:t>期</w:t>
                  </w:r>
                </w:p>
              </w:tc>
              <w:tc>
                <w:tcPr>
                  <w:tcW w:w="1138" w:type="pct"/>
                  <w:vMerge w:val="restart"/>
                  <w:tcBorders>
                    <w:left w:val="single" w:color="auto" w:sz="4" w:space="0"/>
                  </w:tcBorders>
                  <w:vAlign w:val="center"/>
                </w:tcPr>
                <w:p w14:paraId="7A8F9E88">
                  <w:pPr>
                    <w:pStyle w:val="110"/>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eastAsia="宋体"/>
                      <w:color w:val="auto"/>
                      <w:sz w:val="21"/>
                      <w:szCs w:val="21"/>
                      <w:highlight w:val="none"/>
                    </w:rPr>
                    <w:t>废气治理</w:t>
                  </w:r>
                </w:p>
              </w:tc>
              <w:tc>
                <w:tcPr>
                  <w:tcW w:w="789" w:type="pct"/>
                  <w:vAlign w:val="center"/>
                </w:tcPr>
                <w:p w14:paraId="27393E44">
                  <w:pPr>
                    <w:pStyle w:val="110"/>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废油液挥发</w:t>
                  </w:r>
                </w:p>
              </w:tc>
              <w:tc>
                <w:tcPr>
                  <w:tcW w:w="2041" w:type="pct"/>
                  <w:vAlign w:val="center"/>
                </w:tcPr>
                <w:p w14:paraId="4E45A790">
                  <w:pPr>
                    <w:pStyle w:val="110"/>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mallCaps w:val="0"/>
                      <w:color w:val="auto"/>
                      <w:sz w:val="21"/>
                      <w:highlight w:val="none"/>
                      <w:lang w:val="en-US" w:eastAsia="zh-CN"/>
                    </w:rPr>
                  </w:pPr>
                  <w:r>
                    <w:rPr>
                      <w:rFonts w:hint="eastAsia" w:cs="Times New Roman"/>
                      <w:smallCaps w:val="0"/>
                      <w:color w:val="auto"/>
                      <w:sz w:val="21"/>
                      <w:highlight w:val="none"/>
                      <w:lang w:val="en-US" w:eastAsia="zh-CN"/>
                    </w:rPr>
                    <w:t>活性炭吸附装置+15m高排气筒（DA001）</w:t>
                  </w:r>
                </w:p>
              </w:tc>
              <w:tc>
                <w:tcPr>
                  <w:tcW w:w="681" w:type="pct"/>
                  <w:vMerge w:val="restart"/>
                  <w:vAlign w:val="center"/>
                </w:tcPr>
                <w:p w14:paraId="18C9BEC6">
                  <w:pPr>
                    <w:pStyle w:val="110"/>
                    <w:keepNext w:val="0"/>
                    <w:keepLines w:val="0"/>
                    <w:suppressLineNumbers w:val="0"/>
                    <w:spacing w:before="0" w:beforeAutospacing="0" w:after="0" w:afterAutospacing="0"/>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55</w:t>
                  </w:r>
                </w:p>
              </w:tc>
            </w:tr>
            <w:tr w14:paraId="6282524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2" w:hRule="atLeast"/>
                <w:jc w:val="center"/>
              </w:trPr>
              <w:tc>
                <w:tcPr>
                  <w:tcW w:w="349" w:type="pct"/>
                  <w:vMerge w:val="continue"/>
                  <w:tcBorders>
                    <w:right w:val="single" w:color="auto" w:sz="4" w:space="0"/>
                  </w:tcBorders>
                  <w:vAlign w:val="center"/>
                </w:tcPr>
                <w:p w14:paraId="3260AF66">
                  <w:pPr>
                    <w:pStyle w:val="110"/>
                    <w:keepNext w:val="0"/>
                    <w:keepLines w:val="0"/>
                    <w:suppressLineNumbers w:val="0"/>
                    <w:spacing w:before="0" w:beforeAutospacing="0" w:after="0" w:afterAutospacing="0"/>
                    <w:ind w:left="0" w:leftChars="0" w:right="0" w:rightChars="0"/>
                    <w:jc w:val="center"/>
                    <w:rPr>
                      <w:color w:val="auto"/>
                    </w:rPr>
                  </w:pPr>
                </w:p>
              </w:tc>
              <w:tc>
                <w:tcPr>
                  <w:tcW w:w="1138" w:type="pct"/>
                  <w:vMerge w:val="continue"/>
                  <w:tcBorders>
                    <w:left w:val="single" w:color="auto" w:sz="4" w:space="0"/>
                  </w:tcBorders>
                  <w:vAlign w:val="center"/>
                </w:tcPr>
                <w:p w14:paraId="6FAE10A7">
                  <w:pPr>
                    <w:pStyle w:val="110"/>
                    <w:keepNext w:val="0"/>
                    <w:keepLines w:val="0"/>
                    <w:suppressLineNumbers w:val="0"/>
                    <w:spacing w:before="0" w:beforeAutospacing="0" w:after="0" w:afterAutospacing="0"/>
                    <w:ind w:left="0" w:leftChars="0" w:right="0" w:rightChars="0"/>
                    <w:jc w:val="center"/>
                    <w:rPr>
                      <w:color w:val="auto"/>
                    </w:rPr>
                  </w:pPr>
                </w:p>
              </w:tc>
              <w:tc>
                <w:tcPr>
                  <w:tcW w:w="789" w:type="pct"/>
                  <w:vAlign w:val="center"/>
                </w:tcPr>
                <w:p w14:paraId="72973B54">
                  <w:pPr>
                    <w:pStyle w:val="110"/>
                    <w:keepNext w:val="0"/>
                    <w:keepLines w:val="0"/>
                    <w:suppressLineNumbers w:val="0"/>
                    <w:spacing w:before="0" w:beforeAutospacing="0" w:after="0" w:afterAutospacing="0"/>
                    <w:ind w:left="0" w:leftChars="0" w:right="0" w:rightChars="0"/>
                    <w:jc w:val="center"/>
                    <w:rPr>
                      <w:rFonts w:hint="default" w:cs="Times New Roman"/>
                      <w:smallCaps w:val="0"/>
                      <w:color w:val="auto"/>
                      <w:sz w:val="21"/>
                      <w:highlight w:val="none"/>
                      <w:lang w:val="en-US" w:eastAsia="zh-CN"/>
                    </w:rPr>
                  </w:pPr>
                  <w:r>
                    <w:rPr>
                      <w:rFonts w:hint="eastAsia" w:cs="Times New Roman"/>
                      <w:smallCaps w:val="0"/>
                      <w:color w:val="auto"/>
                      <w:sz w:val="21"/>
                      <w:highlight w:val="none"/>
                      <w:lang w:val="en-US" w:eastAsia="zh-CN"/>
                    </w:rPr>
                    <w:t>切割</w:t>
                  </w:r>
                </w:p>
              </w:tc>
              <w:tc>
                <w:tcPr>
                  <w:tcW w:w="2041" w:type="pct"/>
                  <w:vAlign w:val="center"/>
                </w:tcPr>
                <w:p w14:paraId="340466B1">
                  <w:pPr>
                    <w:pStyle w:val="110"/>
                    <w:keepNext w:val="0"/>
                    <w:keepLines w:val="0"/>
                    <w:suppressLineNumbers w:val="0"/>
                    <w:spacing w:before="0" w:beforeAutospacing="0" w:after="0" w:afterAutospacing="0"/>
                    <w:ind w:left="0" w:leftChars="0" w:right="0" w:rightChars="0"/>
                    <w:jc w:val="center"/>
                    <w:rPr>
                      <w:rFonts w:hint="default" w:cs="Times New Roman"/>
                      <w:smallCaps w:val="0"/>
                      <w:color w:val="auto"/>
                      <w:sz w:val="21"/>
                      <w:highlight w:val="none"/>
                      <w:lang w:val="en-US" w:eastAsia="zh-CN"/>
                    </w:rPr>
                  </w:pPr>
                  <w:r>
                    <w:rPr>
                      <w:rFonts w:hint="eastAsia" w:cs="Times New Roman"/>
                      <w:smallCaps w:val="0"/>
                      <w:color w:val="auto"/>
                      <w:sz w:val="21"/>
                      <w:highlight w:val="none"/>
                      <w:lang w:val="en-US" w:eastAsia="zh-CN"/>
                    </w:rPr>
                    <w:t>布袋除尘器+15m高排气筒（DA001）</w:t>
                  </w:r>
                </w:p>
              </w:tc>
              <w:tc>
                <w:tcPr>
                  <w:tcW w:w="681" w:type="pct"/>
                  <w:vMerge w:val="continue"/>
                  <w:vAlign w:val="center"/>
                </w:tcPr>
                <w:p w14:paraId="5194B7EA">
                  <w:pPr>
                    <w:pStyle w:val="110"/>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smallCaps w:val="0"/>
                      <w:color w:val="auto"/>
                      <w:sz w:val="21"/>
                      <w:highlight w:val="none"/>
                      <w:lang w:val="en-US" w:eastAsia="zh-CN"/>
                    </w:rPr>
                  </w:pPr>
                </w:p>
              </w:tc>
            </w:tr>
            <w:tr w14:paraId="192CBC7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2" w:hRule="atLeast"/>
                <w:jc w:val="center"/>
              </w:trPr>
              <w:tc>
                <w:tcPr>
                  <w:tcW w:w="349" w:type="pct"/>
                  <w:vMerge w:val="continue"/>
                  <w:tcBorders>
                    <w:right w:val="single" w:color="auto" w:sz="4" w:space="0"/>
                  </w:tcBorders>
                  <w:vAlign w:val="center"/>
                </w:tcPr>
                <w:p w14:paraId="51DD979A">
                  <w:pPr>
                    <w:pStyle w:val="110"/>
                    <w:keepNext w:val="0"/>
                    <w:keepLines w:val="0"/>
                    <w:suppressLineNumbers w:val="0"/>
                    <w:spacing w:before="0" w:beforeAutospacing="0" w:after="0" w:afterAutospacing="0"/>
                    <w:ind w:left="0" w:leftChars="0" w:right="0" w:rightChars="0"/>
                    <w:jc w:val="center"/>
                    <w:rPr>
                      <w:color w:val="auto"/>
                    </w:rPr>
                  </w:pPr>
                </w:p>
              </w:tc>
              <w:tc>
                <w:tcPr>
                  <w:tcW w:w="1138" w:type="pct"/>
                  <w:vMerge w:val="continue"/>
                  <w:tcBorders>
                    <w:left w:val="single" w:color="auto" w:sz="4" w:space="0"/>
                  </w:tcBorders>
                  <w:vAlign w:val="center"/>
                </w:tcPr>
                <w:p w14:paraId="2FF15A87">
                  <w:pPr>
                    <w:pStyle w:val="110"/>
                    <w:keepNext w:val="0"/>
                    <w:keepLines w:val="0"/>
                    <w:suppressLineNumbers w:val="0"/>
                    <w:spacing w:before="0" w:beforeAutospacing="0" w:after="0" w:afterAutospacing="0"/>
                    <w:ind w:left="0" w:leftChars="0" w:right="0" w:rightChars="0"/>
                    <w:jc w:val="center"/>
                    <w:rPr>
                      <w:color w:val="auto"/>
                    </w:rPr>
                  </w:pPr>
                </w:p>
              </w:tc>
              <w:tc>
                <w:tcPr>
                  <w:tcW w:w="789" w:type="pct"/>
                  <w:vAlign w:val="center"/>
                </w:tcPr>
                <w:p w14:paraId="6648BB7D">
                  <w:pPr>
                    <w:pStyle w:val="110"/>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mallCaps w:val="0"/>
                      <w:color w:val="auto"/>
                      <w:sz w:val="21"/>
                      <w:highlight w:val="none"/>
                      <w:lang w:val="en-US" w:eastAsia="zh-CN"/>
                    </w:rPr>
                  </w:pPr>
                  <w:r>
                    <w:rPr>
                      <w:rFonts w:hint="eastAsia" w:cs="Times New Roman"/>
                      <w:smallCaps w:val="0"/>
                      <w:color w:val="auto"/>
                      <w:sz w:val="21"/>
                      <w:highlight w:val="none"/>
                      <w:lang w:val="en-US" w:eastAsia="zh-CN"/>
                    </w:rPr>
                    <w:t>锅炉</w:t>
                  </w:r>
                </w:p>
              </w:tc>
              <w:tc>
                <w:tcPr>
                  <w:tcW w:w="2041" w:type="pct"/>
                  <w:vAlign w:val="center"/>
                </w:tcPr>
                <w:p w14:paraId="5ED77572">
                  <w:pPr>
                    <w:pStyle w:val="110"/>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mallCaps w:val="0"/>
                      <w:color w:val="auto"/>
                      <w:sz w:val="21"/>
                      <w:highlight w:val="none"/>
                      <w:lang w:val="en-US" w:eastAsia="zh-CN"/>
                    </w:rPr>
                  </w:pPr>
                  <w:r>
                    <w:rPr>
                      <w:rFonts w:hint="eastAsia"/>
                      <w:color w:val="auto"/>
                      <w:lang w:val="en-US" w:eastAsia="zh-CN"/>
                    </w:rPr>
                    <w:t>旋风除尘器和</w:t>
                  </w:r>
                  <w:r>
                    <w:rPr>
                      <w:rFonts w:hint="eastAsia"/>
                      <w:color w:val="auto"/>
                    </w:rPr>
                    <w:t>布袋除尘器</w:t>
                  </w:r>
                  <w:r>
                    <w:rPr>
                      <w:rFonts w:hint="eastAsia"/>
                      <w:color w:val="auto"/>
                      <w:lang w:val="en-US" w:eastAsia="zh-CN"/>
                    </w:rPr>
                    <w:t>+30m高烟囱（DA002）</w:t>
                  </w:r>
                </w:p>
              </w:tc>
              <w:tc>
                <w:tcPr>
                  <w:tcW w:w="681" w:type="pct"/>
                  <w:vMerge w:val="continue"/>
                  <w:vAlign w:val="center"/>
                </w:tcPr>
                <w:p w14:paraId="2EA0B38F">
                  <w:pPr>
                    <w:pStyle w:val="110"/>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smallCaps w:val="0"/>
                      <w:color w:val="auto"/>
                      <w:sz w:val="21"/>
                      <w:highlight w:val="none"/>
                      <w:lang w:val="en-US" w:eastAsia="zh-CN"/>
                    </w:rPr>
                  </w:pPr>
                </w:p>
              </w:tc>
            </w:tr>
            <w:tr w14:paraId="49B1455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49" w:type="pct"/>
                  <w:vMerge w:val="continue"/>
                  <w:tcBorders>
                    <w:right w:val="single" w:color="auto" w:sz="4" w:space="0"/>
                  </w:tcBorders>
                  <w:vAlign w:val="center"/>
                </w:tcPr>
                <w:p w14:paraId="5E31907F">
                  <w:pPr>
                    <w:pStyle w:val="110"/>
                    <w:keepNext w:val="0"/>
                    <w:keepLines w:val="0"/>
                    <w:suppressLineNumbers w:val="0"/>
                    <w:spacing w:before="0" w:beforeAutospacing="0" w:after="0" w:afterAutospacing="0"/>
                    <w:ind w:left="0" w:right="0"/>
                    <w:jc w:val="center"/>
                    <w:rPr>
                      <w:rFonts w:hint="default" w:eastAsia="宋体"/>
                      <w:color w:val="auto"/>
                      <w:sz w:val="21"/>
                      <w:szCs w:val="21"/>
                      <w:highlight w:val="none"/>
                    </w:rPr>
                  </w:pPr>
                </w:p>
              </w:tc>
              <w:tc>
                <w:tcPr>
                  <w:tcW w:w="1138" w:type="pct"/>
                  <w:tcBorders>
                    <w:left w:val="single" w:color="auto" w:sz="4" w:space="0"/>
                  </w:tcBorders>
                  <w:vAlign w:val="center"/>
                </w:tcPr>
                <w:p w14:paraId="1E07E186">
                  <w:pPr>
                    <w:pStyle w:val="110"/>
                    <w:keepNext w:val="0"/>
                    <w:keepLines w:val="0"/>
                    <w:suppressLineNumbers w:val="0"/>
                    <w:spacing w:before="0" w:beforeAutospacing="0" w:after="0" w:afterAutospacing="0"/>
                    <w:ind w:left="0" w:right="0"/>
                    <w:jc w:val="center"/>
                    <w:rPr>
                      <w:rFonts w:hint="eastAsia" w:eastAsia="宋体"/>
                      <w:color w:val="auto"/>
                      <w:sz w:val="21"/>
                      <w:szCs w:val="21"/>
                      <w:highlight w:val="none"/>
                      <w:lang w:eastAsia="zh-CN"/>
                    </w:rPr>
                  </w:pPr>
                  <w:r>
                    <w:rPr>
                      <w:rFonts w:hint="default" w:eastAsia="宋体"/>
                      <w:color w:val="auto"/>
                      <w:sz w:val="21"/>
                      <w:szCs w:val="21"/>
                      <w:highlight w:val="none"/>
                    </w:rPr>
                    <w:t>废水治理</w:t>
                  </w:r>
                </w:p>
              </w:tc>
              <w:tc>
                <w:tcPr>
                  <w:tcW w:w="2830" w:type="pct"/>
                  <w:gridSpan w:val="2"/>
                  <w:vAlign w:val="center"/>
                </w:tcPr>
                <w:p w14:paraId="67EEAD6C">
                  <w:pPr>
                    <w:pStyle w:val="110"/>
                    <w:keepNext w:val="0"/>
                    <w:keepLines w:val="0"/>
                    <w:suppressLineNumbers w:val="0"/>
                    <w:spacing w:before="0" w:beforeAutospacing="0" w:after="0" w:afterAutospacing="0"/>
                    <w:ind w:left="0" w:right="0"/>
                    <w:jc w:val="center"/>
                    <w:rPr>
                      <w:rFonts w:hint="default" w:eastAsia="宋体"/>
                      <w:color w:val="auto"/>
                      <w:sz w:val="21"/>
                      <w:szCs w:val="21"/>
                      <w:highlight w:val="none"/>
                      <w:lang w:val="en-US" w:eastAsia="zh-CN"/>
                    </w:rPr>
                  </w:pPr>
                  <w:r>
                    <w:rPr>
                      <w:rFonts w:hint="eastAsia"/>
                      <w:smallCaps w:val="0"/>
                      <w:color w:val="auto"/>
                      <w:sz w:val="21"/>
                      <w:highlight w:val="none"/>
                      <w:lang w:val="en-US" w:eastAsia="zh-CN"/>
                    </w:rPr>
                    <w:t>1座一体化油水分离装置、1座总容积为</w:t>
                  </w:r>
                  <w:r>
                    <w:rPr>
                      <w:rFonts w:hint="eastAsia" w:cs="Times New Roman"/>
                      <w:color w:val="auto"/>
                      <w:kern w:val="2"/>
                      <w:sz w:val="21"/>
                      <w:szCs w:val="21"/>
                      <w:highlight w:val="none"/>
                      <w:lang w:val="en-US" w:eastAsia="zh-CN" w:bidi="ar-SA"/>
                    </w:rPr>
                    <w:t>75m</w:t>
                  </w:r>
                  <w:r>
                    <w:rPr>
                      <w:rFonts w:hint="eastAsia" w:cs="Times New Roman"/>
                      <w:color w:val="auto"/>
                      <w:kern w:val="2"/>
                      <w:sz w:val="21"/>
                      <w:szCs w:val="21"/>
                      <w:highlight w:val="none"/>
                      <w:vertAlign w:val="superscript"/>
                      <w:lang w:val="en-US" w:eastAsia="zh-CN" w:bidi="ar-SA"/>
                    </w:rPr>
                    <w:t>3</w:t>
                  </w:r>
                  <w:r>
                    <w:rPr>
                      <w:rFonts w:hint="eastAsia"/>
                      <w:smallCaps w:val="0"/>
                      <w:color w:val="auto"/>
                      <w:sz w:val="21"/>
                      <w:highlight w:val="none"/>
                      <w:lang w:val="en-US" w:eastAsia="zh-CN"/>
                    </w:rPr>
                    <w:t>初期雨水收集池</w:t>
                  </w:r>
                </w:p>
              </w:tc>
              <w:tc>
                <w:tcPr>
                  <w:tcW w:w="681" w:type="pct"/>
                  <w:vAlign w:val="center"/>
                </w:tcPr>
                <w:p w14:paraId="26E744EE">
                  <w:pPr>
                    <w:pStyle w:val="110"/>
                    <w:keepNext w:val="0"/>
                    <w:keepLines w:val="0"/>
                    <w:suppressLineNumbers w:val="0"/>
                    <w:spacing w:before="0" w:beforeAutospacing="0" w:after="0" w:afterAutospacing="0"/>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10</w:t>
                  </w:r>
                </w:p>
              </w:tc>
            </w:tr>
            <w:tr w14:paraId="36BEE1D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49" w:type="pct"/>
                  <w:vMerge w:val="continue"/>
                  <w:tcBorders>
                    <w:right w:val="single" w:color="auto" w:sz="4" w:space="0"/>
                  </w:tcBorders>
                  <w:vAlign w:val="center"/>
                </w:tcPr>
                <w:p w14:paraId="73012ACB">
                  <w:pPr>
                    <w:pStyle w:val="110"/>
                    <w:keepNext w:val="0"/>
                    <w:keepLines w:val="0"/>
                    <w:suppressLineNumbers w:val="0"/>
                    <w:spacing w:before="0" w:beforeAutospacing="0" w:after="0" w:afterAutospacing="0"/>
                    <w:ind w:left="0" w:right="0"/>
                    <w:jc w:val="center"/>
                    <w:rPr>
                      <w:rFonts w:hint="default" w:eastAsia="宋体"/>
                      <w:color w:val="auto"/>
                      <w:sz w:val="21"/>
                      <w:szCs w:val="21"/>
                      <w:highlight w:val="none"/>
                    </w:rPr>
                  </w:pPr>
                </w:p>
              </w:tc>
              <w:tc>
                <w:tcPr>
                  <w:tcW w:w="1138" w:type="pct"/>
                  <w:tcBorders>
                    <w:left w:val="single" w:color="auto" w:sz="4" w:space="0"/>
                  </w:tcBorders>
                  <w:vAlign w:val="center"/>
                </w:tcPr>
                <w:p w14:paraId="23FC1CEA">
                  <w:pPr>
                    <w:pStyle w:val="110"/>
                    <w:keepNext w:val="0"/>
                    <w:keepLines w:val="0"/>
                    <w:suppressLineNumbers w:val="0"/>
                    <w:spacing w:before="0" w:beforeAutospacing="0" w:after="0" w:afterAutospacing="0"/>
                    <w:ind w:left="0" w:right="0"/>
                    <w:jc w:val="center"/>
                    <w:rPr>
                      <w:rFonts w:hint="default" w:eastAsia="宋体"/>
                      <w:color w:val="auto"/>
                      <w:sz w:val="21"/>
                      <w:szCs w:val="21"/>
                      <w:highlight w:val="none"/>
                    </w:rPr>
                  </w:pPr>
                  <w:r>
                    <w:rPr>
                      <w:rFonts w:hint="default" w:eastAsia="宋体"/>
                      <w:color w:val="auto"/>
                      <w:sz w:val="21"/>
                      <w:szCs w:val="21"/>
                      <w:highlight w:val="none"/>
                    </w:rPr>
                    <w:t>噪声治理</w:t>
                  </w:r>
                </w:p>
              </w:tc>
              <w:tc>
                <w:tcPr>
                  <w:tcW w:w="2830" w:type="pct"/>
                  <w:gridSpan w:val="2"/>
                  <w:vAlign w:val="center"/>
                </w:tcPr>
                <w:p w14:paraId="0E9ADA2A">
                  <w:pPr>
                    <w:pStyle w:val="110"/>
                    <w:keepNext w:val="0"/>
                    <w:keepLines w:val="0"/>
                    <w:suppressLineNumbers w:val="0"/>
                    <w:spacing w:before="0" w:beforeAutospacing="0" w:after="0" w:afterAutospacing="0"/>
                    <w:ind w:left="0" w:right="0"/>
                    <w:jc w:val="center"/>
                    <w:rPr>
                      <w:rFonts w:hint="default" w:eastAsia="宋体"/>
                      <w:color w:val="auto"/>
                      <w:sz w:val="21"/>
                      <w:szCs w:val="21"/>
                      <w:highlight w:val="none"/>
                    </w:rPr>
                  </w:pPr>
                  <w:r>
                    <w:rPr>
                      <w:rFonts w:hint="default" w:eastAsia="宋体"/>
                      <w:color w:val="auto"/>
                      <w:sz w:val="21"/>
                      <w:szCs w:val="21"/>
                      <w:highlight w:val="none"/>
                    </w:rPr>
                    <w:t>选用低噪声设备，通过减振、隔声、降噪、加强管理和设备合理布局等措施</w:t>
                  </w:r>
                </w:p>
              </w:tc>
              <w:tc>
                <w:tcPr>
                  <w:tcW w:w="681" w:type="pct"/>
                  <w:vAlign w:val="center"/>
                </w:tcPr>
                <w:p w14:paraId="6AEF23AF">
                  <w:pPr>
                    <w:pStyle w:val="110"/>
                    <w:keepNext w:val="0"/>
                    <w:keepLines w:val="0"/>
                    <w:suppressLineNumbers w:val="0"/>
                    <w:spacing w:before="0" w:beforeAutospacing="0" w:after="0" w:afterAutospacing="0"/>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25</w:t>
                  </w:r>
                </w:p>
              </w:tc>
            </w:tr>
            <w:tr w14:paraId="48414C3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4" w:hRule="atLeast"/>
                <w:jc w:val="center"/>
              </w:trPr>
              <w:tc>
                <w:tcPr>
                  <w:tcW w:w="349" w:type="pct"/>
                  <w:vMerge w:val="continue"/>
                  <w:tcBorders>
                    <w:right w:val="single" w:color="auto" w:sz="4" w:space="0"/>
                  </w:tcBorders>
                  <w:vAlign w:val="center"/>
                </w:tcPr>
                <w:p w14:paraId="088660DD">
                  <w:pPr>
                    <w:pStyle w:val="110"/>
                    <w:keepNext w:val="0"/>
                    <w:keepLines w:val="0"/>
                    <w:suppressLineNumbers w:val="0"/>
                    <w:spacing w:before="0" w:beforeAutospacing="0" w:after="0" w:afterAutospacing="0"/>
                    <w:ind w:left="0" w:right="0"/>
                    <w:jc w:val="center"/>
                    <w:rPr>
                      <w:rFonts w:hint="default" w:eastAsia="宋体"/>
                      <w:color w:val="auto"/>
                      <w:sz w:val="21"/>
                      <w:szCs w:val="21"/>
                      <w:highlight w:val="none"/>
                    </w:rPr>
                  </w:pPr>
                </w:p>
              </w:tc>
              <w:tc>
                <w:tcPr>
                  <w:tcW w:w="1138" w:type="pct"/>
                  <w:tcBorders>
                    <w:left w:val="single" w:color="auto" w:sz="4" w:space="0"/>
                  </w:tcBorders>
                  <w:vAlign w:val="center"/>
                </w:tcPr>
                <w:p w14:paraId="1C068756">
                  <w:pPr>
                    <w:pStyle w:val="110"/>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固废治理</w:t>
                  </w:r>
                </w:p>
              </w:tc>
              <w:tc>
                <w:tcPr>
                  <w:tcW w:w="2830" w:type="pct"/>
                  <w:gridSpan w:val="2"/>
                  <w:vAlign w:val="center"/>
                </w:tcPr>
                <w:p w14:paraId="757003AA">
                  <w:pPr>
                    <w:pStyle w:val="110"/>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cs="Times New Roman" w:eastAsiaTheme="minorEastAsia"/>
                      <w:color w:val="auto"/>
                      <w:kern w:val="0"/>
                      <w:szCs w:val="21"/>
                      <w:lang w:val="en-US" w:eastAsia="zh-CN"/>
                    </w:rPr>
                    <w:t>不可利用废物外收支废品收购站，少量未收集与生活垃圾一起交由市政部门统一处理；废布袋有除尘器厂家检修后直接带走；铁屑及车间除尘器收尘和废钢铁集中收集后外售至废品回收站；废离子交换树脂</w:t>
                  </w:r>
                  <w:r>
                    <w:rPr>
                      <w:rFonts w:hint="default" w:eastAsia="宋体"/>
                      <w:b w:val="0"/>
                      <w:bCs w:val="0"/>
                      <w:color w:val="auto"/>
                      <w:szCs w:val="21"/>
                      <w:highlight w:val="none"/>
                      <w:lang w:val="en-US" w:eastAsia="zh-CN"/>
                    </w:rPr>
                    <w:t>更换后立即外运，不在锅炉房内存放，由厂家回收再生利用</w:t>
                  </w:r>
                  <w:r>
                    <w:rPr>
                      <w:rFonts w:hint="eastAsia"/>
                      <w:b w:val="0"/>
                      <w:bCs w:val="0"/>
                      <w:color w:val="auto"/>
                      <w:szCs w:val="21"/>
                      <w:highlight w:val="none"/>
                      <w:lang w:val="en-US" w:eastAsia="zh-CN"/>
                    </w:rPr>
                    <w:t>；</w:t>
                  </w:r>
                  <w:r>
                    <w:rPr>
                      <w:rFonts w:hint="eastAsia" w:cs="Times New Roman"/>
                      <w:color w:val="auto"/>
                      <w:kern w:val="2"/>
                      <w:sz w:val="21"/>
                      <w:szCs w:val="24"/>
                      <w:highlight w:val="none"/>
                      <w:lang w:val="en-US" w:eastAsia="zh-CN" w:bidi="ar-SA"/>
                    </w:rPr>
                    <w:t>锅炉除尘灰和锅炉灰渣</w:t>
                  </w:r>
                  <w:r>
                    <w:rPr>
                      <w:rFonts w:hint="eastAsia" w:eastAsia="宋体"/>
                      <w:b w:val="0"/>
                      <w:bCs w:val="0"/>
                      <w:color w:val="auto"/>
                      <w:szCs w:val="21"/>
                      <w:highlight w:val="none"/>
                      <w:lang w:val="en-US" w:eastAsia="zh-CN"/>
                    </w:rPr>
                    <w:t>全部外售制肥综合利用</w:t>
                  </w:r>
                  <w:r>
                    <w:rPr>
                      <w:rFonts w:hint="eastAsia"/>
                      <w:b w:val="0"/>
                      <w:bCs w:val="0"/>
                      <w:color w:val="auto"/>
                      <w:szCs w:val="21"/>
                      <w:highlight w:val="none"/>
                      <w:lang w:val="en-US" w:eastAsia="zh-CN"/>
                    </w:rPr>
                    <w:t>；</w:t>
                  </w:r>
                  <w:r>
                    <w:rPr>
                      <w:rFonts w:hint="eastAsia" w:cs="Times New Roman"/>
                      <w:color w:val="auto"/>
                      <w:highlight w:val="none"/>
                      <w:lang w:val="en-US" w:eastAsia="zh-CN"/>
                    </w:rPr>
                    <w:t>废铅酸蓄电池、废油液及油泥、含油抹布及手套、废活性炭、</w:t>
                  </w:r>
                  <w:r>
                    <w:rPr>
                      <w:rFonts w:hint="eastAsia" w:cs="Times New Roman"/>
                      <w:color w:val="auto"/>
                      <w:kern w:val="2"/>
                      <w:sz w:val="21"/>
                      <w:szCs w:val="24"/>
                      <w:highlight w:val="none"/>
                      <w:lang w:val="en-US" w:eastAsia="zh-CN" w:bidi="ar-SA"/>
                    </w:rPr>
                    <w:t>废防冻液、废电路板</w:t>
                  </w:r>
                  <w:r>
                    <w:rPr>
                      <w:rFonts w:hint="default" w:cs="Times New Roman"/>
                      <w:color w:val="auto"/>
                      <w:kern w:val="0"/>
                      <w:sz w:val="21"/>
                      <w:szCs w:val="21"/>
                      <w:highlight w:val="none"/>
                      <w:lang w:val="en-US" w:eastAsia="zh-CN" w:bidi="ar-SA"/>
                    </w:rPr>
                    <w:t>暂存于</w:t>
                  </w:r>
                  <w:r>
                    <w:rPr>
                      <w:rFonts w:hint="eastAsia" w:cs="Times New Roman"/>
                      <w:color w:val="auto"/>
                      <w:kern w:val="0"/>
                      <w:sz w:val="21"/>
                      <w:szCs w:val="21"/>
                      <w:highlight w:val="none"/>
                      <w:lang w:val="en-US" w:eastAsia="zh-CN" w:bidi="ar-SA"/>
                    </w:rPr>
                    <w:t>危废贮存点</w:t>
                  </w:r>
                  <w:r>
                    <w:rPr>
                      <w:rFonts w:hint="default" w:cs="Times New Roman"/>
                      <w:color w:val="auto"/>
                      <w:kern w:val="0"/>
                      <w:sz w:val="21"/>
                      <w:szCs w:val="21"/>
                      <w:highlight w:val="none"/>
                      <w:lang w:val="en-US" w:eastAsia="zh-CN" w:bidi="ar-SA"/>
                    </w:rPr>
                    <w:t>，交由有危险废物处置资质单位处置</w:t>
                  </w:r>
                </w:p>
              </w:tc>
              <w:tc>
                <w:tcPr>
                  <w:tcW w:w="681" w:type="pct"/>
                  <w:vAlign w:val="center"/>
                </w:tcPr>
                <w:p w14:paraId="0FED69E1">
                  <w:pPr>
                    <w:pStyle w:val="110"/>
                    <w:keepNext w:val="0"/>
                    <w:keepLines w:val="0"/>
                    <w:suppressLineNumbers w:val="0"/>
                    <w:spacing w:before="0" w:beforeAutospacing="0" w:after="0" w:afterAutospacing="0"/>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10</w:t>
                  </w:r>
                </w:p>
              </w:tc>
            </w:tr>
            <w:tr w14:paraId="721069D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4" w:hRule="atLeast"/>
                <w:jc w:val="center"/>
              </w:trPr>
              <w:tc>
                <w:tcPr>
                  <w:tcW w:w="349" w:type="pct"/>
                  <w:vMerge w:val="continue"/>
                  <w:tcBorders>
                    <w:right w:val="single" w:color="auto" w:sz="4" w:space="0"/>
                  </w:tcBorders>
                  <w:vAlign w:val="center"/>
                </w:tcPr>
                <w:p w14:paraId="75FE113C">
                  <w:pPr>
                    <w:pStyle w:val="110"/>
                    <w:keepNext w:val="0"/>
                    <w:keepLines w:val="0"/>
                    <w:suppressLineNumbers w:val="0"/>
                    <w:spacing w:before="0" w:beforeAutospacing="0" w:after="0" w:afterAutospacing="0"/>
                    <w:ind w:left="0" w:right="0"/>
                    <w:jc w:val="center"/>
                    <w:rPr>
                      <w:rFonts w:hint="default" w:eastAsia="宋体"/>
                      <w:color w:val="auto"/>
                      <w:sz w:val="21"/>
                      <w:szCs w:val="21"/>
                      <w:highlight w:val="none"/>
                    </w:rPr>
                  </w:pPr>
                </w:p>
              </w:tc>
              <w:tc>
                <w:tcPr>
                  <w:tcW w:w="1138" w:type="pct"/>
                  <w:tcBorders>
                    <w:left w:val="single" w:color="auto" w:sz="4" w:space="0"/>
                  </w:tcBorders>
                  <w:vAlign w:val="center"/>
                </w:tcPr>
                <w:p w14:paraId="49C18C54">
                  <w:pPr>
                    <w:pStyle w:val="110"/>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地下水和土壤防治</w:t>
                  </w:r>
                </w:p>
              </w:tc>
              <w:tc>
                <w:tcPr>
                  <w:tcW w:w="2830" w:type="pct"/>
                  <w:gridSpan w:val="2"/>
                  <w:vAlign w:val="center"/>
                </w:tcPr>
                <w:p w14:paraId="1BBBFF2C">
                  <w:pPr>
                    <w:pStyle w:val="110"/>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highlight w:val="none"/>
                      <w:lang w:val="en-US" w:eastAsia="zh-CN"/>
                    </w:rPr>
                    <w:t>危废贮存点</w:t>
                  </w:r>
                  <w:r>
                    <w:rPr>
                      <w:rFonts w:hint="eastAsia" w:ascii="Times New Roman" w:hAnsi="Times New Roman" w:eastAsia="宋体" w:cs="Times New Roman"/>
                      <w:color w:val="auto"/>
                      <w:highlight w:val="none"/>
                      <w:lang w:val="en-US" w:eastAsia="zh-CN"/>
                    </w:rPr>
                    <w:t>防渗要求按照《危险废物贮存污染控制标准》（GB18597-2023）的要求执行，为重点防渗区，基础敷设2mm厚的高密度聚乙烯防水层，上部敷设10cm厚水泥层，表面铺设防水树脂层，渗透系数≤10</w:t>
                  </w:r>
                  <w:r>
                    <w:rPr>
                      <w:rFonts w:hint="eastAsia" w:ascii="Times New Roman" w:hAnsi="Times New Roman" w:eastAsia="宋体" w:cs="Times New Roman"/>
                      <w:color w:val="auto"/>
                      <w:highlight w:val="none"/>
                      <w:vertAlign w:val="superscript"/>
                      <w:lang w:val="en-US" w:eastAsia="zh-CN"/>
                    </w:rPr>
                    <w:t>-10</w:t>
                  </w:r>
                  <w:r>
                    <w:rPr>
                      <w:rFonts w:hint="eastAsia" w:ascii="Times New Roman" w:hAnsi="Times New Roman" w:eastAsia="宋体" w:cs="Times New Roman"/>
                      <w:color w:val="auto"/>
                      <w:highlight w:val="none"/>
                      <w:lang w:val="en-US" w:eastAsia="zh-CN"/>
                    </w:rPr>
                    <w:t>cm/s。</w:t>
                  </w:r>
                  <w:r>
                    <w:rPr>
                      <w:rFonts w:hint="eastAsia" w:cs="Times New Roman"/>
                      <w:color w:val="auto"/>
                      <w:highlight w:val="none"/>
                      <w:lang w:val="en-US" w:eastAsia="zh-CN"/>
                    </w:rPr>
                    <w:t>待拆车辆暂存区、初期雨水收集池和拆解车间</w:t>
                  </w:r>
                  <w:r>
                    <w:rPr>
                      <w:rFonts w:hint="eastAsia" w:ascii="Times New Roman" w:hAnsi="Times New Roman" w:eastAsia="宋体" w:cs="Times New Roman"/>
                      <w:color w:val="auto"/>
                      <w:highlight w:val="none"/>
                      <w:lang w:val="en-US" w:eastAsia="zh-CN"/>
                    </w:rPr>
                    <w:t>满足《环境影响评价技术导则 地下水环境》（HJ610-2016）表7中</w:t>
                  </w:r>
                  <w:r>
                    <w:rPr>
                      <w:rFonts w:hint="eastAsia" w:cs="Times New Roman"/>
                      <w:color w:val="auto"/>
                      <w:highlight w:val="none"/>
                      <w:lang w:val="en-US" w:eastAsia="zh-CN"/>
                    </w:rPr>
                    <w:t>重点</w:t>
                  </w:r>
                  <w:r>
                    <w:rPr>
                      <w:rFonts w:hint="eastAsia" w:ascii="Times New Roman" w:hAnsi="Times New Roman" w:eastAsia="宋体" w:cs="Times New Roman"/>
                      <w:color w:val="auto"/>
                      <w:highlight w:val="none"/>
                      <w:lang w:val="en-US" w:eastAsia="zh-CN"/>
                    </w:rPr>
                    <w:t>防渗区防渗技术要求（等效黏土防渗层Mb≥</w:t>
                  </w:r>
                  <w:r>
                    <w:rPr>
                      <w:rFonts w:hint="eastAsia" w:cs="Times New Roman"/>
                      <w:color w:val="auto"/>
                      <w:highlight w:val="none"/>
                      <w:lang w:val="en-US" w:eastAsia="zh-CN"/>
                    </w:rPr>
                    <w:t>6.0</w:t>
                  </w:r>
                  <w:r>
                    <w:rPr>
                      <w:rFonts w:hint="eastAsia" w:ascii="Times New Roman" w:hAnsi="Times New Roman" w:eastAsia="宋体" w:cs="Times New Roman"/>
                      <w:color w:val="auto"/>
                      <w:highlight w:val="none"/>
                      <w:lang w:val="en-US" w:eastAsia="zh-CN"/>
                    </w:rPr>
                    <w:t>m，渗透系数≤10</w:t>
                  </w:r>
                  <w:r>
                    <w:rPr>
                      <w:rFonts w:hint="eastAsia" w:ascii="Times New Roman" w:hAnsi="Times New Roman" w:eastAsia="宋体" w:cs="Times New Roman"/>
                      <w:color w:val="auto"/>
                      <w:highlight w:val="none"/>
                      <w:vertAlign w:val="superscript"/>
                      <w:lang w:val="en-US" w:eastAsia="zh-CN"/>
                    </w:rPr>
                    <w:t>-7</w:t>
                  </w:r>
                  <w:r>
                    <w:rPr>
                      <w:rFonts w:hint="eastAsia" w:ascii="Times New Roman" w:hAnsi="Times New Roman" w:eastAsia="宋体" w:cs="Times New Roman"/>
                      <w:color w:val="auto"/>
                      <w:highlight w:val="none"/>
                      <w:lang w:val="en-US" w:eastAsia="zh-CN"/>
                    </w:rPr>
                    <w:t>cm/s）。</w:t>
                  </w:r>
                  <w:r>
                    <w:rPr>
                      <w:rFonts w:hint="eastAsia" w:cs="Times New Roman"/>
                      <w:color w:val="auto"/>
                      <w:highlight w:val="none"/>
                      <w:lang w:val="en-US" w:eastAsia="zh-CN"/>
                    </w:rPr>
                    <w:t>废钢铁与废橡胶贮存库</w:t>
                  </w:r>
                  <w:r>
                    <w:rPr>
                      <w:rFonts w:hint="eastAsia" w:ascii="Times New Roman" w:hAnsi="Times New Roman" w:eastAsia="宋体" w:cs="Times New Roman"/>
                      <w:color w:val="auto"/>
                      <w:highlight w:val="none"/>
                      <w:lang w:val="en-US" w:eastAsia="zh-CN"/>
                    </w:rPr>
                    <w:t>所在区域，采用抗渗等级不低于P6级的抗渗混凝土，满足《环境影响评价技术导则 地下水环境》（HJ610-2016）表7中一般防渗区防渗技术要求（等效黏土防渗层Mb≥1.5m，渗透系数≤10</w:t>
                  </w:r>
                  <w:r>
                    <w:rPr>
                      <w:rFonts w:hint="eastAsia" w:ascii="Times New Roman" w:hAnsi="Times New Roman" w:eastAsia="宋体" w:cs="Times New Roman"/>
                      <w:color w:val="auto"/>
                      <w:highlight w:val="none"/>
                      <w:vertAlign w:val="superscript"/>
                      <w:lang w:val="en-US" w:eastAsia="zh-CN"/>
                    </w:rPr>
                    <w:t>-7</w:t>
                  </w:r>
                  <w:r>
                    <w:rPr>
                      <w:rFonts w:hint="eastAsia" w:ascii="Times New Roman" w:hAnsi="Times New Roman" w:eastAsia="宋体" w:cs="Times New Roman"/>
                      <w:color w:val="auto"/>
                      <w:highlight w:val="none"/>
                      <w:lang w:val="en-US" w:eastAsia="zh-CN"/>
                    </w:rPr>
                    <w:t>cm/s）。</w:t>
                  </w:r>
                  <w:r>
                    <w:rPr>
                      <w:rFonts w:hint="eastAsia" w:cs="Times New Roman"/>
                      <w:color w:val="auto"/>
                      <w:highlight w:val="none"/>
                      <w:lang w:val="en-US" w:eastAsia="zh-CN"/>
                    </w:rPr>
                    <w:t>其他区域采用水泥地面硬化。</w:t>
                  </w:r>
                </w:p>
              </w:tc>
              <w:tc>
                <w:tcPr>
                  <w:tcW w:w="681" w:type="pct"/>
                  <w:vAlign w:val="center"/>
                </w:tcPr>
                <w:p w14:paraId="4C18E1AB">
                  <w:pPr>
                    <w:pStyle w:val="110"/>
                    <w:keepNext w:val="0"/>
                    <w:keepLines w:val="0"/>
                    <w:suppressLineNumbers w:val="0"/>
                    <w:spacing w:before="0" w:beforeAutospacing="0" w:after="0" w:afterAutospacing="0"/>
                    <w:ind w:left="0" w:right="0"/>
                    <w:jc w:val="center"/>
                    <w:rPr>
                      <w:rFonts w:hint="default"/>
                      <w:color w:val="auto"/>
                      <w:sz w:val="21"/>
                      <w:szCs w:val="21"/>
                      <w:highlight w:val="none"/>
                      <w:lang w:val="en-US" w:eastAsia="zh-CN"/>
                    </w:rPr>
                  </w:pPr>
                  <w:r>
                    <w:rPr>
                      <w:rFonts w:hint="eastAsia"/>
                      <w:color w:val="auto"/>
                      <w:sz w:val="21"/>
                      <w:szCs w:val="21"/>
                      <w:highlight w:val="none"/>
                      <w:lang w:val="en-US" w:eastAsia="zh-CN"/>
                    </w:rPr>
                    <w:t>20</w:t>
                  </w:r>
                </w:p>
              </w:tc>
            </w:tr>
            <w:tr w14:paraId="19D8A69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49" w:type="pct"/>
                  <w:vMerge w:val="continue"/>
                  <w:tcBorders>
                    <w:right w:val="single" w:color="auto" w:sz="4" w:space="0"/>
                  </w:tcBorders>
                  <w:vAlign w:val="center"/>
                </w:tcPr>
                <w:p w14:paraId="7B9630EA">
                  <w:pPr>
                    <w:pStyle w:val="110"/>
                    <w:keepNext w:val="0"/>
                    <w:keepLines w:val="0"/>
                    <w:suppressLineNumbers w:val="0"/>
                    <w:spacing w:before="0" w:beforeAutospacing="0" w:after="0" w:afterAutospacing="0"/>
                    <w:ind w:left="0" w:right="0"/>
                    <w:jc w:val="center"/>
                    <w:rPr>
                      <w:rFonts w:hint="default" w:eastAsia="宋体"/>
                      <w:color w:val="auto"/>
                      <w:sz w:val="21"/>
                      <w:szCs w:val="21"/>
                      <w:highlight w:val="none"/>
                    </w:rPr>
                  </w:pPr>
                </w:p>
              </w:tc>
              <w:tc>
                <w:tcPr>
                  <w:tcW w:w="1138" w:type="pct"/>
                  <w:tcBorders>
                    <w:left w:val="single" w:color="auto" w:sz="4" w:space="0"/>
                  </w:tcBorders>
                  <w:vAlign w:val="center"/>
                </w:tcPr>
                <w:p w14:paraId="1FA5FF7B">
                  <w:pPr>
                    <w:pStyle w:val="110"/>
                    <w:keepNext w:val="0"/>
                    <w:keepLines w:val="0"/>
                    <w:suppressLineNumbers w:val="0"/>
                    <w:spacing w:before="0" w:beforeAutospacing="0" w:after="0" w:afterAutospacing="0"/>
                    <w:ind w:left="0" w:right="0"/>
                    <w:jc w:val="center"/>
                    <w:rPr>
                      <w:rFonts w:hint="default" w:eastAsia="宋体"/>
                      <w:color w:val="auto"/>
                      <w:sz w:val="21"/>
                      <w:szCs w:val="21"/>
                      <w:highlight w:val="none"/>
                    </w:rPr>
                  </w:pPr>
                  <w:r>
                    <w:rPr>
                      <w:rFonts w:hint="default" w:eastAsia="宋体"/>
                      <w:color w:val="auto"/>
                      <w:sz w:val="21"/>
                      <w:szCs w:val="21"/>
                      <w:highlight w:val="none"/>
                    </w:rPr>
                    <w:t>监测、运行维护费用</w:t>
                  </w:r>
                </w:p>
              </w:tc>
              <w:tc>
                <w:tcPr>
                  <w:tcW w:w="2830" w:type="pct"/>
                  <w:gridSpan w:val="2"/>
                  <w:vAlign w:val="center"/>
                </w:tcPr>
                <w:p w14:paraId="2EF4CEDF">
                  <w:pPr>
                    <w:pStyle w:val="110"/>
                    <w:keepNext w:val="0"/>
                    <w:keepLines w:val="0"/>
                    <w:suppressLineNumbers w:val="0"/>
                    <w:spacing w:before="0" w:beforeAutospacing="0" w:after="0" w:afterAutospacing="0"/>
                    <w:ind w:left="0" w:right="0"/>
                    <w:jc w:val="center"/>
                    <w:rPr>
                      <w:rFonts w:hint="default" w:eastAsia="宋体"/>
                      <w:color w:val="auto"/>
                      <w:sz w:val="21"/>
                      <w:szCs w:val="21"/>
                      <w:highlight w:val="none"/>
                      <w:lang w:val="en-US" w:eastAsia="zh-CN"/>
                    </w:rPr>
                  </w:pPr>
                  <w:r>
                    <w:rPr>
                      <w:rFonts w:hint="default" w:eastAsia="宋体"/>
                      <w:color w:val="auto"/>
                      <w:sz w:val="21"/>
                      <w:szCs w:val="21"/>
                      <w:highlight w:val="none"/>
                    </w:rPr>
                    <w:t>环境保护措施和设施的运行维护费用、</w:t>
                  </w:r>
                  <w:r>
                    <w:rPr>
                      <w:rFonts w:hint="eastAsia"/>
                      <w:color w:val="auto"/>
                      <w:sz w:val="21"/>
                      <w:szCs w:val="21"/>
                      <w:highlight w:val="none"/>
                      <w:lang w:val="en-US" w:eastAsia="zh-CN"/>
                    </w:rPr>
                    <w:t>例行监测</w:t>
                  </w:r>
                </w:p>
              </w:tc>
              <w:tc>
                <w:tcPr>
                  <w:tcW w:w="681" w:type="pct"/>
                  <w:vAlign w:val="center"/>
                </w:tcPr>
                <w:p w14:paraId="42BA6D17">
                  <w:pPr>
                    <w:pStyle w:val="110"/>
                    <w:keepNext w:val="0"/>
                    <w:keepLines w:val="0"/>
                    <w:suppressLineNumbers w:val="0"/>
                    <w:spacing w:before="0" w:beforeAutospacing="0" w:after="0" w:afterAutospacing="0"/>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13</w:t>
                  </w:r>
                </w:p>
              </w:tc>
            </w:tr>
            <w:tr w14:paraId="7A22CA0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318" w:type="pct"/>
                  <w:gridSpan w:val="4"/>
                  <w:vAlign w:val="center"/>
                </w:tcPr>
                <w:p w14:paraId="402C82AC">
                  <w:pPr>
                    <w:pStyle w:val="110"/>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合计</w:t>
                  </w:r>
                </w:p>
              </w:tc>
              <w:tc>
                <w:tcPr>
                  <w:tcW w:w="681" w:type="pct"/>
                  <w:vAlign w:val="center"/>
                </w:tcPr>
                <w:p w14:paraId="046BE29B">
                  <w:pPr>
                    <w:pStyle w:val="110"/>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133</w:t>
                  </w:r>
                </w:p>
              </w:tc>
            </w:tr>
            <w:tr w14:paraId="785AAA3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318" w:type="pct"/>
                  <w:gridSpan w:val="4"/>
                  <w:vAlign w:val="center"/>
                </w:tcPr>
                <w:p w14:paraId="5F49A8A7">
                  <w:pPr>
                    <w:pStyle w:val="110"/>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总投资</w:t>
                  </w:r>
                </w:p>
              </w:tc>
              <w:tc>
                <w:tcPr>
                  <w:tcW w:w="681" w:type="pct"/>
                  <w:vAlign w:val="center"/>
                </w:tcPr>
                <w:p w14:paraId="0C7F92F8">
                  <w:pPr>
                    <w:pStyle w:val="110"/>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500</w:t>
                  </w:r>
                </w:p>
              </w:tc>
            </w:tr>
            <w:tr w14:paraId="06267ED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318" w:type="pct"/>
                  <w:gridSpan w:val="4"/>
                  <w:vAlign w:val="center"/>
                </w:tcPr>
                <w:p w14:paraId="17AE2F02">
                  <w:pPr>
                    <w:pStyle w:val="110"/>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环保投资比</w:t>
                  </w:r>
                </w:p>
              </w:tc>
              <w:tc>
                <w:tcPr>
                  <w:tcW w:w="681" w:type="pct"/>
                  <w:vAlign w:val="center"/>
                </w:tcPr>
                <w:p w14:paraId="142960FA">
                  <w:pPr>
                    <w:pStyle w:val="110"/>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26.6</w:t>
                  </w:r>
                </w:p>
              </w:tc>
            </w:tr>
          </w:tbl>
          <w:p w14:paraId="7A223059">
            <w:pPr>
              <w:pStyle w:val="29"/>
              <w:keepNext w:val="0"/>
              <w:keepLines w:val="0"/>
              <w:suppressLineNumbers w:val="0"/>
              <w:adjustRightInd w:val="0"/>
              <w:snapToGrid w:val="0"/>
              <w:spacing w:before="0" w:beforeAutospacing="0" w:after="0" w:afterAutospacing="0" w:line="360" w:lineRule="auto"/>
              <w:ind w:left="0" w:right="0" w:firstLine="482" w:firstLineChars="200"/>
              <w:rPr>
                <w:rFonts w:hint="default" w:eastAsia="宋体"/>
                <w:b/>
                <w:bCs/>
                <w:color w:val="auto"/>
                <w:sz w:val="24"/>
                <w:highlight w:val="none"/>
              </w:rPr>
            </w:pPr>
            <w:r>
              <w:rPr>
                <w:rFonts w:hint="eastAsia"/>
                <w:b/>
                <w:bCs/>
                <w:color w:val="auto"/>
                <w:sz w:val="24"/>
                <w:highlight w:val="none"/>
                <w:lang w:val="en-US" w:eastAsia="zh-CN"/>
              </w:rPr>
              <w:t>9、</w:t>
            </w:r>
            <w:r>
              <w:rPr>
                <w:rFonts w:hint="default" w:eastAsia="宋体"/>
                <w:b/>
                <w:bCs/>
                <w:color w:val="auto"/>
                <w:sz w:val="24"/>
                <w:highlight w:val="none"/>
              </w:rPr>
              <w:t>劳动定员与工作制</w:t>
            </w:r>
          </w:p>
          <w:p w14:paraId="14F2E513">
            <w:pPr>
              <w:keepNext w:val="0"/>
              <w:keepLines w:val="0"/>
              <w:suppressLineNumbers w:val="0"/>
              <w:adjustRightInd w:val="0"/>
              <w:snapToGrid w:val="0"/>
              <w:spacing w:before="0" w:beforeAutospacing="0" w:after="0" w:afterAutospacing="0" w:line="360" w:lineRule="auto"/>
              <w:ind w:left="0" w:right="0" w:firstLine="480" w:firstLineChars="200"/>
              <w:rPr>
                <w:rFonts w:hint="default" w:eastAsia="宋体"/>
                <w:color w:val="auto"/>
                <w:sz w:val="24"/>
                <w:highlight w:val="none"/>
              </w:rPr>
            </w:pPr>
            <w:r>
              <w:rPr>
                <w:rFonts w:hint="default" w:ascii="Times New Roman" w:hAnsi="Times New Roman" w:eastAsia="宋体" w:cs="Times New Roman"/>
                <w:color w:val="auto"/>
                <w:sz w:val="24"/>
                <w:highlight w:val="none"/>
                <w:lang w:val="en-US" w:eastAsia="zh-CN"/>
              </w:rPr>
              <w:t>本项目员工人数</w:t>
            </w:r>
            <w:r>
              <w:rPr>
                <w:rFonts w:hint="eastAsia" w:cs="Times New Roman"/>
                <w:color w:val="auto"/>
                <w:sz w:val="24"/>
                <w:highlight w:val="none"/>
                <w:lang w:val="en-US" w:eastAsia="zh-CN"/>
              </w:rPr>
              <w:t>11</w:t>
            </w:r>
            <w:r>
              <w:rPr>
                <w:rFonts w:hint="default" w:ascii="Times New Roman" w:hAnsi="Times New Roman" w:eastAsia="宋体" w:cs="Times New Roman"/>
                <w:color w:val="auto"/>
                <w:sz w:val="24"/>
                <w:highlight w:val="none"/>
                <w:lang w:val="en-US" w:eastAsia="zh-CN"/>
              </w:rPr>
              <w:t>人，</w:t>
            </w:r>
            <w:r>
              <w:rPr>
                <w:rFonts w:hint="eastAsia" w:cs="Times New Roman"/>
                <w:color w:val="auto"/>
                <w:sz w:val="24"/>
                <w:highlight w:val="none"/>
                <w:lang w:val="en-US" w:eastAsia="zh-CN"/>
              </w:rPr>
              <w:t>一</w:t>
            </w:r>
            <w:r>
              <w:rPr>
                <w:rFonts w:hint="default" w:ascii="Times New Roman" w:hAnsi="Times New Roman" w:eastAsia="宋体" w:cs="Times New Roman"/>
                <w:color w:val="auto"/>
                <w:sz w:val="24"/>
                <w:highlight w:val="none"/>
                <w:lang w:val="en-US" w:eastAsia="zh-CN"/>
              </w:rPr>
              <w:t>班制，每班</w:t>
            </w:r>
            <w:r>
              <w:rPr>
                <w:rFonts w:hint="eastAsia" w:cs="Times New Roman"/>
                <w:color w:val="auto"/>
                <w:sz w:val="24"/>
                <w:highlight w:val="none"/>
                <w:lang w:val="en-US" w:eastAsia="zh-CN"/>
              </w:rPr>
              <w:t>8</w:t>
            </w:r>
            <w:r>
              <w:rPr>
                <w:rFonts w:hint="default" w:ascii="Times New Roman" w:hAnsi="Times New Roman" w:eastAsia="宋体" w:cs="Times New Roman"/>
                <w:color w:val="auto"/>
                <w:sz w:val="24"/>
                <w:highlight w:val="none"/>
                <w:lang w:val="en-US" w:eastAsia="zh-CN"/>
              </w:rPr>
              <w:t>小时，</w:t>
            </w:r>
            <w:r>
              <w:rPr>
                <w:rFonts w:hint="eastAsia" w:cs="Times New Roman"/>
                <w:color w:val="auto"/>
                <w:sz w:val="24"/>
                <w:highlight w:val="none"/>
                <w:lang w:val="en-US" w:eastAsia="zh-CN"/>
              </w:rPr>
              <w:t>生产</w:t>
            </w:r>
            <w:r>
              <w:rPr>
                <w:rFonts w:hint="default" w:ascii="Times New Roman" w:hAnsi="Times New Roman" w:eastAsia="宋体" w:cs="Times New Roman"/>
                <w:color w:val="auto"/>
                <w:sz w:val="24"/>
                <w:highlight w:val="none"/>
                <w:lang w:val="en-US" w:eastAsia="zh-CN"/>
              </w:rPr>
              <w:t>年工</w:t>
            </w:r>
            <w:r>
              <w:rPr>
                <w:rFonts w:hint="eastAsia" w:cs="Times New Roman"/>
                <w:color w:val="auto"/>
                <w:sz w:val="24"/>
                <w:highlight w:val="none"/>
                <w:lang w:val="en-US" w:eastAsia="zh-CN"/>
              </w:rPr>
              <w:t>作250</w:t>
            </w:r>
            <w:r>
              <w:rPr>
                <w:rFonts w:hint="default" w:ascii="Times New Roman" w:hAnsi="Times New Roman" w:eastAsia="宋体" w:cs="Times New Roman"/>
                <w:color w:val="auto"/>
                <w:sz w:val="24"/>
                <w:highlight w:val="none"/>
                <w:lang w:val="en-US" w:eastAsia="zh-CN"/>
              </w:rPr>
              <w:t>天</w:t>
            </w:r>
            <w:r>
              <w:rPr>
                <w:rFonts w:hint="eastAsia" w:cs="Times New Roman"/>
                <w:color w:val="auto"/>
                <w:sz w:val="24"/>
                <w:highlight w:val="none"/>
                <w:lang w:val="en-US" w:eastAsia="zh-CN"/>
              </w:rPr>
              <w:t>（全年），供暖期180天（10月至次年4月）</w:t>
            </w:r>
            <w:r>
              <w:rPr>
                <w:rFonts w:hint="eastAsia" w:cs="Times New Roman"/>
                <w:color w:val="auto"/>
                <w:sz w:val="24"/>
                <w:highlight w:val="none"/>
                <w:lang w:val="en-US" w:eastAsia="zh-CN"/>
              </w:rPr>
              <w:t>，本项目不设有食堂和员工宿舍</w:t>
            </w:r>
            <w:r>
              <w:rPr>
                <w:rFonts w:hint="default" w:ascii="Times New Roman" w:hAnsi="Times New Roman" w:eastAsia="宋体" w:cs="Times New Roman"/>
                <w:color w:val="auto"/>
                <w:sz w:val="24"/>
                <w:highlight w:val="none"/>
                <w:lang w:val="en-US" w:eastAsia="zh-CN"/>
              </w:rPr>
              <w:t>。</w:t>
            </w:r>
          </w:p>
          <w:p w14:paraId="25DA1A4F">
            <w:pPr>
              <w:pStyle w:val="29"/>
              <w:keepNext w:val="0"/>
              <w:keepLines w:val="0"/>
              <w:suppressLineNumbers w:val="0"/>
              <w:adjustRightInd w:val="0"/>
              <w:snapToGrid w:val="0"/>
              <w:spacing w:before="0" w:beforeAutospacing="0" w:after="0" w:afterAutospacing="0" w:line="360" w:lineRule="auto"/>
              <w:ind w:left="0" w:right="0" w:firstLine="482" w:firstLineChars="200"/>
              <w:rPr>
                <w:rFonts w:hint="default" w:eastAsia="宋体"/>
                <w:b/>
                <w:bCs/>
                <w:color w:val="auto"/>
                <w:sz w:val="24"/>
                <w:highlight w:val="none"/>
              </w:rPr>
            </w:pPr>
            <w:r>
              <w:rPr>
                <w:rFonts w:hint="eastAsia"/>
                <w:b/>
                <w:bCs/>
                <w:color w:val="auto"/>
                <w:sz w:val="24"/>
                <w:highlight w:val="none"/>
                <w:lang w:val="en-US" w:eastAsia="zh-CN"/>
              </w:rPr>
              <w:t>10、</w:t>
            </w:r>
            <w:r>
              <w:rPr>
                <w:rFonts w:hint="default" w:eastAsia="宋体"/>
                <w:b/>
                <w:bCs/>
                <w:color w:val="auto"/>
                <w:sz w:val="24"/>
                <w:highlight w:val="none"/>
              </w:rPr>
              <w:t>总平面布置</w:t>
            </w:r>
          </w:p>
          <w:p w14:paraId="59AF39AC">
            <w:pPr>
              <w:pStyle w:val="29"/>
              <w:keepNext w:val="0"/>
              <w:keepLines w:val="0"/>
              <w:suppressLineNumbers w:val="0"/>
              <w:adjustRightInd w:val="0"/>
              <w:snapToGrid w:val="0"/>
              <w:spacing w:before="0" w:beforeAutospacing="0" w:after="0" w:afterAutospacing="0" w:line="360" w:lineRule="auto"/>
              <w:ind w:left="0" w:right="0" w:firstLine="480" w:firstLineChars="200"/>
              <w:rPr>
                <w:rFonts w:hint="default" w:eastAsia="宋体"/>
                <w:color w:val="auto"/>
                <w:sz w:val="24"/>
                <w:highlight w:val="none"/>
              </w:rPr>
            </w:pPr>
            <w:r>
              <w:rPr>
                <w:rFonts w:hint="default" w:eastAsia="宋体"/>
                <w:color w:val="auto"/>
                <w:sz w:val="24"/>
                <w:highlight w:val="none"/>
              </w:rPr>
              <w:t>本项目</w:t>
            </w:r>
            <w:r>
              <w:rPr>
                <w:rFonts w:hint="eastAsia" w:ascii="Times New Roman" w:hAnsi="Times New Roman" w:eastAsia="宋体"/>
                <w:color w:val="auto"/>
                <w:spacing w:val="4"/>
                <w:sz w:val="24"/>
                <w:highlight w:val="none"/>
              </w:rPr>
              <w:t>占地面积</w:t>
            </w:r>
            <w:r>
              <w:rPr>
                <w:rFonts w:hint="eastAsia" w:cs="Times New Roman"/>
                <w:color w:val="auto"/>
                <w:spacing w:val="4"/>
                <w:sz w:val="24"/>
                <w:highlight w:val="none"/>
                <w:lang w:val="en-US" w:eastAsia="zh-CN"/>
              </w:rPr>
              <w:t>5100</w:t>
            </w:r>
            <w:r>
              <w:rPr>
                <w:rFonts w:hint="default" w:ascii="Times New Roman" w:hAnsi="Times New Roman" w:eastAsia="宋体" w:cs="Times New Roman"/>
                <w:color w:val="auto"/>
                <w:spacing w:val="4"/>
                <w:sz w:val="24"/>
                <w:highlight w:val="none"/>
              </w:rPr>
              <w:t>m</w:t>
            </w:r>
            <w:r>
              <w:rPr>
                <w:rFonts w:hint="default" w:ascii="Times New Roman" w:hAnsi="Times New Roman" w:eastAsia="宋体" w:cs="Times New Roman"/>
                <w:color w:val="auto"/>
                <w:spacing w:val="4"/>
                <w:sz w:val="24"/>
                <w:highlight w:val="none"/>
                <w:vertAlign w:val="superscript"/>
              </w:rPr>
              <w:t>2</w:t>
            </w:r>
            <w:r>
              <w:rPr>
                <w:rFonts w:hint="default" w:eastAsia="宋体"/>
                <w:color w:val="auto"/>
                <w:sz w:val="24"/>
                <w:highlight w:val="none"/>
              </w:rPr>
              <w:t>。</w:t>
            </w:r>
            <w:r>
              <w:rPr>
                <w:rFonts w:hint="eastAsia"/>
                <w:color w:val="auto"/>
                <w:sz w:val="24"/>
                <w:highlight w:val="none"/>
                <w:lang w:val="en-US" w:eastAsia="zh-CN"/>
              </w:rPr>
              <w:t>燃料、灰渣库位于厂区西北侧，锅炉房位于燃料、灰渣库南侧，拆解车间位于厂区西侧，危废贮存点位于拆解车间南侧，待拆车辆暂存区位于厂区南侧，废钢铁与废橡胶贮存库位于厂区东侧，</w:t>
            </w:r>
            <w:r>
              <w:rPr>
                <w:rFonts w:hint="default" w:eastAsia="宋体"/>
                <w:color w:val="auto"/>
                <w:sz w:val="24"/>
                <w:highlight w:val="none"/>
              </w:rPr>
              <w:t>本项目平面布置图见附图</w:t>
            </w:r>
            <w:r>
              <w:rPr>
                <w:rFonts w:hint="eastAsia"/>
                <w:color w:val="auto"/>
                <w:sz w:val="24"/>
                <w:highlight w:val="none"/>
                <w:lang w:val="en-US" w:eastAsia="zh-CN"/>
              </w:rPr>
              <w:t>2</w:t>
            </w:r>
            <w:r>
              <w:rPr>
                <w:rFonts w:hint="default" w:eastAsia="宋体"/>
                <w:color w:val="auto"/>
                <w:sz w:val="24"/>
                <w:highlight w:val="none"/>
              </w:rPr>
              <w:t>。</w:t>
            </w:r>
          </w:p>
          <w:p w14:paraId="5EDF921D">
            <w:pPr>
              <w:pStyle w:val="29"/>
              <w:keepNext w:val="0"/>
              <w:keepLines w:val="0"/>
              <w:suppressLineNumbers w:val="0"/>
              <w:adjustRightInd w:val="0"/>
              <w:snapToGrid w:val="0"/>
              <w:spacing w:before="0" w:beforeAutospacing="0" w:after="0" w:afterAutospacing="0" w:line="360" w:lineRule="auto"/>
              <w:ind w:left="0" w:right="0" w:firstLine="480" w:firstLineChars="200"/>
              <w:rPr>
                <w:rFonts w:hint="default" w:eastAsia="宋体"/>
                <w:color w:val="auto"/>
                <w:sz w:val="24"/>
                <w:highlight w:val="none"/>
              </w:rPr>
            </w:pPr>
            <w:r>
              <w:rPr>
                <w:rFonts w:hint="default" w:eastAsia="宋体"/>
                <w:color w:val="auto"/>
                <w:sz w:val="24"/>
                <w:highlight w:val="none"/>
              </w:rPr>
              <w:t>项目平面布置功能分区合理、布局紧凑，各个建筑物的布置均满足工艺需要。</w:t>
            </w:r>
          </w:p>
          <w:p w14:paraId="072F2518">
            <w:pPr>
              <w:pStyle w:val="29"/>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宋体"/>
                <w:bCs/>
                <w:color w:val="auto"/>
                <w:szCs w:val="21"/>
                <w:highlight w:val="none"/>
              </w:rPr>
            </w:pPr>
            <w:r>
              <w:rPr>
                <w:rFonts w:hint="default" w:eastAsia="宋体"/>
                <w:color w:val="auto"/>
                <w:sz w:val="24"/>
                <w:highlight w:val="none"/>
              </w:rPr>
              <w:t>项目所在地道路系统完善，有利于原料及产品的运输。因此，本项目平面布置合理。</w:t>
            </w:r>
          </w:p>
        </w:tc>
      </w:tr>
      <w:tr w14:paraId="27E5F1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6" w:hRule="atLeast"/>
          <w:jc w:val="center"/>
        </w:trPr>
        <w:tc>
          <w:tcPr>
            <w:tcW w:w="594" w:type="dxa"/>
            <w:vAlign w:val="center"/>
          </w:tcPr>
          <w:p w14:paraId="7DC8950D">
            <w:pPr>
              <w:pStyle w:val="8"/>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宋体"/>
                <w:color w:val="auto"/>
                <w:szCs w:val="24"/>
                <w:highlight w:val="none"/>
              </w:rPr>
            </w:pPr>
            <w:r>
              <w:rPr>
                <w:rFonts w:hint="eastAsia" w:ascii="Times New Roman" w:hAnsi="Times New Roman" w:eastAsia="宋体" w:cs="宋体"/>
                <w:bCs/>
                <w:color w:val="auto"/>
                <w:kern w:val="2"/>
                <w:sz w:val="21"/>
                <w:szCs w:val="21"/>
                <w:highlight w:val="none"/>
              </w:rPr>
              <w:t>工艺流程和产排污环节</w:t>
            </w:r>
          </w:p>
        </w:tc>
        <w:tc>
          <w:tcPr>
            <w:tcW w:w="8486" w:type="dxa"/>
          </w:tcPr>
          <w:p w14:paraId="4FC7A0BC">
            <w:pPr>
              <w:pStyle w:val="13"/>
              <w:keepNext w:val="0"/>
              <w:keepLines w:val="0"/>
              <w:suppressLineNumbers w:val="0"/>
              <w:spacing w:before="0" w:beforeAutospacing="0" w:after="0" w:afterAutospacing="0" w:line="360" w:lineRule="auto"/>
              <w:ind w:left="0" w:leftChars="0" w:right="0" w:firstLine="0" w:firstLineChars="0"/>
              <w:rPr>
                <w:rFonts w:hint="default" w:ascii="Times New Roman" w:hAnsi="Times New Roman" w:eastAsia="宋体" w:cs="Times New Roman"/>
                <w:b/>
                <w:bCs/>
                <w:color w:val="auto"/>
                <w:kern w:val="2"/>
                <w:sz w:val="24"/>
                <w:szCs w:val="20"/>
                <w:highlight w:val="none"/>
                <w:lang w:val="en-US" w:eastAsia="zh-CN" w:bidi="ar-SA"/>
              </w:rPr>
            </w:pPr>
            <w:bookmarkStart w:id="10" w:name="_Toc404437928"/>
            <w:bookmarkStart w:id="11" w:name="_Toc388882371"/>
            <w:bookmarkStart w:id="12" w:name="_Toc404437502"/>
            <w:bookmarkStart w:id="13" w:name="_Toc407620579"/>
            <w:bookmarkStart w:id="14" w:name="_Toc414816027"/>
            <w:r>
              <w:rPr>
                <w:rFonts w:hint="default" w:ascii="Times New Roman" w:hAnsi="Times New Roman" w:eastAsia="宋体" w:cs="Times New Roman"/>
                <w:b/>
                <w:bCs/>
                <w:color w:val="auto"/>
                <w:kern w:val="2"/>
                <w:sz w:val="24"/>
                <w:szCs w:val="20"/>
                <w:highlight w:val="none"/>
                <w:lang w:val="en-US" w:eastAsia="zh-CN" w:bidi="ar-SA"/>
              </w:rPr>
              <w:t>工艺流程简述：</w:t>
            </w:r>
          </w:p>
          <w:bookmarkEnd w:id="10"/>
          <w:bookmarkEnd w:id="11"/>
          <w:bookmarkEnd w:id="12"/>
          <w:bookmarkEnd w:id="13"/>
          <w:bookmarkEnd w:id="14"/>
          <w:p w14:paraId="0972C29D">
            <w:pPr>
              <w:pStyle w:val="14"/>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color w:val="auto"/>
                <w:sz w:val="24"/>
                <w:highlight w:val="none"/>
                <w:lang w:val="en-US" w:eastAsia="zh-CN"/>
              </w:rPr>
            </w:pPr>
            <w:bookmarkStart w:id="15" w:name="_Hlk84352697"/>
            <w:r>
              <w:rPr>
                <w:rFonts w:hint="eastAsia"/>
                <w:color w:val="auto"/>
                <w:sz w:val="24"/>
                <w:highlight w:val="none"/>
                <w:lang w:val="en-US" w:eastAsia="zh-CN"/>
              </w:rPr>
              <w:t>本项目为农机拆解项目，根据农机各部分的具体结构情况及拆解操作的方便程度，综合利用切割机、各种手工等进行拆解。</w:t>
            </w:r>
          </w:p>
          <w:p w14:paraId="3DF87E09">
            <w:pPr>
              <w:pStyle w:val="14"/>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color w:val="auto"/>
                <w:sz w:val="24"/>
                <w:highlight w:val="none"/>
                <w:lang w:val="en-US" w:eastAsia="zh-CN"/>
              </w:rPr>
            </w:pPr>
            <w:r>
              <w:rPr>
                <w:rFonts w:hint="eastAsia"/>
                <w:color w:val="auto"/>
                <w:sz w:val="24"/>
                <w:highlight w:val="none"/>
                <w:lang w:val="en-US" w:eastAsia="zh-CN"/>
              </w:rPr>
              <w:t>（1）农机入厂</w:t>
            </w:r>
          </w:p>
          <w:p w14:paraId="6441958E">
            <w:pPr>
              <w:pStyle w:val="14"/>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color w:val="auto"/>
                <w:sz w:val="24"/>
                <w:highlight w:val="none"/>
                <w:lang w:val="en-US" w:eastAsia="zh-CN"/>
              </w:rPr>
            </w:pPr>
            <w:r>
              <w:rPr>
                <w:rFonts w:hint="eastAsia"/>
                <w:color w:val="auto"/>
                <w:sz w:val="24"/>
                <w:highlight w:val="none"/>
                <w:lang w:val="en-US" w:eastAsia="zh-CN"/>
              </w:rPr>
              <w:t>将收购来的报废农机运至厂区，准备进行拆解工作。</w:t>
            </w:r>
          </w:p>
          <w:p w14:paraId="6FAC7F7A">
            <w:pPr>
              <w:pStyle w:val="14"/>
              <w:keepNext w:val="0"/>
              <w:keepLines w:val="0"/>
              <w:pageBreakBefore w:val="0"/>
              <w:widowControl w:val="0"/>
              <w:numPr>
                <w:ilvl w:val="0"/>
                <w:numId w:val="5"/>
              </w:numPr>
              <w:kinsoku/>
              <w:wordWrap/>
              <w:overflowPunct/>
              <w:topLinePunct w:val="0"/>
              <w:autoSpaceDE/>
              <w:autoSpaceDN/>
              <w:bidi w:val="0"/>
              <w:adjustRightInd w:val="0"/>
              <w:snapToGrid w:val="0"/>
              <w:spacing w:line="360" w:lineRule="auto"/>
              <w:ind w:left="0" w:leftChars="0" w:right="0" w:rightChars="0"/>
              <w:rPr>
                <w:rFonts w:hint="eastAsia"/>
                <w:color w:val="auto"/>
                <w:sz w:val="24"/>
                <w:highlight w:val="none"/>
                <w:lang w:val="en-US" w:eastAsia="zh-CN"/>
              </w:rPr>
            </w:pPr>
            <w:r>
              <w:rPr>
                <w:rFonts w:hint="eastAsia"/>
                <w:color w:val="auto"/>
                <w:sz w:val="24"/>
                <w:highlight w:val="none"/>
                <w:lang w:val="en-US" w:eastAsia="zh-CN"/>
              </w:rPr>
              <w:t>拆解前预预处理</w:t>
            </w:r>
          </w:p>
          <w:p w14:paraId="026B8503">
            <w:pPr>
              <w:pStyle w:val="14"/>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预拆解工作台位于拆解车间内，在正式拆解前，拆下蓄电池，放净发动机、变速箱总成的内部机油；油箱中如有残余燃油，放净回收，然后拆下油箱。预处理是为了保证安全拆解、防止污染，其中蓄电池仅拆下，不进行拆解。</w:t>
            </w:r>
          </w:p>
          <w:p w14:paraId="6C1E4459">
            <w:pPr>
              <w:pStyle w:val="14"/>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color w:val="auto"/>
                <w:sz w:val="24"/>
                <w:highlight w:val="none"/>
                <w:lang w:val="en-US" w:eastAsia="zh-CN"/>
              </w:rPr>
            </w:pPr>
            <w:r>
              <w:rPr>
                <w:rFonts w:hint="eastAsia"/>
                <w:color w:val="auto"/>
                <w:sz w:val="24"/>
                <w:highlight w:val="none"/>
                <w:lang w:val="en-US" w:eastAsia="zh-CN"/>
              </w:rPr>
              <w:t>（3）总成拆除</w:t>
            </w:r>
          </w:p>
          <w:p w14:paraId="7BA64D94">
            <w:pPr>
              <w:pStyle w:val="14"/>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color w:val="auto"/>
                <w:sz w:val="24"/>
                <w:highlight w:val="none"/>
                <w:lang w:val="en-US" w:eastAsia="zh-CN"/>
              </w:rPr>
            </w:pPr>
            <w:r>
              <w:rPr>
                <w:rFonts w:hint="eastAsia"/>
                <w:color w:val="auto"/>
                <w:sz w:val="24"/>
                <w:highlight w:val="none"/>
                <w:lang w:val="en-US" w:eastAsia="zh-CN"/>
              </w:rPr>
              <w:t>拆下发动机及变速箱等总成，并按《报废农业机械回收办法》对以上总成进行毁形（留证）、解体。从结构复杂性与操纵舒适性两方面来说，农业机械通常比汽车简单许多、操纵性能要求也低，故其总成数较少。</w:t>
            </w:r>
          </w:p>
          <w:p w14:paraId="1C4E906C">
            <w:pPr>
              <w:pStyle w:val="14"/>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color w:val="auto"/>
                <w:sz w:val="24"/>
                <w:highlight w:val="none"/>
                <w:lang w:val="en-US" w:eastAsia="zh-CN"/>
              </w:rPr>
            </w:pPr>
            <w:r>
              <w:rPr>
                <w:rFonts w:hint="eastAsia"/>
                <w:color w:val="auto"/>
                <w:sz w:val="24"/>
                <w:highlight w:val="none"/>
                <w:lang w:val="en-US" w:eastAsia="zh-CN"/>
              </w:rPr>
              <w:t>（4）机架解体</w:t>
            </w:r>
          </w:p>
          <w:p w14:paraId="3A8C241A">
            <w:pPr>
              <w:pStyle w:val="14"/>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color w:val="auto"/>
                <w:sz w:val="24"/>
                <w:highlight w:val="none"/>
                <w:lang w:val="en-US" w:eastAsia="zh-CN"/>
              </w:rPr>
            </w:pPr>
            <w:r>
              <w:rPr>
                <w:rFonts w:hint="eastAsia"/>
                <w:color w:val="auto"/>
                <w:sz w:val="24"/>
                <w:highlight w:val="none"/>
                <w:lang w:val="en-US" w:eastAsia="zh-CN"/>
              </w:rPr>
              <w:t>对拆除总成后的整体机架进行解体，主要在拆解车间进行，机架拆解以能对拆解物进行粗略归类为原则。视局部结构与可拆性的差异，对尺寸较大、或较占空间的拆解件，用切割机进行切断。对以上拆解物进行初步分类存放，外售综合利用，拆解物分为金属与非金属两大类。金属类包括废钢材等有色金属，非金属类有橡胶（主要是废履带橡胶板、废旧轮胎）、塑料外壳。</w:t>
            </w:r>
          </w:p>
          <w:p w14:paraId="07208940">
            <w:pPr>
              <w:pStyle w:val="14"/>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drawing>
                <wp:inline distT="0" distB="0" distL="114300" distR="114300">
                  <wp:extent cx="5248275" cy="3477895"/>
                  <wp:effectExtent l="0" t="0" r="9525" b="8255"/>
                  <wp:docPr id="54" name="图片 54" descr="工艺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工艺流程图"/>
                          <pic:cNvPicPr>
                            <a:picLocks noChangeAspect="1"/>
                          </pic:cNvPicPr>
                        </pic:nvPicPr>
                        <pic:blipFill>
                          <a:blip r:embed="rId12"/>
                          <a:stretch>
                            <a:fillRect/>
                          </a:stretch>
                        </pic:blipFill>
                        <pic:spPr>
                          <a:xfrm>
                            <a:off x="0" y="0"/>
                            <a:ext cx="5248275" cy="3477895"/>
                          </a:xfrm>
                          <a:prstGeom prst="rect">
                            <a:avLst/>
                          </a:prstGeom>
                        </pic:spPr>
                      </pic:pic>
                    </a:graphicData>
                  </a:graphic>
                </wp:inline>
              </w:drawing>
            </w:r>
          </w:p>
          <w:p w14:paraId="634CB1B6">
            <w:pPr>
              <w:keepNext w:val="0"/>
              <w:keepLines w:val="0"/>
              <w:suppressLineNumbers w:val="0"/>
              <w:adjustRightInd w:val="0"/>
              <w:snapToGrid w:val="0"/>
              <w:spacing w:before="0" w:beforeAutospacing="0" w:after="0" w:afterAutospacing="0" w:line="240" w:lineRule="auto"/>
              <w:ind w:right="0"/>
              <w:jc w:val="center"/>
              <w:rPr>
                <w:rFonts w:hint="default"/>
                <w:b/>
                <w:color w:val="auto"/>
                <w:sz w:val="21"/>
                <w:szCs w:val="21"/>
                <w:highlight w:val="none"/>
                <w:lang w:val="en-US" w:eastAsia="zh-CN"/>
              </w:rPr>
            </w:pPr>
            <w:r>
              <w:rPr>
                <w:rFonts w:hint="eastAsia"/>
                <w:b/>
                <w:color w:val="auto"/>
                <w:sz w:val="21"/>
                <w:szCs w:val="21"/>
                <w:highlight w:val="none"/>
                <w:lang w:val="en-US" w:eastAsia="zh-CN"/>
              </w:rPr>
              <w:t>图2-3  工艺流程图</w:t>
            </w:r>
          </w:p>
          <w:p w14:paraId="24C72E8F">
            <w:pPr>
              <w:pStyle w:val="14"/>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w:t>
            </w:r>
            <w:r>
              <w:rPr>
                <w:rFonts w:hint="default" w:ascii="Times New Roman" w:hAnsi="Times New Roman" w:eastAsia="宋体" w:cs="Times New Roman"/>
                <w:color w:val="auto"/>
                <w:sz w:val="24"/>
                <w:highlight w:val="none"/>
                <w:lang w:val="en-US" w:eastAsia="zh-CN"/>
              </w:rPr>
              <w:t>生产过程中污染物产生环节见表2</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8</w:t>
            </w:r>
            <w:r>
              <w:rPr>
                <w:rFonts w:hint="default" w:ascii="Times New Roman" w:hAnsi="Times New Roman" w:eastAsia="宋体" w:cs="Times New Roman"/>
                <w:color w:val="auto"/>
                <w:sz w:val="24"/>
                <w:highlight w:val="none"/>
                <w:lang w:val="en-US" w:eastAsia="zh-CN"/>
              </w:rPr>
              <w:t>。</w:t>
            </w:r>
          </w:p>
          <w:bookmarkEnd w:id="15"/>
          <w:p w14:paraId="09957E3D">
            <w:pPr>
              <w:pStyle w:val="112"/>
              <w:keepNext w:val="0"/>
              <w:keepLines w:val="0"/>
              <w:suppressLineNumbers w:val="0"/>
              <w:adjustRightInd w:val="0"/>
              <w:snapToGrid w:val="0"/>
              <w:spacing w:before="0" w:beforeAutospacing="0" w:after="0" w:afterAutospacing="0" w:line="360" w:lineRule="exact"/>
              <w:ind w:left="0" w:right="0"/>
              <w:rPr>
                <w:rFonts w:hint="default" w:ascii="Times New Roman" w:hAnsi="Times New Roman" w:eastAsia="宋体" w:cs="Times New Roman"/>
                <w:b/>
                <w:bCs/>
                <w:iCs/>
                <w:color w:val="auto"/>
                <w:kern w:val="0"/>
                <w:sz w:val="21"/>
                <w:szCs w:val="21"/>
                <w:highlight w:val="none"/>
                <w:lang w:val="en-US" w:eastAsia="zh-CN" w:bidi="ar-SA"/>
              </w:rPr>
            </w:pPr>
            <w:r>
              <w:rPr>
                <w:rFonts w:hint="default" w:ascii="Times New Roman" w:hAnsi="Times New Roman" w:eastAsia="宋体" w:cs="Times New Roman"/>
                <w:b/>
                <w:bCs/>
                <w:iCs/>
                <w:color w:val="auto"/>
                <w:kern w:val="0"/>
                <w:sz w:val="21"/>
                <w:szCs w:val="21"/>
                <w:highlight w:val="none"/>
                <w:lang w:val="en-US" w:eastAsia="zh-CN" w:bidi="ar-SA"/>
              </w:rPr>
              <w:t>表2-</w:t>
            </w:r>
            <w:r>
              <w:rPr>
                <w:rFonts w:hint="eastAsia" w:ascii="Times New Roman" w:cs="Times New Roman"/>
                <w:b/>
                <w:bCs/>
                <w:iCs/>
                <w:color w:val="auto"/>
                <w:kern w:val="0"/>
                <w:sz w:val="21"/>
                <w:szCs w:val="21"/>
                <w:highlight w:val="none"/>
                <w:lang w:val="en-US" w:eastAsia="zh-CN" w:bidi="ar-SA"/>
              </w:rPr>
              <w:t>8</w:t>
            </w:r>
            <w:r>
              <w:rPr>
                <w:rFonts w:hint="default" w:ascii="Times New Roman" w:hAnsi="Times New Roman" w:eastAsia="宋体" w:cs="Times New Roman"/>
                <w:b/>
                <w:bCs/>
                <w:iCs/>
                <w:color w:val="auto"/>
                <w:kern w:val="0"/>
                <w:sz w:val="21"/>
                <w:szCs w:val="21"/>
                <w:highlight w:val="none"/>
                <w:lang w:val="en-US" w:eastAsia="zh-CN" w:bidi="ar-SA"/>
              </w:rPr>
              <w:t xml:space="preserve">  营运期主要污染工序一览表</w:t>
            </w:r>
          </w:p>
          <w:tbl>
            <w:tblPr>
              <w:tblStyle w:val="31"/>
              <w:tblW w:w="497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25"/>
              <w:gridCol w:w="1468"/>
              <w:gridCol w:w="2882"/>
              <w:gridCol w:w="2769"/>
            </w:tblGrid>
            <w:tr w14:paraId="3A5556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5" w:type="dxa"/>
                  <w:noWrap w:val="0"/>
                  <w:vAlign w:val="center"/>
                </w:tcPr>
                <w:p w14:paraId="20F8D5E2">
                  <w:pPr>
                    <w:keepNext w:val="0"/>
                    <w:keepLines w:val="0"/>
                    <w:suppressLineNumbers w:val="0"/>
                    <w:adjustRightInd w:val="0"/>
                    <w:snapToGrid w:val="0"/>
                    <w:spacing w:before="0" w:beforeAutospacing="0" w:after="0" w:afterAutospacing="0" w:line="360" w:lineRule="exact"/>
                    <w:ind w:left="0" w:right="0"/>
                    <w:jc w:val="center"/>
                    <w:rPr>
                      <w:rFonts w:hint="default"/>
                      <w:b/>
                      <w:bCs/>
                      <w:color w:val="auto"/>
                      <w:szCs w:val="21"/>
                      <w:highlight w:val="none"/>
                    </w:rPr>
                  </w:pPr>
                  <w:r>
                    <w:rPr>
                      <w:rFonts w:hint="default"/>
                      <w:b/>
                      <w:bCs/>
                      <w:color w:val="auto"/>
                      <w:szCs w:val="21"/>
                      <w:highlight w:val="none"/>
                    </w:rPr>
                    <w:t>污染类别</w:t>
                  </w:r>
                </w:p>
              </w:tc>
              <w:tc>
                <w:tcPr>
                  <w:tcW w:w="1468" w:type="dxa"/>
                  <w:noWrap w:val="0"/>
                  <w:vAlign w:val="center"/>
                </w:tcPr>
                <w:p w14:paraId="4AEC02A4">
                  <w:pPr>
                    <w:keepNext w:val="0"/>
                    <w:keepLines w:val="0"/>
                    <w:suppressLineNumbers w:val="0"/>
                    <w:adjustRightInd w:val="0"/>
                    <w:snapToGrid w:val="0"/>
                    <w:spacing w:before="0" w:beforeAutospacing="0" w:after="0" w:afterAutospacing="0" w:line="360" w:lineRule="exact"/>
                    <w:ind w:left="0" w:right="0"/>
                    <w:jc w:val="center"/>
                    <w:rPr>
                      <w:rFonts w:hint="default"/>
                      <w:b/>
                      <w:bCs/>
                      <w:color w:val="auto"/>
                      <w:szCs w:val="21"/>
                      <w:highlight w:val="none"/>
                    </w:rPr>
                  </w:pPr>
                  <w:r>
                    <w:rPr>
                      <w:rFonts w:hint="default"/>
                      <w:b/>
                      <w:bCs/>
                      <w:color w:val="auto"/>
                      <w:szCs w:val="21"/>
                      <w:highlight w:val="none"/>
                    </w:rPr>
                    <w:t>主要污染源</w:t>
                  </w:r>
                </w:p>
              </w:tc>
              <w:tc>
                <w:tcPr>
                  <w:tcW w:w="2882" w:type="dxa"/>
                  <w:noWrap w:val="0"/>
                  <w:vAlign w:val="center"/>
                </w:tcPr>
                <w:p w14:paraId="021FDE97">
                  <w:pPr>
                    <w:keepNext w:val="0"/>
                    <w:keepLines w:val="0"/>
                    <w:suppressLineNumbers w:val="0"/>
                    <w:adjustRightInd w:val="0"/>
                    <w:snapToGrid w:val="0"/>
                    <w:spacing w:before="0" w:beforeAutospacing="0" w:after="0" w:afterAutospacing="0" w:line="360" w:lineRule="exact"/>
                    <w:ind w:left="0" w:right="0"/>
                    <w:jc w:val="center"/>
                    <w:rPr>
                      <w:rFonts w:hint="default"/>
                      <w:b/>
                      <w:bCs/>
                      <w:color w:val="auto"/>
                      <w:szCs w:val="21"/>
                      <w:highlight w:val="none"/>
                    </w:rPr>
                  </w:pPr>
                  <w:r>
                    <w:rPr>
                      <w:rFonts w:hint="default"/>
                      <w:b/>
                      <w:bCs/>
                      <w:color w:val="auto"/>
                      <w:szCs w:val="21"/>
                      <w:highlight w:val="none"/>
                    </w:rPr>
                    <w:t>产生工序</w:t>
                  </w:r>
                </w:p>
              </w:tc>
              <w:tc>
                <w:tcPr>
                  <w:tcW w:w="2769" w:type="dxa"/>
                  <w:noWrap w:val="0"/>
                  <w:vAlign w:val="center"/>
                </w:tcPr>
                <w:p w14:paraId="0FDE4C40">
                  <w:pPr>
                    <w:keepNext w:val="0"/>
                    <w:keepLines w:val="0"/>
                    <w:suppressLineNumbers w:val="0"/>
                    <w:adjustRightInd w:val="0"/>
                    <w:snapToGrid w:val="0"/>
                    <w:spacing w:before="0" w:beforeAutospacing="0" w:after="0" w:afterAutospacing="0" w:line="360" w:lineRule="exact"/>
                    <w:ind w:left="0" w:right="0"/>
                    <w:jc w:val="center"/>
                    <w:rPr>
                      <w:rFonts w:hint="default"/>
                      <w:b/>
                      <w:bCs/>
                      <w:color w:val="auto"/>
                      <w:szCs w:val="21"/>
                      <w:highlight w:val="none"/>
                    </w:rPr>
                  </w:pPr>
                  <w:r>
                    <w:rPr>
                      <w:rFonts w:hint="default"/>
                      <w:b/>
                      <w:bCs/>
                      <w:color w:val="auto"/>
                      <w:szCs w:val="21"/>
                      <w:highlight w:val="none"/>
                    </w:rPr>
                    <w:t>主要污染因子</w:t>
                  </w:r>
                </w:p>
              </w:tc>
            </w:tr>
            <w:tr w14:paraId="790F69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1125" w:type="dxa"/>
                  <w:vMerge w:val="restart"/>
                  <w:noWrap w:val="0"/>
                  <w:vAlign w:val="center"/>
                </w:tcPr>
                <w:p w14:paraId="76DDDC25">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r>
                    <w:rPr>
                      <w:rFonts w:hint="default"/>
                      <w:color w:val="auto"/>
                      <w:szCs w:val="21"/>
                      <w:highlight w:val="none"/>
                    </w:rPr>
                    <w:t>废气</w:t>
                  </w:r>
                </w:p>
              </w:tc>
              <w:tc>
                <w:tcPr>
                  <w:tcW w:w="1468" w:type="dxa"/>
                  <w:vMerge w:val="restart"/>
                  <w:noWrap w:val="0"/>
                  <w:vAlign w:val="center"/>
                </w:tcPr>
                <w:p w14:paraId="016EE310">
                  <w:pPr>
                    <w:keepNext w:val="0"/>
                    <w:keepLines w:val="0"/>
                    <w:suppressLineNumbers w:val="0"/>
                    <w:adjustRightInd w:val="0"/>
                    <w:snapToGrid w:val="0"/>
                    <w:spacing w:before="0" w:beforeAutospacing="0" w:after="0" w:afterAutospacing="0" w:line="360" w:lineRule="exact"/>
                    <w:ind w:left="0" w:right="0"/>
                    <w:jc w:val="center"/>
                    <w:rPr>
                      <w:rFonts w:hint="default" w:eastAsia="宋体"/>
                      <w:color w:val="auto"/>
                      <w:szCs w:val="21"/>
                      <w:highlight w:val="none"/>
                      <w:lang w:val="en-US" w:eastAsia="zh-CN"/>
                    </w:rPr>
                  </w:pPr>
                  <w:r>
                    <w:rPr>
                      <w:rFonts w:hint="eastAsia"/>
                      <w:color w:val="auto"/>
                      <w:szCs w:val="21"/>
                      <w:highlight w:val="none"/>
                      <w:lang w:val="en-US" w:eastAsia="zh-CN"/>
                    </w:rPr>
                    <w:t>汽车维修</w:t>
                  </w:r>
                </w:p>
              </w:tc>
              <w:tc>
                <w:tcPr>
                  <w:tcW w:w="2882" w:type="dxa"/>
                  <w:noWrap w:val="0"/>
                  <w:vAlign w:val="center"/>
                </w:tcPr>
                <w:p w14:paraId="226C682B">
                  <w:pPr>
                    <w:keepNext w:val="0"/>
                    <w:keepLines w:val="0"/>
                    <w:suppressLineNumbers w:val="0"/>
                    <w:adjustRightInd w:val="0"/>
                    <w:snapToGrid w:val="0"/>
                    <w:spacing w:before="0" w:beforeAutospacing="0" w:after="0" w:afterAutospacing="0" w:line="360" w:lineRule="exact"/>
                    <w:ind w:left="0" w:leftChars="0" w:right="0" w:rightChars="0"/>
                    <w:jc w:val="center"/>
                    <w:rPr>
                      <w:rFonts w:hint="default" w:eastAsia="宋体"/>
                      <w:color w:val="auto"/>
                      <w:szCs w:val="21"/>
                      <w:highlight w:val="none"/>
                      <w:lang w:val="en-US" w:eastAsia="zh-CN"/>
                    </w:rPr>
                  </w:pPr>
                  <w:r>
                    <w:rPr>
                      <w:rFonts w:hint="eastAsia"/>
                      <w:color w:val="auto"/>
                      <w:szCs w:val="21"/>
                      <w:highlight w:val="none"/>
                      <w:lang w:val="en-US" w:eastAsia="zh-CN"/>
                    </w:rPr>
                    <w:t>废油液挥发</w:t>
                  </w:r>
                </w:p>
              </w:tc>
              <w:tc>
                <w:tcPr>
                  <w:tcW w:w="2769" w:type="dxa"/>
                  <w:noWrap w:val="0"/>
                  <w:vAlign w:val="center"/>
                </w:tcPr>
                <w:p w14:paraId="44BA9DB5">
                  <w:pPr>
                    <w:keepNext w:val="0"/>
                    <w:keepLines w:val="0"/>
                    <w:suppressLineNumbers w:val="0"/>
                    <w:adjustRightInd w:val="0"/>
                    <w:snapToGrid w:val="0"/>
                    <w:spacing w:before="0" w:beforeAutospacing="0" w:after="0" w:afterAutospacing="0" w:line="360" w:lineRule="exact"/>
                    <w:ind w:left="0" w:leftChars="0" w:right="0" w:rightChars="0"/>
                    <w:jc w:val="center"/>
                    <w:rPr>
                      <w:rFonts w:hint="eastAsia" w:eastAsia="宋体"/>
                      <w:color w:val="auto"/>
                      <w:szCs w:val="21"/>
                      <w:highlight w:val="none"/>
                      <w:lang w:eastAsia="zh-CN"/>
                    </w:rPr>
                  </w:pPr>
                  <w:r>
                    <w:rPr>
                      <w:rFonts w:hint="eastAsia"/>
                      <w:color w:val="auto"/>
                      <w:szCs w:val="21"/>
                      <w:highlight w:val="none"/>
                      <w:lang w:val="en-US" w:eastAsia="zh-CN"/>
                    </w:rPr>
                    <w:t>非甲烷总烃</w:t>
                  </w:r>
                </w:p>
              </w:tc>
            </w:tr>
            <w:tr w14:paraId="0BC0C0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1125" w:type="dxa"/>
                  <w:vMerge w:val="continue"/>
                  <w:noWrap w:val="0"/>
                  <w:vAlign w:val="center"/>
                </w:tcPr>
                <w:p w14:paraId="4E7A3286">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p>
              </w:tc>
              <w:tc>
                <w:tcPr>
                  <w:tcW w:w="1468" w:type="dxa"/>
                  <w:vMerge w:val="continue"/>
                  <w:noWrap w:val="0"/>
                  <w:vAlign w:val="center"/>
                </w:tcPr>
                <w:p w14:paraId="632CF647">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p>
              </w:tc>
              <w:tc>
                <w:tcPr>
                  <w:tcW w:w="2882" w:type="dxa"/>
                  <w:noWrap w:val="0"/>
                  <w:vAlign w:val="center"/>
                </w:tcPr>
                <w:p w14:paraId="033075E2">
                  <w:pPr>
                    <w:keepNext w:val="0"/>
                    <w:keepLines w:val="0"/>
                    <w:suppressLineNumbers w:val="0"/>
                    <w:adjustRightInd w:val="0"/>
                    <w:snapToGrid w:val="0"/>
                    <w:spacing w:before="0" w:beforeAutospacing="0" w:after="0" w:afterAutospacing="0" w:line="360" w:lineRule="exact"/>
                    <w:ind w:left="0" w:leftChars="0" w:right="0" w:rightChars="0"/>
                    <w:jc w:val="center"/>
                    <w:rPr>
                      <w:rFonts w:hint="default"/>
                      <w:color w:val="auto"/>
                      <w:szCs w:val="21"/>
                      <w:highlight w:val="none"/>
                      <w:lang w:val="en-US" w:eastAsia="zh-CN"/>
                    </w:rPr>
                  </w:pPr>
                  <w:r>
                    <w:rPr>
                      <w:rFonts w:hint="eastAsia"/>
                      <w:color w:val="auto"/>
                      <w:szCs w:val="21"/>
                      <w:highlight w:val="none"/>
                      <w:lang w:val="en-US" w:eastAsia="zh-CN"/>
                    </w:rPr>
                    <w:t>切割工序</w:t>
                  </w:r>
                </w:p>
              </w:tc>
              <w:tc>
                <w:tcPr>
                  <w:tcW w:w="2769" w:type="dxa"/>
                  <w:noWrap w:val="0"/>
                  <w:vAlign w:val="center"/>
                </w:tcPr>
                <w:p w14:paraId="5A493B49">
                  <w:pPr>
                    <w:keepNext w:val="0"/>
                    <w:keepLines w:val="0"/>
                    <w:suppressLineNumbers w:val="0"/>
                    <w:adjustRightInd w:val="0"/>
                    <w:snapToGrid w:val="0"/>
                    <w:spacing w:before="0" w:beforeAutospacing="0" w:after="0" w:afterAutospacing="0" w:line="360" w:lineRule="exact"/>
                    <w:ind w:left="0" w:leftChars="0" w:right="0" w:rightChars="0"/>
                    <w:jc w:val="center"/>
                    <w:rPr>
                      <w:rFonts w:hint="default"/>
                      <w:color w:val="auto"/>
                      <w:szCs w:val="21"/>
                      <w:highlight w:val="none"/>
                      <w:lang w:val="en-US" w:eastAsia="zh-CN"/>
                    </w:rPr>
                  </w:pPr>
                  <w:r>
                    <w:rPr>
                      <w:rFonts w:hint="eastAsia"/>
                      <w:color w:val="auto"/>
                      <w:szCs w:val="21"/>
                      <w:highlight w:val="none"/>
                      <w:lang w:val="en-US" w:eastAsia="zh-CN"/>
                    </w:rPr>
                    <w:t>颗粒物</w:t>
                  </w:r>
                </w:p>
              </w:tc>
            </w:tr>
            <w:tr w14:paraId="5CD9C7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1125" w:type="dxa"/>
                  <w:vMerge w:val="continue"/>
                  <w:noWrap w:val="0"/>
                  <w:vAlign w:val="center"/>
                </w:tcPr>
                <w:p w14:paraId="1BF09B61">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p>
              </w:tc>
              <w:tc>
                <w:tcPr>
                  <w:tcW w:w="1468" w:type="dxa"/>
                  <w:vMerge w:val="continue"/>
                  <w:noWrap w:val="0"/>
                  <w:vAlign w:val="center"/>
                </w:tcPr>
                <w:p w14:paraId="30B4F56B">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p>
              </w:tc>
              <w:tc>
                <w:tcPr>
                  <w:tcW w:w="2882" w:type="dxa"/>
                  <w:noWrap w:val="0"/>
                  <w:vAlign w:val="center"/>
                </w:tcPr>
                <w:p w14:paraId="181B623D">
                  <w:pPr>
                    <w:keepNext w:val="0"/>
                    <w:keepLines w:val="0"/>
                    <w:suppressLineNumbers w:val="0"/>
                    <w:adjustRightInd w:val="0"/>
                    <w:snapToGrid w:val="0"/>
                    <w:spacing w:before="0" w:beforeAutospacing="0" w:after="0" w:afterAutospacing="0" w:line="360" w:lineRule="exact"/>
                    <w:ind w:left="0" w:leftChars="0" w:right="0" w:rightChars="0"/>
                    <w:jc w:val="center"/>
                    <w:rPr>
                      <w:rFonts w:hint="default"/>
                      <w:color w:val="auto"/>
                      <w:szCs w:val="21"/>
                      <w:highlight w:val="none"/>
                      <w:lang w:val="en-US" w:eastAsia="zh-CN"/>
                    </w:rPr>
                  </w:pPr>
                  <w:r>
                    <w:rPr>
                      <w:rFonts w:hint="eastAsia"/>
                      <w:color w:val="auto"/>
                      <w:szCs w:val="21"/>
                      <w:highlight w:val="none"/>
                      <w:lang w:val="en-US" w:eastAsia="zh-CN"/>
                    </w:rPr>
                    <w:t>2.5t/h燃生物质锅炉</w:t>
                  </w:r>
                </w:p>
              </w:tc>
              <w:tc>
                <w:tcPr>
                  <w:tcW w:w="2769" w:type="dxa"/>
                  <w:noWrap w:val="0"/>
                  <w:vAlign w:val="center"/>
                </w:tcPr>
                <w:p w14:paraId="03F33AC3">
                  <w:pPr>
                    <w:keepNext w:val="0"/>
                    <w:keepLines w:val="0"/>
                    <w:suppressLineNumbers w:val="0"/>
                    <w:adjustRightInd w:val="0"/>
                    <w:snapToGrid w:val="0"/>
                    <w:spacing w:before="0" w:beforeAutospacing="0" w:after="0" w:afterAutospacing="0" w:line="360" w:lineRule="exact"/>
                    <w:ind w:left="0" w:leftChars="0" w:right="0" w:rightChars="0"/>
                    <w:jc w:val="center"/>
                    <w:rPr>
                      <w:rFonts w:hint="default"/>
                      <w:color w:val="auto"/>
                      <w:szCs w:val="21"/>
                      <w:highlight w:val="none"/>
                      <w:lang w:val="en-US" w:eastAsia="zh-CN"/>
                    </w:rPr>
                  </w:pPr>
                  <w:r>
                    <w:rPr>
                      <w:rFonts w:hint="eastAsia"/>
                      <w:color w:val="auto"/>
                      <w:szCs w:val="21"/>
                      <w:highlight w:val="none"/>
                      <w:lang w:val="en-US" w:eastAsia="zh-CN"/>
                    </w:rPr>
                    <w:t>颗粒物、SO</w:t>
                  </w:r>
                  <w:r>
                    <w:rPr>
                      <w:rFonts w:hint="eastAsia"/>
                      <w:color w:val="auto"/>
                      <w:szCs w:val="21"/>
                      <w:highlight w:val="none"/>
                      <w:vertAlign w:val="subscript"/>
                      <w:lang w:val="en-US" w:eastAsia="zh-CN"/>
                    </w:rPr>
                    <w:t>2</w:t>
                  </w:r>
                  <w:r>
                    <w:rPr>
                      <w:rFonts w:hint="eastAsia"/>
                      <w:color w:val="auto"/>
                      <w:szCs w:val="21"/>
                      <w:highlight w:val="none"/>
                      <w:lang w:val="en-US" w:eastAsia="zh-CN"/>
                    </w:rPr>
                    <w:t>、NO</w:t>
                  </w:r>
                  <w:r>
                    <w:rPr>
                      <w:rFonts w:hint="eastAsia"/>
                      <w:color w:val="auto"/>
                      <w:szCs w:val="21"/>
                      <w:highlight w:val="none"/>
                      <w:vertAlign w:val="subscript"/>
                      <w:lang w:val="en-US" w:eastAsia="zh-CN"/>
                    </w:rPr>
                    <w:t>x</w:t>
                  </w:r>
                </w:p>
              </w:tc>
            </w:tr>
            <w:tr w14:paraId="16DB2F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 w:hRule="atLeast"/>
                <w:jc w:val="center"/>
              </w:trPr>
              <w:tc>
                <w:tcPr>
                  <w:tcW w:w="1125" w:type="dxa"/>
                  <w:vMerge w:val="restart"/>
                  <w:noWrap w:val="0"/>
                  <w:vAlign w:val="center"/>
                </w:tcPr>
                <w:p w14:paraId="58B20428">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r>
                    <w:rPr>
                      <w:rFonts w:hint="default"/>
                      <w:color w:val="auto"/>
                      <w:szCs w:val="21"/>
                      <w:highlight w:val="none"/>
                    </w:rPr>
                    <w:t>废水</w:t>
                  </w:r>
                </w:p>
              </w:tc>
              <w:tc>
                <w:tcPr>
                  <w:tcW w:w="1468" w:type="dxa"/>
                  <w:noWrap w:val="0"/>
                  <w:vAlign w:val="center"/>
                </w:tcPr>
                <w:p w14:paraId="013FF241">
                  <w:pPr>
                    <w:keepNext w:val="0"/>
                    <w:keepLines w:val="0"/>
                    <w:suppressLineNumbers w:val="0"/>
                    <w:adjustRightInd w:val="0"/>
                    <w:snapToGrid w:val="0"/>
                    <w:spacing w:before="0" w:beforeAutospacing="0" w:after="0" w:afterAutospacing="0" w:line="360" w:lineRule="exact"/>
                    <w:ind w:left="0" w:leftChars="0" w:right="0" w:rightChars="0"/>
                    <w:jc w:val="center"/>
                    <w:rPr>
                      <w:rFonts w:hint="eastAsia"/>
                      <w:color w:val="auto"/>
                      <w:szCs w:val="21"/>
                      <w:highlight w:val="none"/>
                      <w:lang w:eastAsia="zh-CN"/>
                    </w:rPr>
                  </w:pPr>
                  <w:r>
                    <w:rPr>
                      <w:rFonts w:hint="eastAsia"/>
                      <w:color w:val="auto"/>
                      <w:szCs w:val="21"/>
                      <w:highlight w:val="none"/>
                      <w:lang w:eastAsia="zh-CN"/>
                    </w:rPr>
                    <w:t>生活办公区</w:t>
                  </w:r>
                </w:p>
              </w:tc>
              <w:tc>
                <w:tcPr>
                  <w:tcW w:w="2882" w:type="dxa"/>
                  <w:noWrap w:val="0"/>
                  <w:vAlign w:val="center"/>
                </w:tcPr>
                <w:p w14:paraId="531D1F48">
                  <w:pPr>
                    <w:keepNext w:val="0"/>
                    <w:keepLines w:val="0"/>
                    <w:suppressLineNumbers w:val="0"/>
                    <w:adjustRightInd w:val="0"/>
                    <w:snapToGrid w:val="0"/>
                    <w:spacing w:before="0" w:beforeAutospacing="0" w:after="0" w:afterAutospacing="0" w:line="360" w:lineRule="exact"/>
                    <w:ind w:left="0" w:leftChars="0" w:right="0" w:rightChars="0"/>
                    <w:jc w:val="center"/>
                    <w:rPr>
                      <w:rFonts w:hint="default"/>
                      <w:color w:val="auto"/>
                      <w:szCs w:val="21"/>
                      <w:highlight w:val="none"/>
                      <w:lang w:val="en-US" w:eastAsia="zh-CN"/>
                    </w:rPr>
                  </w:pPr>
                  <w:r>
                    <w:rPr>
                      <w:rFonts w:hint="eastAsia"/>
                      <w:color w:val="auto"/>
                      <w:szCs w:val="21"/>
                      <w:highlight w:val="none"/>
                      <w:lang w:eastAsia="zh-CN"/>
                    </w:rPr>
                    <w:t>职工生活、</w:t>
                  </w:r>
                  <w:r>
                    <w:rPr>
                      <w:rFonts w:hint="eastAsia"/>
                      <w:color w:val="auto"/>
                      <w:szCs w:val="21"/>
                      <w:highlight w:val="none"/>
                      <w:lang w:val="en-US" w:eastAsia="zh-CN"/>
                    </w:rPr>
                    <w:t>锅炉</w:t>
                  </w:r>
                </w:p>
              </w:tc>
              <w:tc>
                <w:tcPr>
                  <w:tcW w:w="2769" w:type="dxa"/>
                  <w:noWrap w:val="0"/>
                  <w:vAlign w:val="center"/>
                </w:tcPr>
                <w:p w14:paraId="3289031F">
                  <w:pPr>
                    <w:keepNext w:val="0"/>
                    <w:keepLines w:val="0"/>
                    <w:suppressLineNumbers w:val="0"/>
                    <w:adjustRightInd w:val="0"/>
                    <w:snapToGrid w:val="0"/>
                    <w:spacing w:before="0" w:beforeAutospacing="0" w:after="0" w:afterAutospacing="0" w:line="360" w:lineRule="exact"/>
                    <w:ind w:left="0" w:right="0"/>
                    <w:jc w:val="center"/>
                    <w:rPr>
                      <w:rFonts w:hint="default" w:eastAsia="宋体"/>
                      <w:color w:val="auto"/>
                      <w:szCs w:val="21"/>
                      <w:highlight w:val="none"/>
                      <w:lang w:val="en-US" w:eastAsia="zh-CN"/>
                    </w:rPr>
                  </w:pPr>
                  <w:r>
                    <w:rPr>
                      <w:rFonts w:hint="default"/>
                      <w:color w:val="auto"/>
                      <w:kern w:val="0"/>
                      <w:szCs w:val="21"/>
                      <w:highlight w:val="none"/>
                    </w:rPr>
                    <w:t>COD</w:t>
                  </w:r>
                  <w:r>
                    <w:rPr>
                      <w:rFonts w:hint="eastAsia"/>
                      <w:color w:val="auto"/>
                      <w:kern w:val="0"/>
                      <w:szCs w:val="21"/>
                      <w:highlight w:val="none"/>
                      <w:lang w:eastAsia="zh-CN"/>
                    </w:rPr>
                    <w:t>、</w:t>
                  </w:r>
                  <w:r>
                    <w:rPr>
                      <w:rFonts w:hint="default"/>
                      <w:color w:val="auto"/>
                      <w:kern w:val="0"/>
                      <w:szCs w:val="21"/>
                      <w:highlight w:val="none"/>
                    </w:rPr>
                    <w:t>NH</w:t>
                  </w:r>
                  <w:r>
                    <w:rPr>
                      <w:rFonts w:hint="default"/>
                      <w:color w:val="auto"/>
                      <w:kern w:val="0"/>
                      <w:szCs w:val="21"/>
                      <w:highlight w:val="none"/>
                      <w:vertAlign w:val="subscript"/>
                    </w:rPr>
                    <w:t>3</w:t>
                  </w:r>
                  <w:r>
                    <w:rPr>
                      <w:rFonts w:hint="default"/>
                      <w:color w:val="auto"/>
                      <w:kern w:val="0"/>
                      <w:szCs w:val="21"/>
                      <w:highlight w:val="none"/>
                    </w:rPr>
                    <w:t>-N</w:t>
                  </w:r>
                  <w:r>
                    <w:rPr>
                      <w:rFonts w:hint="eastAsia"/>
                      <w:color w:val="auto"/>
                      <w:kern w:val="0"/>
                      <w:szCs w:val="21"/>
                      <w:highlight w:val="none"/>
                      <w:lang w:eastAsia="zh-CN"/>
                    </w:rPr>
                    <w:t>、</w:t>
                  </w:r>
                  <w:r>
                    <w:rPr>
                      <w:rFonts w:hint="eastAsia"/>
                      <w:color w:val="auto"/>
                      <w:kern w:val="0"/>
                      <w:szCs w:val="21"/>
                      <w:highlight w:val="none"/>
                      <w:lang w:val="en-US" w:eastAsia="zh-CN"/>
                    </w:rPr>
                    <w:t>BOD</w:t>
                  </w:r>
                  <w:r>
                    <w:rPr>
                      <w:rFonts w:hint="eastAsia"/>
                      <w:color w:val="auto"/>
                      <w:kern w:val="0"/>
                      <w:szCs w:val="21"/>
                      <w:highlight w:val="none"/>
                      <w:vertAlign w:val="subscript"/>
                      <w:lang w:val="en-US" w:eastAsia="zh-CN"/>
                    </w:rPr>
                    <w:t>5</w:t>
                  </w:r>
                  <w:r>
                    <w:rPr>
                      <w:rFonts w:hint="eastAsia"/>
                      <w:color w:val="auto"/>
                      <w:kern w:val="0"/>
                      <w:szCs w:val="21"/>
                      <w:highlight w:val="none"/>
                      <w:lang w:val="en-US" w:eastAsia="zh-CN"/>
                    </w:rPr>
                    <w:t>、SS</w:t>
                  </w:r>
                </w:p>
              </w:tc>
            </w:tr>
            <w:tr w14:paraId="693A78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1125" w:type="dxa"/>
                  <w:vMerge w:val="continue"/>
                  <w:noWrap w:val="0"/>
                  <w:vAlign w:val="center"/>
                </w:tcPr>
                <w:p w14:paraId="075A5FE5">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p>
              </w:tc>
              <w:tc>
                <w:tcPr>
                  <w:tcW w:w="1468" w:type="dxa"/>
                  <w:noWrap w:val="0"/>
                  <w:vAlign w:val="center"/>
                </w:tcPr>
                <w:p w14:paraId="18E249B0">
                  <w:pPr>
                    <w:keepNext w:val="0"/>
                    <w:keepLines w:val="0"/>
                    <w:suppressLineNumbers w:val="0"/>
                    <w:adjustRightInd w:val="0"/>
                    <w:snapToGrid w:val="0"/>
                    <w:spacing w:before="0" w:beforeAutospacing="0" w:after="0" w:afterAutospacing="0" w:line="360" w:lineRule="exact"/>
                    <w:ind w:left="0" w:leftChars="0" w:right="0" w:rightChars="0"/>
                    <w:jc w:val="center"/>
                    <w:rPr>
                      <w:rFonts w:hint="eastAsia"/>
                      <w:color w:val="auto"/>
                      <w:szCs w:val="21"/>
                      <w:highlight w:val="none"/>
                      <w:lang w:eastAsia="zh-CN"/>
                    </w:rPr>
                  </w:pPr>
                  <w:r>
                    <w:rPr>
                      <w:rFonts w:hint="eastAsia"/>
                      <w:color w:val="auto"/>
                      <w:szCs w:val="21"/>
                      <w:highlight w:val="none"/>
                      <w:lang w:val="en-US" w:eastAsia="zh-CN"/>
                    </w:rPr>
                    <w:t>降雨</w:t>
                  </w:r>
                </w:p>
              </w:tc>
              <w:tc>
                <w:tcPr>
                  <w:tcW w:w="2882" w:type="dxa"/>
                  <w:noWrap w:val="0"/>
                  <w:vAlign w:val="center"/>
                </w:tcPr>
                <w:p w14:paraId="54580BC2">
                  <w:pPr>
                    <w:keepNext w:val="0"/>
                    <w:keepLines w:val="0"/>
                    <w:suppressLineNumbers w:val="0"/>
                    <w:adjustRightInd w:val="0"/>
                    <w:snapToGrid w:val="0"/>
                    <w:spacing w:before="0" w:beforeAutospacing="0" w:after="0" w:afterAutospacing="0" w:line="360" w:lineRule="exact"/>
                    <w:ind w:left="0" w:leftChars="0" w:right="0" w:rightChars="0"/>
                    <w:jc w:val="center"/>
                    <w:rPr>
                      <w:rFonts w:hint="default"/>
                      <w:color w:val="auto"/>
                      <w:szCs w:val="21"/>
                      <w:highlight w:val="none"/>
                      <w:lang w:val="en-US" w:eastAsia="zh-CN"/>
                    </w:rPr>
                  </w:pPr>
                  <w:r>
                    <w:rPr>
                      <w:rFonts w:hint="eastAsia"/>
                      <w:color w:val="auto"/>
                      <w:szCs w:val="21"/>
                      <w:highlight w:val="none"/>
                      <w:lang w:val="en-US" w:eastAsia="zh-CN"/>
                    </w:rPr>
                    <w:t>初期雨水</w:t>
                  </w:r>
                </w:p>
              </w:tc>
              <w:tc>
                <w:tcPr>
                  <w:tcW w:w="2769" w:type="dxa"/>
                  <w:noWrap w:val="0"/>
                  <w:vAlign w:val="center"/>
                </w:tcPr>
                <w:p w14:paraId="7249F69C">
                  <w:pPr>
                    <w:keepNext w:val="0"/>
                    <w:keepLines w:val="0"/>
                    <w:suppressLineNumbers w:val="0"/>
                    <w:adjustRightInd w:val="0"/>
                    <w:snapToGrid w:val="0"/>
                    <w:spacing w:before="0" w:beforeAutospacing="0" w:after="0" w:afterAutospacing="0" w:line="360" w:lineRule="exact"/>
                    <w:ind w:left="0" w:right="0"/>
                    <w:jc w:val="center"/>
                    <w:rPr>
                      <w:rFonts w:hint="default" w:eastAsia="宋体"/>
                      <w:color w:val="auto"/>
                      <w:kern w:val="0"/>
                      <w:szCs w:val="21"/>
                      <w:highlight w:val="none"/>
                      <w:lang w:val="en-US" w:eastAsia="zh-CN"/>
                    </w:rPr>
                  </w:pPr>
                  <w:r>
                    <w:rPr>
                      <w:rFonts w:hint="default" w:ascii="Times New Roman" w:hAnsi="Times New Roman" w:eastAsia="宋体" w:cs="Times New Roman"/>
                      <w:i w:val="0"/>
                      <w:iCs w:val="0"/>
                      <w:caps w:val="0"/>
                      <w:color w:val="auto"/>
                      <w:spacing w:val="0"/>
                      <w:sz w:val="21"/>
                      <w:szCs w:val="21"/>
                    </w:rPr>
                    <w:t>pH值、化学需氧量、石油类、氨氮、悬浮物</w:t>
                  </w:r>
                </w:p>
              </w:tc>
            </w:tr>
            <w:tr w14:paraId="782C1F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0" w:hRule="atLeast"/>
                <w:jc w:val="center"/>
              </w:trPr>
              <w:tc>
                <w:tcPr>
                  <w:tcW w:w="1125" w:type="dxa"/>
                  <w:noWrap w:val="0"/>
                  <w:vAlign w:val="center"/>
                </w:tcPr>
                <w:p w14:paraId="1F12917F">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r>
                    <w:rPr>
                      <w:rFonts w:hint="default"/>
                      <w:color w:val="auto"/>
                      <w:szCs w:val="21"/>
                      <w:highlight w:val="none"/>
                    </w:rPr>
                    <w:t>噪声</w:t>
                  </w:r>
                </w:p>
              </w:tc>
              <w:tc>
                <w:tcPr>
                  <w:tcW w:w="1468" w:type="dxa"/>
                  <w:noWrap w:val="0"/>
                  <w:vAlign w:val="center"/>
                </w:tcPr>
                <w:p w14:paraId="475889D4">
                  <w:pPr>
                    <w:keepNext w:val="0"/>
                    <w:keepLines w:val="0"/>
                    <w:suppressLineNumbers w:val="0"/>
                    <w:autoSpaceDE w:val="0"/>
                    <w:autoSpaceDN w:val="0"/>
                    <w:adjustRightInd w:val="0"/>
                    <w:snapToGrid w:val="0"/>
                    <w:spacing w:before="0" w:beforeAutospacing="0" w:after="0" w:afterAutospacing="0" w:line="360" w:lineRule="exact"/>
                    <w:ind w:left="0" w:right="0"/>
                    <w:jc w:val="center"/>
                    <w:rPr>
                      <w:rFonts w:hint="eastAsia" w:eastAsia="宋体"/>
                      <w:color w:val="auto"/>
                      <w:kern w:val="0"/>
                      <w:szCs w:val="21"/>
                      <w:highlight w:val="none"/>
                      <w:lang w:eastAsia="zh-CN"/>
                    </w:rPr>
                  </w:pPr>
                  <w:r>
                    <w:rPr>
                      <w:rFonts w:hint="eastAsia"/>
                      <w:color w:val="auto"/>
                      <w:kern w:val="0"/>
                      <w:szCs w:val="21"/>
                      <w:highlight w:val="none"/>
                      <w:lang w:eastAsia="zh-CN"/>
                    </w:rPr>
                    <w:t>生产区</w:t>
                  </w:r>
                </w:p>
              </w:tc>
              <w:tc>
                <w:tcPr>
                  <w:tcW w:w="2882" w:type="dxa"/>
                  <w:noWrap w:val="0"/>
                  <w:vAlign w:val="center"/>
                </w:tcPr>
                <w:p w14:paraId="3A7F2309">
                  <w:pPr>
                    <w:keepNext w:val="0"/>
                    <w:keepLines w:val="0"/>
                    <w:suppressLineNumbers w:val="0"/>
                    <w:adjustRightInd w:val="0"/>
                    <w:snapToGrid w:val="0"/>
                    <w:spacing w:before="0" w:beforeAutospacing="0" w:after="0" w:afterAutospacing="0" w:line="360" w:lineRule="exact"/>
                    <w:ind w:left="0" w:leftChars="0" w:right="0" w:rightChars="0"/>
                    <w:jc w:val="center"/>
                    <w:rPr>
                      <w:rFonts w:hint="default"/>
                      <w:color w:val="auto"/>
                      <w:kern w:val="0"/>
                      <w:szCs w:val="21"/>
                      <w:highlight w:val="none"/>
                      <w:lang w:val="en-US"/>
                    </w:rPr>
                  </w:pPr>
                  <w:r>
                    <w:rPr>
                      <w:rFonts w:hint="eastAsia"/>
                      <w:color w:val="auto"/>
                    </w:rPr>
                    <w:t>钩机</w:t>
                  </w:r>
                  <w:r>
                    <w:rPr>
                      <w:rFonts w:hint="eastAsia"/>
                      <w:color w:val="auto"/>
                      <w:lang w:eastAsia="zh-CN"/>
                    </w:rPr>
                    <w:t>、</w:t>
                  </w:r>
                  <w:r>
                    <w:rPr>
                      <w:rFonts w:hint="eastAsia"/>
                      <w:color w:val="auto"/>
                    </w:rPr>
                    <w:t>打包机</w:t>
                  </w:r>
                  <w:r>
                    <w:rPr>
                      <w:rFonts w:hint="eastAsia"/>
                      <w:color w:val="auto"/>
                      <w:lang w:eastAsia="zh-CN"/>
                    </w:rPr>
                    <w:t>、</w:t>
                  </w:r>
                  <w:r>
                    <w:rPr>
                      <w:rFonts w:hint="eastAsia"/>
                      <w:color w:val="auto"/>
                    </w:rPr>
                    <w:t>压块机</w:t>
                  </w:r>
                  <w:r>
                    <w:rPr>
                      <w:rFonts w:hint="eastAsia"/>
                      <w:color w:val="auto"/>
                      <w:lang w:eastAsia="zh-CN"/>
                    </w:rPr>
                    <w:t>、</w:t>
                  </w:r>
                  <w:r>
                    <w:rPr>
                      <w:rFonts w:hint="eastAsia"/>
                      <w:color w:val="auto"/>
                    </w:rPr>
                    <w:t>剪切机</w:t>
                  </w:r>
                  <w:r>
                    <w:rPr>
                      <w:rFonts w:hint="eastAsia"/>
                      <w:color w:val="auto"/>
                      <w:lang w:eastAsia="zh-CN"/>
                    </w:rPr>
                    <w:t>、</w:t>
                  </w:r>
                  <w:r>
                    <w:rPr>
                      <w:rFonts w:hint="eastAsia"/>
                      <w:color w:val="auto"/>
                    </w:rPr>
                    <w:t>等离子切割机</w:t>
                  </w:r>
                  <w:r>
                    <w:rPr>
                      <w:rFonts w:hint="eastAsia"/>
                      <w:color w:val="auto"/>
                      <w:lang w:eastAsia="zh-CN"/>
                    </w:rPr>
                    <w:t>、</w:t>
                  </w:r>
                  <w:r>
                    <w:rPr>
                      <w:rFonts w:hint="eastAsia"/>
                      <w:color w:val="auto"/>
                    </w:rPr>
                    <w:t>2.5t</w:t>
                  </w:r>
                  <w:r>
                    <w:rPr>
                      <w:rFonts w:hint="eastAsia"/>
                      <w:color w:val="auto"/>
                      <w:lang w:val="en-US" w:eastAsia="zh-CN"/>
                    </w:rPr>
                    <w:t>/</w:t>
                  </w:r>
                  <w:r>
                    <w:rPr>
                      <w:rFonts w:hint="eastAsia"/>
                      <w:color w:val="auto"/>
                    </w:rPr>
                    <w:t>h燃生物质锅炉</w:t>
                  </w:r>
                  <w:r>
                    <w:rPr>
                      <w:rFonts w:hint="eastAsia"/>
                      <w:color w:val="auto"/>
                      <w:lang w:eastAsia="zh-CN"/>
                    </w:rPr>
                    <w:t>、</w:t>
                  </w:r>
                  <w:r>
                    <w:rPr>
                      <w:rFonts w:hint="eastAsia"/>
                      <w:color w:val="auto"/>
                    </w:rPr>
                    <w:t>乙炔-氧切割机</w:t>
                  </w:r>
                  <w:r>
                    <w:rPr>
                      <w:rFonts w:hint="eastAsia"/>
                      <w:color w:val="auto"/>
                      <w:lang w:eastAsia="zh-CN"/>
                    </w:rPr>
                    <w:t>、</w:t>
                  </w:r>
                  <w:r>
                    <w:rPr>
                      <w:rFonts w:hint="eastAsia"/>
                      <w:color w:val="auto"/>
                    </w:rPr>
                    <w:t>放油机</w:t>
                  </w:r>
                  <w:r>
                    <w:rPr>
                      <w:rFonts w:hint="eastAsia"/>
                      <w:color w:val="auto"/>
                      <w:lang w:eastAsia="zh-CN"/>
                    </w:rPr>
                    <w:t>、</w:t>
                  </w:r>
                  <w:r>
                    <w:rPr>
                      <w:rFonts w:hint="eastAsia"/>
                      <w:color w:val="auto"/>
                    </w:rPr>
                    <w:t>充放电机</w:t>
                  </w:r>
                  <w:r>
                    <w:rPr>
                      <w:rFonts w:hint="eastAsia"/>
                      <w:color w:val="auto"/>
                      <w:lang w:eastAsia="zh-CN"/>
                    </w:rPr>
                    <w:t>、</w:t>
                  </w:r>
                  <w:r>
                    <w:rPr>
                      <w:rFonts w:hint="eastAsia"/>
                      <w:color w:val="auto"/>
                      <w:lang w:val="en-US" w:eastAsia="zh-CN"/>
                    </w:rPr>
                    <w:t>翻转</w:t>
                  </w:r>
                  <w:r>
                    <w:rPr>
                      <w:rFonts w:hint="eastAsia"/>
                      <w:color w:val="auto"/>
                    </w:rPr>
                    <w:t>机</w:t>
                  </w:r>
                  <w:r>
                    <w:rPr>
                      <w:rFonts w:hint="eastAsia"/>
                      <w:color w:val="auto"/>
                      <w:lang w:eastAsia="zh-CN"/>
                    </w:rPr>
                    <w:t>、</w:t>
                  </w:r>
                  <w:r>
                    <w:rPr>
                      <w:rFonts w:hint="eastAsia"/>
                      <w:color w:val="auto"/>
                    </w:rPr>
                    <w:t>引风机</w:t>
                  </w:r>
                  <w:r>
                    <w:rPr>
                      <w:rFonts w:hint="eastAsia"/>
                      <w:color w:val="auto"/>
                      <w:lang w:eastAsia="zh-CN"/>
                    </w:rPr>
                    <w:t>、</w:t>
                  </w:r>
                  <w:r>
                    <w:rPr>
                      <w:rFonts w:hint="eastAsia"/>
                      <w:color w:val="auto"/>
                    </w:rPr>
                    <w:t>鼓风机</w:t>
                  </w:r>
                </w:p>
              </w:tc>
              <w:tc>
                <w:tcPr>
                  <w:tcW w:w="2769" w:type="dxa"/>
                  <w:noWrap w:val="0"/>
                  <w:vAlign w:val="center"/>
                </w:tcPr>
                <w:p w14:paraId="36CEE624">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r>
                    <w:rPr>
                      <w:rFonts w:hint="default"/>
                      <w:color w:val="auto"/>
                      <w:szCs w:val="21"/>
                      <w:highlight w:val="none"/>
                    </w:rPr>
                    <w:t>噪声</w:t>
                  </w:r>
                </w:p>
              </w:tc>
            </w:tr>
            <w:tr w14:paraId="08D6CE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1125" w:type="dxa"/>
                  <w:vMerge w:val="restart"/>
                  <w:noWrap w:val="0"/>
                  <w:vAlign w:val="center"/>
                </w:tcPr>
                <w:p w14:paraId="4E06EECB">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r>
                    <w:rPr>
                      <w:rFonts w:hint="default"/>
                      <w:color w:val="auto"/>
                      <w:szCs w:val="21"/>
                      <w:highlight w:val="none"/>
                    </w:rPr>
                    <w:t>固体废物</w:t>
                  </w:r>
                </w:p>
              </w:tc>
              <w:tc>
                <w:tcPr>
                  <w:tcW w:w="1468" w:type="dxa"/>
                  <w:vMerge w:val="restart"/>
                  <w:noWrap w:val="0"/>
                  <w:vAlign w:val="center"/>
                </w:tcPr>
                <w:p w14:paraId="0FE8AA29">
                  <w:pPr>
                    <w:keepNext w:val="0"/>
                    <w:keepLines w:val="0"/>
                    <w:suppressLineNumbers w:val="0"/>
                    <w:adjustRightInd w:val="0"/>
                    <w:snapToGrid w:val="0"/>
                    <w:spacing w:before="0" w:beforeAutospacing="0" w:after="0" w:afterAutospacing="0" w:line="360" w:lineRule="exact"/>
                    <w:ind w:left="0" w:right="0"/>
                    <w:jc w:val="center"/>
                    <w:rPr>
                      <w:rFonts w:hint="eastAsia" w:eastAsia="宋体"/>
                      <w:color w:val="auto"/>
                      <w:szCs w:val="21"/>
                      <w:highlight w:val="none"/>
                      <w:lang w:eastAsia="zh-CN"/>
                    </w:rPr>
                  </w:pPr>
                  <w:r>
                    <w:rPr>
                      <w:rFonts w:hint="eastAsia"/>
                      <w:color w:val="auto"/>
                      <w:szCs w:val="21"/>
                      <w:highlight w:val="none"/>
                      <w:lang w:eastAsia="zh-CN"/>
                    </w:rPr>
                    <w:t>生产区</w:t>
                  </w:r>
                </w:p>
              </w:tc>
              <w:tc>
                <w:tcPr>
                  <w:tcW w:w="2882" w:type="dxa"/>
                  <w:noWrap w:val="0"/>
                  <w:vAlign w:val="center"/>
                </w:tcPr>
                <w:p w14:paraId="4EEAF3E1">
                  <w:pPr>
                    <w:keepNext w:val="0"/>
                    <w:keepLines w:val="0"/>
                    <w:pageBreakBefore w:val="0"/>
                    <w:widowControl w:val="0"/>
                    <w:kinsoku/>
                    <w:wordWrap/>
                    <w:overflowPunct/>
                    <w:topLinePunct w:val="0"/>
                    <w:bidi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拆解过程</w:t>
                  </w:r>
                </w:p>
              </w:tc>
              <w:tc>
                <w:tcPr>
                  <w:tcW w:w="2769" w:type="dxa"/>
                  <w:noWrap w:val="0"/>
                  <w:vAlign w:val="center"/>
                </w:tcPr>
                <w:p w14:paraId="4312B2DF">
                  <w:pPr>
                    <w:keepNext w:val="0"/>
                    <w:keepLines w:val="0"/>
                    <w:pageBreakBefore w:val="0"/>
                    <w:widowControl w:val="0"/>
                    <w:kinsoku/>
                    <w:wordWrap/>
                    <w:overflowPunct/>
                    <w:topLinePunct w:val="0"/>
                    <w:autoSpaceDE w:val="0"/>
                    <w:autoSpaceDN w:val="0"/>
                    <w:bidi w:val="0"/>
                    <w:adjustRightIn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不可利用废物、废钢铁、废铅酸蓄电池、废油液及油泥、含油抹布及手套、废防冻液、废电路板、</w:t>
                  </w:r>
                  <w:r>
                    <w:rPr>
                      <w:rFonts w:hint="eastAsia"/>
                      <w:color w:val="auto"/>
                      <w:szCs w:val="21"/>
                      <w:highlight w:val="none"/>
                      <w:lang w:val="en-US" w:eastAsia="zh-CN"/>
                    </w:rPr>
                    <w:t>铁屑</w:t>
                  </w:r>
                </w:p>
              </w:tc>
            </w:tr>
            <w:tr w14:paraId="41E550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1125" w:type="dxa"/>
                  <w:vMerge w:val="continue"/>
                  <w:noWrap w:val="0"/>
                  <w:vAlign w:val="center"/>
                </w:tcPr>
                <w:p w14:paraId="44FCD382">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p>
              </w:tc>
              <w:tc>
                <w:tcPr>
                  <w:tcW w:w="1468" w:type="dxa"/>
                  <w:vMerge w:val="continue"/>
                  <w:noWrap w:val="0"/>
                  <w:vAlign w:val="center"/>
                </w:tcPr>
                <w:p w14:paraId="129BA7DC">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p>
              </w:tc>
              <w:tc>
                <w:tcPr>
                  <w:tcW w:w="2882" w:type="dxa"/>
                  <w:noWrap w:val="0"/>
                  <w:vAlign w:val="center"/>
                </w:tcPr>
                <w:p w14:paraId="380DA4B7">
                  <w:pPr>
                    <w:keepNext w:val="0"/>
                    <w:keepLines w:val="0"/>
                    <w:pageBreakBefore w:val="0"/>
                    <w:widowControl w:val="0"/>
                    <w:kinsoku/>
                    <w:wordWrap/>
                    <w:overflowPunct/>
                    <w:topLinePunct w:val="0"/>
                    <w:bidi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锅炉废气处理措施</w:t>
                  </w:r>
                </w:p>
              </w:tc>
              <w:tc>
                <w:tcPr>
                  <w:tcW w:w="2769" w:type="dxa"/>
                  <w:noWrap w:val="0"/>
                  <w:vAlign w:val="center"/>
                </w:tcPr>
                <w:p w14:paraId="0410EB7D">
                  <w:pPr>
                    <w:keepNext w:val="0"/>
                    <w:keepLines w:val="0"/>
                    <w:pageBreakBefore w:val="0"/>
                    <w:widowControl w:val="0"/>
                    <w:kinsoku/>
                    <w:wordWrap/>
                    <w:overflowPunct/>
                    <w:topLinePunct w:val="0"/>
                    <w:autoSpaceDE w:val="0"/>
                    <w:autoSpaceDN w:val="0"/>
                    <w:bidi w:val="0"/>
                    <w:adjustRightIn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废布袋、</w:t>
                  </w:r>
                  <w:r>
                    <w:rPr>
                      <w:rFonts w:hint="eastAsia"/>
                      <w:color w:val="auto"/>
                      <w:szCs w:val="21"/>
                      <w:highlight w:val="none"/>
                      <w:lang w:val="en-US" w:eastAsia="zh-CN"/>
                    </w:rPr>
                    <w:t>车间除尘器收尘、</w:t>
                  </w:r>
                  <w:r>
                    <w:rPr>
                      <w:rFonts w:hint="eastAsia"/>
                      <w:color w:val="auto"/>
                      <w:highlight w:val="none"/>
                      <w:lang w:val="en-US" w:eastAsia="zh-CN"/>
                    </w:rPr>
                    <w:t>废活性炭、锅炉除尘灰和锅炉灰渣</w:t>
                  </w:r>
                </w:p>
              </w:tc>
            </w:tr>
            <w:tr w14:paraId="404CDB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1125" w:type="dxa"/>
                  <w:vMerge w:val="continue"/>
                  <w:noWrap w:val="0"/>
                  <w:vAlign w:val="center"/>
                </w:tcPr>
                <w:p w14:paraId="04A9B43E">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p>
              </w:tc>
              <w:tc>
                <w:tcPr>
                  <w:tcW w:w="1468" w:type="dxa"/>
                  <w:vMerge w:val="continue"/>
                  <w:noWrap w:val="0"/>
                  <w:vAlign w:val="center"/>
                </w:tcPr>
                <w:p w14:paraId="16636780">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p>
              </w:tc>
              <w:tc>
                <w:tcPr>
                  <w:tcW w:w="2882" w:type="dxa"/>
                  <w:noWrap w:val="0"/>
                  <w:vAlign w:val="center"/>
                </w:tcPr>
                <w:p w14:paraId="211615B0">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eastAsia="宋体"/>
                      <w:color w:val="auto"/>
                      <w:szCs w:val="21"/>
                      <w:highlight w:val="none"/>
                      <w:lang w:val="en-US" w:eastAsia="zh-CN"/>
                    </w:rPr>
                  </w:pPr>
                  <w:r>
                    <w:rPr>
                      <w:rFonts w:hint="eastAsia"/>
                      <w:color w:val="auto"/>
                      <w:szCs w:val="21"/>
                      <w:highlight w:val="none"/>
                      <w:lang w:val="en-US" w:eastAsia="zh-CN"/>
                    </w:rPr>
                    <w:t>软化水制备设备</w:t>
                  </w:r>
                </w:p>
              </w:tc>
              <w:tc>
                <w:tcPr>
                  <w:tcW w:w="2769" w:type="dxa"/>
                  <w:noWrap w:val="0"/>
                  <w:vAlign w:val="center"/>
                </w:tcPr>
                <w:p w14:paraId="61439564">
                  <w:pPr>
                    <w:keepNext w:val="0"/>
                    <w:keepLines w:val="0"/>
                    <w:pageBreakBefore w:val="0"/>
                    <w:widowControl w:val="0"/>
                    <w:kinsoku/>
                    <w:wordWrap/>
                    <w:overflowPunct/>
                    <w:topLinePunct w:val="0"/>
                    <w:autoSpaceDE w:val="0"/>
                    <w:autoSpaceDN w:val="0"/>
                    <w:bidi w:val="0"/>
                    <w:adjustRightInd w:val="0"/>
                    <w:spacing w:beforeAutospacing="0" w:afterAutospacing="0" w:line="240" w:lineRule="auto"/>
                    <w:ind w:left="0" w:leftChars="0" w:right="0" w:rightChars="0" w:firstLine="0" w:firstLineChars="0"/>
                    <w:jc w:val="center"/>
                    <w:textAlignment w:val="auto"/>
                    <w:rPr>
                      <w:rFonts w:hint="default" w:eastAsia="宋体"/>
                      <w:color w:val="auto"/>
                      <w:szCs w:val="21"/>
                      <w:highlight w:val="none"/>
                      <w:lang w:val="en-US" w:eastAsia="zh-CN"/>
                    </w:rPr>
                  </w:pPr>
                  <w:r>
                    <w:rPr>
                      <w:rFonts w:hint="eastAsia" w:cs="Times New Roman" w:eastAsiaTheme="minorEastAsia"/>
                      <w:color w:val="auto"/>
                      <w:kern w:val="0"/>
                      <w:szCs w:val="21"/>
                      <w:lang w:val="en-US" w:eastAsia="zh-CN"/>
                    </w:rPr>
                    <w:t>废离子交换树脂</w:t>
                  </w:r>
                </w:p>
              </w:tc>
            </w:tr>
            <w:tr w14:paraId="715D64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1125" w:type="dxa"/>
                  <w:vMerge w:val="continue"/>
                  <w:noWrap w:val="0"/>
                  <w:vAlign w:val="center"/>
                </w:tcPr>
                <w:p w14:paraId="389E4B37">
                  <w:pPr>
                    <w:keepNext w:val="0"/>
                    <w:keepLines w:val="0"/>
                    <w:suppressLineNumbers w:val="0"/>
                    <w:adjustRightInd w:val="0"/>
                    <w:snapToGrid w:val="0"/>
                    <w:spacing w:before="0" w:beforeAutospacing="0" w:after="0" w:afterAutospacing="0" w:line="360" w:lineRule="exact"/>
                    <w:ind w:left="0" w:right="0"/>
                    <w:jc w:val="center"/>
                    <w:rPr>
                      <w:rFonts w:hint="default"/>
                      <w:color w:val="auto"/>
                      <w:szCs w:val="21"/>
                      <w:highlight w:val="none"/>
                    </w:rPr>
                  </w:pPr>
                </w:p>
              </w:tc>
              <w:tc>
                <w:tcPr>
                  <w:tcW w:w="1468" w:type="dxa"/>
                  <w:noWrap w:val="0"/>
                  <w:vAlign w:val="center"/>
                </w:tcPr>
                <w:p w14:paraId="411129D8">
                  <w:pPr>
                    <w:keepNext w:val="0"/>
                    <w:keepLines w:val="0"/>
                    <w:suppressLineNumbers w:val="0"/>
                    <w:adjustRightInd w:val="0"/>
                    <w:snapToGrid w:val="0"/>
                    <w:spacing w:before="0" w:beforeAutospacing="0" w:after="0" w:afterAutospacing="0" w:line="360" w:lineRule="exact"/>
                    <w:ind w:left="0" w:right="0"/>
                    <w:jc w:val="center"/>
                    <w:rPr>
                      <w:rFonts w:hint="eastAsia"/>
                      <w:color w:val="auto"/>
                      <w:szCs w:val="21"/>
                      <w:highlight w:val="none"/>
                      <w:lang w:eastAsia="zh-CN"/>
                    </w:rPr>
                  </w:pPr>
                  <w:r>
                    <w:rPr>
                      <w:rFonts w:hint="eastAsia"/>
                      <w:color w:val="auto"/>
                      <w:szCs w:val="21"/>
                      <w:highlight w:val="none"/>
                      <w:lang w:eastAsia="zh-CN"/>
                    </w:rPr>
                    <w:t>生活区</w:t>
                  </w:r>
                </w:p>
              </w:tc>
              <w:tc>
                <w:tcPr>
                  <w:tcW w:w="2882" w:type="dxa"/>
                  <w:noWrap w:val="0"/>
                  <w:vAlign w:val="center"/>
                </w:tcPr>
                <w:p w14:paraId="4AF6C4C2">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eastAsia"/>
                      <w:color w:val="auto"/>
                      <w:szCs w:val="21"/>
                      <w:highlight w:val="none"/>
                      <w:lang w:eastAsia="zh-CN"/>
                    </w:rPr>
                  </w:pPr>
                  <w:r>
                    <w:rPr>
                      <w:rFonts w:hint="eastAsia" w:ascii="Times New Roman" w:hAnsi="Times New Roman" w:cs="Times New Roman" w:eastAsiaTheme="minorEastAsia"/>
                      <w:color w:val="auto"/>
                      <w:kern w:val="0"/>
                      <w:szCs w:val="21"/>
                      <w:lang w:eastAsia="zh-CN"/>
                    </w:rPr>
                    <w:t>员工生活</w:t>
                  </w:r>
                </w:p>
              </w:tc>
              <w:tc>
                <w:tcPr>
                  <w:tcW w:w="2769" w:type="dxa"/>
                  <w:noWrap w:val="0"/>
                  <w:vAlign w:val="center"/>
                </w:tcPr>
                <w:p w14:paraId="246A28A4">
                  <w:pPr>
                    <w:keepNext w:val="0"/>
                    <w:keepLines w:val="0"/>
                    <w:pageBreakBefore w:val="0"/>
                    <w:widowControl w:val="0"/>
                    <w:kinsoku/>
                    <w:wordWrap/>
                    <w:overflowPunct/>
                    <w:topLinePunct w:val="0"/>
                    <w:autoSpaceDE w:val="0"/>
                    <w:autoSpaceDN w:val="0"/>
                    <w:bidi w:val="0"/>
                    <w:adjustRightInd w:val="0"/>
                    <w:spacing w:beforeAutospacing="0" w:afterAutospacing="0" w:line="240" w:lineRule="auto"/>
                    <w:ind w:left="0" w:leftChars="0" w:right="0" w:rightChars="0" w:firstLine="0" w:firstLineChars="0"/>
                    <w:jc w:val="center"/>
                    <w:textAlignment w:val="auto"/>
                    <w:rPr>
                      <w:rFonts w:hint="default"/>
                      <w:color w:val="auto"/>
                      <w:szCs w:val="21"/>
                      <w:highlight w:val="none"/>
                    </w:rPr>
                  </w:pPr>
                  <w:r>
                    <w:rPr>
                      <w:rFonts w:hint="eastAsia" w:ascii="Times New Roman" w:hAnsi="Times New Roman" w:cs="Times New Roman" w:eastAsiaTheme="minorEastAsia"/>
                      <w:color w:val="auto"/>
                      <w:kern w:val="0"/>
                      <w:szCs w:val="21"/>
                      <w:lang w:eastAsia="zh-CN"/>
                    </w:rPr>
                    <w:t>生活垃圾</w:t>
                  </w:r>
                </w:p>
              </w:tc>
            </w:tr>
          </w:tbl>
          <w:p w14:paraId="3F94B27B">
            <w:pPr>
              <w:keepNext w:val="0"/>
              <w:keepLines w:val="0"/>
              <w:suppressLineNumbers w:val="0"/>
              <w:spacing w:before="0" w:beforeAutospacing="0" w:after="0" w:afterAutospacing="0" w:line="360" w:lineRule="auto"/>
              <w:ind w:left="0" w:right="0"/>
              <w:jc w:val="left"/>
              <w:rPr>
                <w:rFonts w:hint="default" w:ascii="Times New Roman" w:hAnsi="Times New Roman" w:eastAsia="宋体"/>
                <w:bCs/>
                <w:color w:val="auto"/>
                <w:sz w:val="24"/>
                <w:highlight w:val="none"/>
              </w:rPr>
            </w:pPr>
          </w:p>
        </w:tc>
      </w:tr>
      <w:tr w14:paraId="26AB84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26" w:hRule="atLeast"/>
          <w:jc w:val="center"/>
        </w:trPr>
        <w:tc>
          <w:tcPr>
            <w:tcW w:w="594" w:type="dxa"/>
            <w:vAlign w:val="center"/>
          </w:tcPr>
          <w:p w14:paraId="638618F3">
            <w:pPr>
              <w:pStyle w:val="8"/>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宋体"/>
                <w:bCs/>
                <w:color w:val="auto"/>
                <w:kern w:val="2"/>
                <w:sz w:val="21"/>
                <w:szCs w:val="21"/>
                <w:highlight w:val="none"/>
              </w:rPr>
            </w:pPr>
            <w:r>
              <w:rPr>
                <w:rFonts w:hint="default" w:ascii="Times New Roman" w:hAnsi="Times New Roman" w:cs="Times New Roman"/>
                <w:bCs/>
                <w:color w:val="auto"/>
                <w:sz w:val="21"/>
                <w:szCs w:val="21"/>
                <w:highlight w:val="none"/>
              </w:rPr>
              <w:t>与项目有关的原有环境污染问题</w:t>
            </w:r>
          </w:p>
        </w:tc>
        <w:tc>
          <w:tcPr>
            <w:tcW w:w="8486" w:type="dxa"/>
          </w:tcPr>
          <w:p w14:paraId="638BD960">
            <w:pPr>
              <w:pStyle w:val="14"/>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ascii="Times New Roman" w:hAnsi="Times New Roman" w:eastAsia="宋体" w:cs="Times New Roman"/>
                <w:color w:val="auto"/>
                <w:sz w:val="24"/>
                <w:highlight w:val="none"/>
                <w:lang w:val="en-US" w:eastAsia="zh-CN"/>
              </w:rPr>
            </w:pPr>
          </w:p>
          <w:p w14:paraId="26C20B11">
            <w:pPr>
              <w:pStyle w:val="14"/>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ascii="Times New Roman" w:hAnsi="Times New Roman" w:eastAsia="宋体" w:cs="Times New Roman"/>
                <w:color w:val="auto"/>
                <w:sz w:val="24"/>
                <w:highlight w:val="none"/>
                <w:lang w:val="en-US" w:eastAsia="zh-CN"/>
              </w:rPr>
            </w:pPr>
          </w:p>
          <w:p w14:paraId="7043D75C">
            <w:pPr>
              <w:pStyle w:val="14"/>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ascii="Times New Roman" w:hAnsi="Times New Roman" w:eastAsia="宋体" w:cs="Times New Roman"/>
                <w:color w:val="auto"/>
                <w:sz w:val="24"/>
                <w:highlight w:val="none"/>
                <w:lang w:val="en-US" w:eastAsia="zh-CN"/>
              </w:rPr>
            </w:pPr>
          </w:p>
          <w:p w14:paraId="4A06D347">
            <w:pPr>
              <w:pStyle w:val="14"/>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ascii="Times New Roman" w:hAnsi="Times New Roman" w:eastAsia="宋体" w:cs="Times New Roman"/>
                <w:color w:val="auto"/>
                <w:sz w:val="24"/>
                <w:highlight w:val="none"/>
                <w:lang w:val="en-US" w:eastAsia="zh-CN"/>
              </w:rPr>
            </w:pPr>
          </w:p>
          <w:p w14:paraId="32514093">
            <w:pPr>
              <w:pStyle w:val="14"/>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ascii="Times New Roman" w:hAnsi="Times New Roman" w:eastAsia="宋体" w:cs="Times New Roman"/>
                <w:color w:val="auto"/>
                <w:sz w:val="24"/>
                <w:highlight w:val="none"/>
                <w:lang w:val="en-US" w:eastAsia="zh-CN"/>
              </w:rPr>
            </w:pPr>
          </w:p>
          <w:p w14:paraId="26264604">
            <w:pPr>
              <w:pStyle w:val="14"/>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ascii="Times New Roman" w:hAnsi="Times New Roman" w:eastAsia="宋体" w:cs="Times New Roman"/>
                <w:color w:val="auto"/>
                <w:sz w:val="24"/>
                <w:highlight w:val="none"/>
                <w:lang w:val="en-US" w:eastAsia="zh-CN"/>
              </w:rPr>
            </w:pPr>
          </w:p>
          <w:p w14:paraId="365DBA00">
            <w:pPr>
              <w:pStyle w:val="14"/>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ascii="Times New Roman" w:hAnsi="Times New Roman" w:eastAsia="宋体" w:cs="Times New Roman"/>
                <w:color w:val="auto"/>
                <w:sz w:val="24"/>
                <w:highlight w:val="none"/>
                <w:lang w:val="en-US" w:eastAsia="zh-CN"/>
              </w:rPr>
            </w:pPr>
          </w:p>
          <w:p w14:paraId="43390093">
            <w:pPr>
              <w:pStyle w:val="14"/>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ascii="Times New Roman" w:hAnsi="Times New Roman" w:eastAsia="宋体" w:cs="Times New Roman"/>
                <w:color w:val="auto"/>
                <w:sz w:val="24"/>
                <w:highlight w:val="none"/>
                <w:lang w:val="en-US" w:eastAsia="zh-CN"/>
              </w:rPr>
            </w:pPr>
          </w:p>
          <w:p w14:paraId="08901D62">
            <w:pPr>
              <w:pStyle w:val="14"/>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ascii="Times New Roman" w:hAnsi="Times New Roman" w:eastAsia="宋体" w:cs="Times New Roman"/>
                <w:color w:val="auto"/>
                <w:sz w:val="24"/>
                <w:highlight w:val="none"/>
                <w:lang w:val="en-US" w:eastAsia="zh-CN"/>
              </w:rPr>
            </w:pPr>
          </w:p>
          <w:p w14:paraId="69A8B8C4">
            <w:pPr>
              <w:pStyle w:val="14"/>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ascii="Times New Roman" w:hAnsi="Times New Roman" w:eastAsia="宋体" w:cs="Times New Roman"/>
                <w:color w:val="auto"/>
                <w:sz w:val="24"/>
                <w:highlight w:val="none"/>
                <w:lang w:val="en-US" w:eastAsia="zh-CN"/>
              </w:rPr>
            </w:pPr>
          </w:p>
          <w:p w14:paraId="0659D982">
            <w:pPr>
              <w:pStyle w:val="14"/>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ascii="Times New Roman" w:hAnsi="Times New Roman" w:eastAsia="宋体" w:cs="Times New Roman"/>
                <w:color w:val="auto"/>
                <w:sz w:val="24"/>
                <w:highlight w:val="none"/>
                <w:lang w:val="en-US" w:eastAsia="zh-CN"/>
              </w:rPr>
            </w:pPr>
          </w:p>
          <w:p w14:paraId="03984590">
            <w:pPr>
              <w:pStyle w:val="14"/>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kern w:val="2"/>
                <w:sz w:val="24"/>
                <w:szCs w:val="32"/>
                <w:highlight w:val="none"/>
                <w:lang w:val="en-US" w:eastAsia="zh-CN" w:bidi="ar-SA"/>
              </w:rPr>
              <w:t>本项目位于</w:t>
            </w:r>
            <w:r>
              <w:rPr>
                <w:rFonts w:hint="eastAsia" w:ascii="Times New Roman" w:hAnsi="Times New Roman" w:cs="Times New Roman"/>
                <w:color w:val="auto"/>
                <w:sz w:val="24"/>
              </w:rPr>
              <w:t>鸡西市鸡冠区梁家村六组</w:t>
            </w:r>
            <w:r>
              <w:rPr>
                <w:rFonts w:hint="default" w:ascii="Times New Roman" w:hAnsi="Times New Roman" w:eastAsia="宋体" w:cs="Times New Roman"/>
                <w:color w:val="auto"/>
                <w:kern w:val="2"/>
                <w:sz w:val="24"/>
                <w:szCs w:val="32"/>
                <w:highlight w:val="none"/>
                <w:lang w:val="en-US" w:eastAsia="zh-CN" w:bidi="ar-SA"/>
              </w:rPr>
              <w:t>，</w:t>
            </w:r>
            <w:r>
              <w:rPr>
                <w:rFonts w:hint="eastAsia" w:ascii="Times New Roman" w:hAnsi="Times New Roman" w:cs="Times New Roman"/>
                <w:color w:val="auto"/>
                <w:spacing w:val="4"/>
                <w:sz w:val="24"/>
                <w:highlight w:val="none"/>
                <w:lang w:val="en-US" w:eastAsia="zh-CN"/>
              </w:rPr>
              <w:t>本</w:t>
            </w:r>
            <w:r>
              <w:rPr>
                <w:rFonts w:hint="default" w:ascii="Times New Roman" w:hAnsi="Times New Roman" w:eastAsia="宋体" w:cs="Times New Roman"/>
                <w:color w:val="auto"/>
                <w:kern w:val="2"/>
                <w:sz w:val="24"/>
                <w:szCs w:val="32"/>
                <w:highlight w:val="none"/>
                <w:lang w:val="en-US" w:eastAsia="zh-CN" w:bidi="ar-SA"/>
              </w:rPr>
              <w:t>项目为新建项目，无与项目有关的原有环境污染问题存在。</w:t>
            </w:r>
          </w:p>
          <w:p w14:paraId="3D274046">
            <w:pPr>
              <w:pStyle w:val="14"/>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ascii="Times New Roman" w:hAnsi="Times New Roman" w:eastAsia="宋体" w:cs="Times New Roman"/>
                <w:color w:val="auto"/>
                <w:sz w:val="24"/>
                <w:highlight w:val="none"/>
                <w:lang w:val="en-US" w:eastAsia="zh-CN"/>
              </w:rPr>
            </w:pPr>
          </w:p>
          <w:p w14:paraId="025B3618">
            <w:pPr>
              <w:pStyle w:val="14"/>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ascii="Times New Roman" w:hAnsi="Times New Roman" w:eastAsia="宋体" w:cs="Times New Roman"/>
                <w:color w:val="auto"/>
                <w:sz w:val="24"/>
                <w:highlight w:val="none"/>
                <w:lang w:val="en-US" w:eastAsia="zh-CN"/>
              </w:rPr>
            </w:pPr>
          </w:p>
          <w:p w14:paraId="5C5FDA60">
            <w:pPr>
              <w:pStyle w:val="14"/>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ascii="Times New Roman" w:hAnsi="Times New Roman" w:eastAsia="宋体" w:cs="Times New Roman"/>
                <w:color w:val="auto"/>
                <w:sz w:val="24"/>
                <w:highlight w:val="none"/>
                <w:lang w:val="en-US" w:eastAsia="zh-CN"/>
              </w:rPr>
            </w:pPr>
          </w:p>
          <w:p w14:paraId="693AB1F3">
            <w:pPr>
              <w:pStyle w:val="14"/>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ascii="Times New Roman" w:hAnsi="Times New Roman" w:eastAsia="宋体" w:cs="Times New Roman"/>
                <w:color w:val="auto"/>
                <w:sz w:val="24"/>
                <w:highlight w:val="none"/>
                <w:lang w:val="en-US" w:eastAsia="zh-CN"/>
              </w:rPr>
            </w:pPr>
          </w:p>
          <w:p w14:paraId="521A0725">
            <w:pPr>
              <w:pStyle w:val="14"/>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ascii="Times New Roman" w:hAnsi="Times New Roman" w:eastAsia="宋体" w:cs="Times New Roman"/>
                <w:color w:val="auto"/>
                <w:sz w:val="24"/>
                <w:highlight w:val="none"/>
                <w:lang w:val="en-US" w:eastAsia="zh-CN"/>
              </w:rPr>
            </w:pPr>
          </w:p>
          <w:p w14:paraId="41BBF276">
            <w:pPr>
              <w:pStyle w:val="14"/>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ascii="Times New Roman" w:hAnsi="Times New Roman" w:eastAsia="宋体" w:cs="Times New Roman"/>
                <w:color w:val="auto"/>
                <w:sz w:val="24"/>
                <w:highlight w:val="none"/>
                <w:lang w:val="en-US" w:eastAsia="zh-CN"/>
              </w:rPr>
            </w:pPr>
          </w:p>
          <w:p w14:paraId="7D8B5276">
            <w:pPr>
              <w:pStyle w:val="14"/>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rPr>
                <w:rFonts w:hint="eastAsia" w:ascii="Times New Roman" w:hAnsi="Times New Roman" w:eastAsia="宋体" w:cs="Times New Roman"/>
                <w:color w:val="auto"/>
                <w:sz w:val="24"/>
                <w:highlight w:val="none"/>
                <w:lang w:val="en-US" w:eastAsia="zh-CN"/>
              </w:rPr>
            </w:pPr>
          </w:p>
          <w:p w14:paraId="4DBFD5F1">
            <w:pPr>
              <w:pStyle w:val="2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right="0"/>
              <w:textAlignment w:val="auto"/>
              <w:rPr>
                <w:rFonts w:hint="default"/>
                <w:color w:val="auto"/>
                <w:highlight w:val="none"/>
              </w:rPr>
            </w:pPr>
          </w:p>
        </w:tc>
      </w:tr>
      <w:bookmarkEnd w:id="5"/>
    </w:tbl>
    <w:p w14:paraId="665ADC19">
      <w:pPr>
        <w:spacing w:line="360" w:lineRule="auto"/>
        <w:outlineLvl w:val="0"/>
        <w:rPr>
          <w:color w:val="auto"/>
          <w:sz w:val="30"/>
        </w:rPr>
        <w:sectPr>
          <w:pgSz w:w="11906" w:h="16838"/>
          <w:pgMar w:top="1701" w:right="1531" w:bottom="1701" w:left="1531" w:header="851" w:footer="1077" w:gutter="0"/>
          <w:pgBorders>
            <w:top w:val="none" w:sz="0" w:space="0"/>
            <w:left w:val="none" w:sz="0" w:space="0"/>
            <w:bottom w:val="none" w:sz="0" w:space="0"/>
            <w:right w:val="none" w:sz="0" w:space="0"/>
          </w:pgBorders>
          <w:pgNumType w:fmt="decimal"/>
          <w:cols w:space="720" w:num="1"/>
          <w:docGrid w:linePitch="312" w:charSpace="0"/>
        </w:sectPr>
      </w:pPr>
    </w:p>
    <w:p w14:paraId="38E229C1">
      <w:pPr>
        <w:pStyle w:val="26"/>
        <w:spacing w:before="0" w:beforeAutospacing="0" w:after="0" w:afterAutospacing="0"/>
        <w:jc w:val="center"/>
        <w:outlineLvl w:val="0"/>
        <w:rPr>
          <w:rFonts w:ascii="Times New Roman" w:hAnsi="Times New Roman"/>
          <w:b/>
          <w:snapToGrid w:val="0"/>
          <w:color w:val="auto"/>
          <w:sz w:val="30"/>
          <w:szCs w:val="30"/>
        </w:rPr>
      </w:pPr>
      <w:bookmarkStart w:id="16" w:name="_Toc21339"/>
      <w:r>
        <w:rPr>
          <w:rFonts w:ascii="Times New Roman" w:hAnsi="Times New Roman"/>
          <w:b/>
          <w:snapToGrid w:val="0"/>
          <w:color w:val="auto"/>
          <w:sz w:val="30"/>
          <w:szCs w:val="30"/>
        </w:rPr>
        <w:t>三、区域环境质量现状、环境保护目标及评价标准</w:t>
      </w:r>
      <w:bookmarkEnd w:id="16"/>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6"/>
        <w:gridCol w:w="8255"/>
      </w:tblGrid>
      <w:tr w14:paraId="039ADB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3" w:hRule="atLeast"/>
          <w:jc w:val="center"/>
        </w:trPr>
        <w:tc>
          <w:tcPr>
            <w:tcW w:w="445" w:type="pct"/>
            <w:vAlign w:val="center"/>
          </w:tcPr>
          <w:p w14:paraId="60E2B301">
            <w:pPr>
              <w:adjustRightInd w:val="0"/>
              <w:snapToGrid w:val="0"/>
              <w:jc w:val="center"/>
              <w:rPr>
                <w:b/>
                <w:bCs/>
                <w:color w:val="auto"/>
                <w:kern w:val="0"/>
                <w:szCs w:val="21"/>
              </w:rPr>
            </w:pPr>
            <w:r>
              <w:rPr>
                <w:b/>
                <w:bCs/>
                <w:color w:val="auto"/>
                <w:kern w:val="0"/>
                <w:szCs w:val="21"/>
              </w:rPr>
              <w:t>区域</w:t>
            </w:r>
          </w:p>
          <w:p w14:paraId="0EA2CA85">
            <w:pPr>
              <w:adjustRightInd w:val="0"/>
              <w:snapToGrid w:val="0"/>
              <w:jc w:val="center"/>
              <w:rPr>
                <w:b/>
                <w:bCs/>
                <w:color w:val="auto"/>
                <w:kern w:val="0"/>
                <w:szCs w:val="21"/>
              </w:rPr>
            </w:pPr>
            <w:r>
              <w:rPr>
                <w:b/>
                <w:bCs/>
                <w:color w:val="auto"/>
                <w:kern w:val="0"/>
                <w:szCs w:val="21"/>
              </w:rPr>
              <w:t>环境</w:t>
            </w:r>
          </w:p>
          <w:p w14:paraId="7F3DA653">
            <w:pPr>
              <w:adjustRightInd w:val="0"/>
              <w:snapToGrid w:val="0"/>
              <w:jc w:val="center"/>
              <w:rPr>
                <w:b/>
                <w:bCs/>
                <w:color w:val="auto"/>
                <w:kern w:val="0"/>
                <w:szCs w:val="21"/>
              </w:rPr>
            </w:pPr>
            <w:r>
              <w:rPr>
                <w:b/>
                <w:bCs/>
                <w:color w:val="auto"/>
                <w:kern w:val="0"/>
                <w:szCs w:val="21"/>
              </w:rPr>
              <w:t>质量</w:t>
            </w:r>
          </w:p>
          <w:p w14:paraId="08C9357C">
            <w:pPr>
              <w:adjustRightInd w:val="0"/>
              <w:snapToGrid w:val="0"/>
              <w:jc w:val="center"/>
              <w:rPr>
                <w:b/>
                <w:bCs/>
                <w:color w:val="auto"/>
                <w:kern w:val="0"/>
                <w:szCs w:val="21"/>
              </w:rPr>
            </w:pPr>
            <w:r>
              <w:rPr>
                <w:b/>
                <w:bCs/>
                <w:color w:val="auto"/>
                <w:kern w:val="0"/>
                <w:szCs w:val="21"/>
              </w:rPr>
              <w:t>现状</w:t>
            </w:r>
          </w:p>
        </w:tc>
        <w:tc>
          <w:tcPr>
            <w:tcW w:w="4554" w:type="pct"/>
            <w:vAlign w:val="center"/>
          </w:tcPr>
          <w:p w14:paraId="1A7993B4">
            <w:pPr>
              <w:pStyle w:val="81"/>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0" w:leftChars="0" w:firstLine="480" w:firstLineChars="200"/>
              <w:textAlignment w:val="auto"/>
              <w:rPr>
                <w:rFonts w:hint="eastAsia" w:ascii="Times New Roman" w:hAnsi="Times New Roman" w:eastAsia="宋体" w:cs="Times New Roman"/>
                <w:color w:val="auto"/>
                <w:kern w:val="0"/>
                <w:sz w:val="24"/>
                <w:szCs w:val="28"/>
                <w:lang w:val="en-US" w:eastAsia="zh-CN" w:bidi="ar-SA"/>
              </w:rPr>
            </w:pPr>
            <w:r>
              <w:rPr>
                <w:rFonts w:hint="eastAsia" w:ascii="Times New Roman" w:hAnsi="Times New Roman" w:eastAsia="宋体" w:cs="Times New Roman"/>
                <w:color w:val="auto"/>
                <w:kern w:val="0"/>
                <w:sz w:val="24"/>
                <w:szCs w:val="28"/>
                <w:lang w:val="en-US" w:eastAsia="zh-CN" w:bidi="ar-SA"/>
              </w:rPr>
              <w:t>1、大气环境质量现状</w:t>
            </w:r>
          </w:p>
          <w:p w14:paraId="2292DF40">
            <w:pPr>
              <w:snapToGrid w:val="0"/>
              <w:spacing w:line="360" w:lineRule="auto"/>
              <w:ind w:firstLine="480" w:firstLineChars="200"/>
              <w:rPr>
                <w:color w:val="auto"/>
                <w:kern w:val="0"/>
                <w:sz w:val="24"/>
              </w:rPr>
            </w:pPr>
            <w:bookmarkStart w:id="17" w:name="OLE_LINK8"/>
            <w:r>
              <w:rPr>
                <w:rFonts w:hint="eastAsia"/>
                <w:color w:val="auto"/>
                <w:kern w:val="0"/>
                <w:sz w:val="24"/>
              </w:rPr>
              <w:t>（1）环境空气质量达标区判定</w:t>
            </w:r>
          </w:p>
          <w:p w14:paraId="335501F8">
            <w:pPr>
              <w:pStyle w:val="13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auto"/>
                <w:kern w:val="2"/>
                <w:szCs w:val="24"/>
              </w:rPr>
            </w:pPr>
            <w:r>
              <w:rPr>
                <w:rFonts w:hAnsi="宋体"/>
                <w:color w:val="auto"/>
                <w:sz w:val="24"/>
              </w:rPr>
              <w:t>根据</w:t>
            </w:r>
            <w:r>
              <w:rPr>
                <w:rFonts w:ascii="Times New Roman" w:hAnsi="宋体" w:eastAsia="宋体" w:cs="Times New Roman"/>
                <w:color w:val="auto"/>
                <w:sz w:val="24"/>
              </w:rPr>
              <w:t>《</w:t>
            </w:r>
            <w:r>
              <w:rPr>
                <w:rFonts w:hint="eastAsia" w:ascii="Times New Roman" w:hAnsi="宋体" w:eastAsia="宋体" w:cs="Times New Roman"/>
                <w:color w:val="auto"/>
                <w:sz w:val="24"/>
                <w:lang w:val="en-US" w:eastAsia="zh-CN"/>
              </w:rPr>
              <w:t>2023年鸡西市生态环境质量状况</w:t>
            </w:r>
            <w:r>
              <w:rPr>
                <w:rFonts w:ascii="Times New Roman" w:hAnsi="宋体" w:eastAsia="宋体" w:cs="Times New Roman"/>
                <w:color w:val="auto"/>
                <w:sz w:val="24"/>
              </w:rPr>
              <w:t>》</w:t>
            </w:r>
            <w:r>
              <w:rPr>
                <w:rFonts w:hAnsi="宋体"/>
                <w:color w:val="auto"/>
                <w:sz w:val="24"/>
              </w:rPr>
              <w:t>，</w:t>
            </w:r>
            <w:r>
              <w:rPr>
                <w:rFonts w:hint="default"/>
                <w:color w:val="auto"/>
                <w:kern w:val="2"/>
                <w:szCs w:val="24"/>
              </w:rPr>
              <w:t>20</w:t>
            </w:r>
            <w:r>
              <w:rPr>
                <w:rFonts w:hint="eastAsia"/>
                <w:color w:val="auto"/>
                <w:kern w:val="2"/>
                <w:szCs w:val="24"/>
              </w:rPr>
              <w:t>2</w:t>
            </w:r>
            <w:r>
              <w:rPr>
                <w:rFonts w:hint="eastAsia"/>
                <w:color w:val="auto"/>
                <w:kern w:val="2"/>
                <w:szCs w:val="24"/>
                <w:lang w:val="en-US" w:eastAsia="zh-CN"/>
              </w:rPr>
              <w:t>3</w:t>
            </w:r>
            <w:r>
              <w:rPr>
                <w:rFonts w:hint="default"/>
                <w:color w:val="auto"/>
                <w:kern w:val="2"/>
                <w:szCs w:val="24"/>
              </w:rPr>
              <w:t>年</w:t>
            </w:r>
            <w:r>
              <w:rPr>
                <w:rFonts w:hint="eastAsia"/>
                <w:color w:val="auto"/>
                <w:kern w:val="2"/>
                <w:szCs w:val="24"/>
                <w:lang w:val="en-US" w:eastAsia="zh-CN"/>
              </w:rPr>
              <w:t>鸡西</w:t>
            </w:r>
            <w:r>
              <w:rPr>
                <w:rFonts w:hint="default"/>
                <w:color w:val="auto"/>
                <w:kern w:val="2"/>
                <w:szCs w:val="24"/>
              </w:rPr>
              <w:t>市环境空气中鸡西市空气质量级别达二级标准，达标天数为</w:t>
            </w:r>
            <w:r>
              <w:rPr>
                <w:rFonts w:hint="eastAsia"/>
                <w:color w:val="auto"/>
                <w:kern w:val="2"/>
                <w:szCs w:val="24"/>
                <w:lang w:val="en-US" w:eastAsia="zh-CN"/>
              </w:rPr>
              <w:t>340</w:t>
            </w:r>
            <w:r>
              <w:rPr>
                <w:rFonts w:hint="default"/>
                <w:color w:val="auto"/>
                <w:kern w:val="2"/>
                <w:szCs w:val="24"/>
              </w:rPr>
              <w:t>天</w:t>
            </w:r>
            <w:r>
              <w:rPr>
                <w:rFonts w:hint="eastAsia"/>
                <w:color w:val="auto"/>
                <w:kern w:val="2"/>
                <w:szCs w:val="24"/>
                <w:lang w:eastAsia="zh-CN"/>
              </w:rPr>
              <w:t>（</w:t>
            </w:r>
            <w:r>
              <w:rPr>
                <w:rFonts w:hint="eastAsia"/>
                <w:color w:val="auto"/>
                <w:kern w:val="2"/>
                <w:szCs w:val="24"/>
                <w:lang w:val="en-US" w:eastAsia="zh-CN"/>
              </w:rPr>
              <w:t>93.2</w:t>
            </w:r>
            <w:r>
              <w:rPr>
                <w:rFonts w:hint="default"/>
                <w:color w:val="auto"/>
                <w:kern w:val="2"/>
                <w:szCs w:val="24"/>
              </w:rPr>
              <w:t>%</w:t>
            </w:r>
            <w:r>
              <w:rPr>
                <w:rFonts w:hint="eastAsia"/>
                <w:color w:val="auto"/>
                <w:kern w:val="2"/>
                <w:szCs w:val="24"/>
                <w:lang w:eastAsia="zh-CN"/>
              </w:rPr>
              <w:t>）。</w:t>
            </w:r>
            <w:r>
              <w:rPr>
                <w:rFonts w:hint="default"/>
                <w:color w:val="auto"/>
                <w:kern w:val="2"/>
                <w:szCs w:val="24"/>
              </w:rPr>
              <w:t>PM</w:t>
            </w:r>
            <w:r>
              <w:rPr>
                <w:rFonts w:hint="eastAsia"/>
                <w:color w:val="auto"/>
                <w:kern w:val="2"/>
                <w:szCs w:val="24"/>
                <w:vertAlign w:val="subscript"/>
                <w:lang w:val="en-US" w:eastAsia="zh-CN"/>
              </w:rPr>
              <w:t>2.5</w:t>
            </w:r>
            <w:r>
              <w:rPr>
                <w:rFonts w:hint="default"/>
                <w:color w:val="auto"/>
                <w:kern w:val="2"/>
                <w:szCs w:val="24"/>
              </w:rPr>
              <w:t>、PM</w:t>
            </w:r>
            <w:r>
              <w:rPr>
                <w:rFonts w:hint="eastAsia"/>
                <w:color w:val="auto"/>
                <w:kern w:val="2"/>
                <w:szCs w:val="24"/>
                <w:vertAlign w:val="subscript"/>
                <w:lang w:val="en-US" w:eastAsia="zh-CN"/>
              </w:rPr>
              <w:t>10</w:t>
            </w:r>
            <w:r>
              <w:rPr>
                <w:rFonts w:hint="default"/>
                <w:color w:val="auto"/>
                <w:kern w:val="2"/>
                <w:szCs w:val="24"/>
              </w:rPr>
              <w:t>、SO</w:t>
            </w:r>
            <w:r>
              <w:rPr>
                <w:rFonts w:hint="eastAsia"/>
                <w:color w:val="auto"/>
                <w:kern w:val="2"/>
                <w:szCs w:val="24"/>
                <w:vertAlign w:val="subscript"/>
                <w:lang w:val="en-US" w:eastAsia="zh-CN"/>
              </w:rPr>
              <w:t>2</w:t>
            </w:r>
            <w:r>
              <w:rPr>
                <w:rFonts w:hint="default"/>
                <w:color w:val="auto"/>
                <w:kern w:val="2"/>
                <w:szCs w:val="24"/>
              </w:rPr>
              <w:t>、NO</w:t>
            </w:r>
            <w:r>
              <w:rPr>
                <w:rFonts w:hint="eastAsia"/>
                <w:color w:val="auto"/>
                <w:kern w:val="2"/>
                <w:szCs w:val="24"/>
                <w:vertAlign w:val="subscript"/>
                <w:lang w:val="en-US" w:eastAsia="zh-CN"/>
              </w:rPr>
              <w:t>2</w:t>
            </w:r>
            <w:r>
              <w:rPr>
                <w:rFonts w:hint="default"/>
                <w:color w:val="auto"/>
                <w:kern w:val="2"/>
                <w:szCs w:val="24"/>
              </w:rPr>
              <w:t>、CO-95per和</w:t>
            </w:r>
            <w:r>
              <w:rPr>
                <w:rFonts w:hint="eastAsia"/>
                <w:color w:val="auto"/>
                <w:kern w:val="2"/>
                <w:szCs w:val="24"/>
                <w:lang w:val="en-US" w:eastAsia="zh-CN"/>
              </w:rPr>
              <w:t>O</w:t>
            </w:r>
            <w:r>
              <w:rPr>
                <w:rFonts w:hint="eastAsia"/>
                <w:color w:val="auto"/>
                <w:kern w:val="2"/>
                <w:szCs w:val="24"/>
                <w:vertAlign w:val="subscript"/>
                <w:lang w:val="en-US" w:eastAsia="zh-CN"/>
              </w:rPr>
              <w:t>3</w:t>
            </w:r>
            <w:r>
              <w:rPr>
                <w:rFonts w:hint="default"/>
                <w:color w:val="auto"/>
                <w:kern w:val="2"/>
                <w:szCs w:val="24"/>
              </w:rPr>
              <w:t>-8h-90per年均浓度分别为</w:t>
            </w:r>
            <w:r>
              <w:rPr>
                <w:rFonts w:hint="eastAsia"/>
                <w:color w:val="auto"/>
                <w:kern w:val="2"/>
                <w:szCs w:val="24"/>
                <w:lang w:val="en-US" w:eastAsia="zh-CN"/>
              </w:rPr>
              <w:t>28</w:t>
            </w:r>
            <w:r>
              <w:rPr>
                <w:rFonts w:hint="default"/>
                <w:color w:val="auto"/>
                <w:kern w:val="2"/>
                <w:szCs w:val="24"/>
              </w:rPr>
              <w:t>μg/m</w:t>
            </w:r>
            <w:r>
              <w:rPr>
                <w:rFonts w:hint="default"/>
                <w:color w:val="auto"/>
                <w:kern w:val="2"/>
                <w:szCs w:val="24"/>
                <w:vertAlign w:val="superscript"/>
              </w:rPr>
              <w:t>3</w:t>
            </w:r>
            <w:r>
              <w:rPr>
                <w:rFonts w:hint="default"/>
                <w:color w:val="auto"/>
                <w:kern w:val="2"/>
                <w:szCs w:val="24"/>
              </w:rPr>
              <w:t>、</w:t>
            </w:r>
            <w:r>
              <w:rPr>
                <w:rFonts w:hint="eastAsia"/>
                <w:color w:val="auto"/>
                <w:kern w:val="2"/>
                <w:szCs w:val="24"/>
                <w:lang w:val="en-US" w:eastAsia="zh-CN"/>
              </w:rPr>
              <w:t>50</w:t>
            </w:r>
            <w:r>
              <w:rPr>
                <w:rFonts w:hint="default"/>
                <w:color w:val="auto"/>
                <w:kern w:val="2"/>
                <w:szCs w:val="24"/>
              </w:rPr>
              <w:t>μg/m</w:t>
            </w:r>
            <w:r>
              <w:rPr>
                <w:rFonts w:hint="default"/>
                <w:color w:val="auto"/>
                <w:kern w:val="2"/>
                <w:szCs w:val="24"/>
                <w:vertAlign w:val="superscript"/>
              </w:rPr>
              <w:t>3</w:t>
            </w:r>
            <w:r>
              <w:rPr>
                <w:rFonts w:hint="default"/>
                <w:color w:val="auto"/>
                <w:kern w:val="2"/>
                <w:szCs w:val="24"/>
              </w:rPr>
              <w:t>、8μg/m</w:t>
            </w:r>
            <w:r>
              <w:rPr>
                <w:rFonts w:hint="default"/>
                <w:color w:val="auto"/>
                <w:kern w:val="2"/>
                <w:szCs w:val="24"/>
                <w:vertAlign w:val="superscript"/>
              </w:rPr>
              <w:t>3</w:t>
            </w:r>
            <w:r>
              <w:rPr>
                <w:rFonts w:hint="default"/>
                <w:color w:val="auto"/>
                <w:kern w:val="2"/>
                <w:szCs w:val="24"/>
              </w:rPr>
              <w:t>、</w:t>
            </w:r>
            <w:r>
              <w:rPr>
                <w:rFonts w:hint="eastAsia"/>
                <w:color w:val="auto"/>
                <w:kern w:val="2"/>
                <w:szCs w:val="24"/>
                <w:lang w:val="en-US" w:eastAsia="zh-CN"/>
              </w:rPr>
              <w:t>20</w:t>
            </w:r>
            <w:r>
              <w:rPr>
                <w:rFonts w:hint="default"/>
                <w:color w:val="auto"/>
                <w:kern w:val="2"/>
                <w:szCs w:val="24"/>
              </w:rPr>
              <w:t>μg/m</w:t>
            </w:r>
            <w:r>
              <w:rPr>
                <w:rFonts w:hint="default"/>
                <w:color w:val="auto"/>
                <w:kern w:val="2"/>
                <w:szCs w:val="24"/>
                <w:vertAlign w:val="superscript"/>
              </w:rPr>
              <w:t>3</w:t>
            </w:r>
            <w:r>
              <w:rPr>
                <w:rFonts w:hint="default"/>
                <w:color w:val="auto"/>
                <w:kern w:val="2"/>
                <w:szCs w:val="24"/>
              </w:rPr>
              <w:t>、</w:t>
            </w:r>
            <w:r>
              <w:rPr>
                <w:rFonts w:hint="eastAsia"/>
                <w:color w:val="auto"/>
                <w:kern w:val="2"/>
                <w:szCs w:val="24"/>
                <w:lang w:val="en-US" w:eastAsia="zh-CN"/>
              </w:rPr>
              <w:t>1</w:t>
            </w:r>
            <w:r>
              <w:rPr>
                <w:rFonts w:hint="default"/>
                <w:color w:val="auto"/>
                <w:kern w:val="2"/>
                <w:szCs w:val="24"/>
              </w:rPr>
              <w:t>mg/m</w:t>
            </w:r>
            <w:r>
              <w:rPr>
                <w:rFonts w:hint="default"/>
                <w:color w:val="auto"/>
                <w:kern w:val="2"/>
                <w:szCs w:val="24"/>
                <w:vertAlign w:val="superscript"/>
              </w:rPr>
              <w:t>3</w:t>
            </w:r>
            <w:r>
              <w:rPr>
                <w:rFonts w:hint="default"/>
                <w:color w:val="auto"/>
                <w:kern w:val="2"/>
                <w:szCs w:val="24"/>
              </w:rPr>
              <w:t>和</w:t>
            </w:r>
            <w:r>
              <w:rPr>
                <w:rFonts w:hint="eastAsia"/>
                <w:color w:val="auto"/>
                <w:kern w:val="2"/>
                <w:szCs w:val="24"/>
                <w:lang w:val="en-US" w:eastAsia="zh-CN"/>
              </w:rPr>
              <w:t>98</w:t>
            </w:r>
            <w:r>
              <w:rPr>
                <w:rFonts w:hint="default"/>
                <w:color w:val="auto"/>
                <w:kern w:val="2"/>
                <w:szCs w:val="24"/>
              </w:rPr>
              <w:t>μg/m</w:t>
            </w:r>
            <w:r>
              <w:rPr>
                <w:rFonts w:hint="default"/>
                <w:color w:val="auto"/>
                <w:kern w:val="2"/>
                <w:szCs w:val="24"/>
                <w:vertAlign w:val="superscript"/>
              </w:rPr>
              <w:t>3</w:t>
            </w:r>
            <w:r>
              <w:rPr>
                <w:rFonts w:hint="default"/>
                <w:color w:val="auto"/>
                <w:kern w:val="2"/>
                <w:szCs w:val="24"/>
              </w:rPr>
              <w:t>。</w:t>
            </w:r>
          </w:p>
          <w:p w14:paraId="1E886246">
            <w:pPr>
              <w:pStyle w:val="13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color w:val="auto"/>
                <w:sz w:val="24"/>
              </w:rPr>
            </w:pPr>
            <w:r>
              <w:rPr>
                <w:rFonts w:hint="eastAsia"/>
                <w:color w:val="auto"/>
                <w:kern w:val="2"/>
                <w:szCs w:val="24"/>
              </w:rPr>
              <w:t>各污染物</w:t>
            </w:r>
            <w:r>
              <w:rPr>
                <w:rFonts w:hint="default"/>
                <w:color w:val="auto"/>
                <w:kern w:val="2"/>
                <w:szCs w:val="24"/>
              </w:rPr>
              <w:t>PM</w:t>
            </w:r>
            <w:r>
              <w:rPr>
                <w:rFonts w:hint="default"/>
                <w:color w:val="auto"/>
                <w:kern w:val="2"/>
                <w:szCs w:val="24"/>
                <w:vertAlign w:val="subscript"/>
              </w:rPr>
              <w:t>2.5</w:t>
            </w:r>
            <w:r>
              <w:rPr>
                <w:rFonts w:hint="eastAsia"/>
                <w:color w:val="auto"/>
                <w:kern w:val="2"/>
                <w:szCs w:val="24"/>
              </w:rPr>
              <w:t>、</w:t>
            </w:r>
            <w:r>
              <w:rPr>
                <w:rFonts w:hint="default"/>
                <w:color w:val="auto"/>
                <w:kern w:val="2"/>
                <w:szCs w:val="24"/>
              </w:rPr>
              <w:t>PM</w:t>
            </w:r>
            <w:r>
              <w:rPr>
                <w:rFonts w:hint="default"/>
                <w:color w:val="auto"/>
                <w:kern w:val="2"/>
                <w:szCs w:val="24"/>
                <w:vertAlign w:val="subscript"/>
              </w:rPr>
              <w:t>10</w:t>
            </w:r>
            <w:r>
              <w:rPr>
                <w:rFonts w:hint="default"/>
                <w:color w:val="auto"/>
                <w:kern w:val="2"/>
                <w:szCs w:val="24"/>
              </w:rPr>
              <w:t>、SO</w:t>
            </w:r>
            <w:r>
              <w:rPr>
                <w:rFonts w:hint="default"/>
                <w:color w:val="auto"/>
                <w:kern w:val="2"/>
                <w:szCs w:val="24"/>
                <w:vertAlign w:val="subscript"/>
              </w:rPr>
              <w:t>2</w:t>
            </w:r>
            <w:r>
              <w:rPr>
                <w:rFonts w:hint="default"/>
                <w:color w:val="auto"/>
                <w:kern w:val="2"/>
                <w:szCs w:val="24"/>
              </w:rPr>
              <w:t>、NO</w:t>
            </w:r>
            <w:r>
              <w:rPr>
                <w:rFonts w:hint="default"/>
                <w:color w:val="auto"/>
                <w:kern w:val="2"/>
                <w:szCs w:val="24"/>
                <w:vertAlign w:val="subscript"/>
              </w:rPr>
              <w:t>2</w:t>
            </w:r>
            <w:r>
              <w:rPr>
                <w:rFonts w:hint="default"/>
                <w:color w:val="auto"/>
                <w:kern w:val="2"/>
                <w:szCs w:val="24"/>
              </w:rPr>
              <w:t>、CO、O</w:t>
            </w:r>
            <w:r>
              <w:rPr>
                <w:rFonts w:hint="default"/>
                <w:color w:val="auto"/>
                <w:kern w:val="2"/>
                <w:szCs w:val="24"/>
                <w:vertAlign w:val="subscript"/>
              </w:rPr>
              <w:t>3</w:t>
            </w:r>
            <w:r>
              <w:rPr>
                <w:rFonts w:hint="default"/>
                <w:color w:val="auto"/>
                <w:kern w:val="2"/>
                <w:szCs w:val="24"/>
              </w:rPr>
              <w:t>均满足《环境空气质量标准》（GB3095-2012）二级标准。</w:t>
            </w:r>
          </w:p>
          <w:p w14:paraId="3598C6D8">
            <w:pPr>
              <w:pStyle w:val="104"/>
              <w:keepNext w:val="0"/>
              <w:keepLines w:val="0"/>
              <w:suppressLineNumbers w:val="0"/>
              <w:spacing w:before="0" w:beforeAutospacing="0" w:after="0" w:afterAutospacing="0" w:line="240" w:lineRule="auto"/>
              <w:ind w:left="0" w:right="0"/>
              <w:rPr>
                <w:rFonts w:hint="default" w:ascii="Times New Roman" w:hAnsi="Times New Roman" w:eastAsia="宋体" w:cs="Times New Roman"/>
                <w:b/>
                <w:bCs/>
                <w:iCs/>
                <w:color w:val="auto"/>
                <w:kern w:val="0"/>
                <w:sz w:val="21"/>
                <w:szCs w:val="21"/>
                <w:lang w:val="en-US" w:eastAsia="zh-CN" w:bidi="ar-SA"/>
              </w:rPr>
            </w:pPr>
            <w:r>
              <w:rPr>
                <w:rFonts w:hint="eastAsia" w:ascii="Times New Roman" w:hAnsi="Times New Roman" w:eastAsia="宋体" w:cs="Times New Roman"/>
                <w:b/>
                <w:bCs/>
                <w:iCs/>
                <w:color w:val="auto"/>
                <w:kern w:val="0"/>
                <w:sz w:val="21"/>
                <w:szCs w:val="21"/>
                <w:lang w:val="en-US" w:eastAsia="zh-CN" w:bidi="ar-SA"/>
              </w:rPr>
              <w:t>表3-1  区域空气质量现状评价表</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898"/>
              <w:gridCol w:w="1801"/>
              <w:gridCol w:w="1126"/>
              <w:gridCol w:w="1208"/>
              <w:gridCol w:w="938"/>
              <w:gridCol w:w="1068"/>
            </w:tblGrid>
            <w:tr w14:paraId="606593B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80" w:type="pct"/>
                  <w:tcBorders>
                    <w:top w:val="single" w:color="auto" w:sz="12" w:space="0"/>
                    <w:bottom w:val="single" w:color="auto" w:sz="6" w:space="0"/>
                    <w:right w:val="single" w:color="auto" w:sz="6" w:space="0"/>
                  </w:tcBorders>
                  <w:vAlign w:val="center"/>
                </w:tcPr>
                <w:p w14:paraId="2042ACB5">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污染物</w:t>
                  </w:r>
                </w:p>
              </w:tc>
              <w:tc>
                <w:tcPr>
                  <w:tcW w:w="1119" w:type="pct"/>
                  <w:tcBorders>
                    <w:top w:val="single" w:color="auto" w:sz="12" w:space="0"/>
                    <w:left w:val="single" w:color="auto" w:sz="6" w:space="0"/>
                    <w:bottom w:val="single" w:color="auto" w:sz="6" w:space="0"/>
                    <w:right w:val="single" w:color="auto" w:sz="6" w:space="0"/>
                  </w:tcBorders>
                  <w:vAlign w:val="center"/>
                </w:tcPr>
                <w:p w14:paraId="0A36F663">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年评价指标</w:t>
                  </w:r>
                </w:p>
              </w:tc>
              <w:tc>
                <w:tcPr>
                  <w:tcW w:w="700" w:type="pct"/>
                  <w:tcBorders>
                    <w:top w:val="single" w:color="auto" w:sz="12" w:space="0"/>
                    <w:left w:val="single" w:color="auto" w:sz="6" w:space="0"/>
                    <w:bottom w:val="single" w:color="auto" w:sz="6" w:space="0"/>
                    <w:right w:val="single" w:color="auto" w:sz="6" w:space="0"/>
                  </w:tcBorders>
                  <w:vAlign w:val="center"/>
                </w:tcPr>
                <w:p w14:paraId="6E6A4EFB">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现状浓度</w:t>
                  </w:r>
                  <w:r>
                    <w:rPr>
                      <w:rFonts w:hint="default"/>
                      <w:color w:val="auto"/>
                      <w:szCs w:val="21"/>
                    </w:rPr>
                    <w:t>/</w:t>
                  </w:r>
                </w:p>
                <w:p w14:paraId="1F2615B5">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w:t>
                  </w:r>
                  <w:r>
                    <w:rPr>
                      <w:rFonts w:hint="default"/>
                      <w:color w:val="auto"/>
                      <w:szCs w:val="21"/>
                    </w:rPr>
                    <w:t>μg/m</w:t>
                  </w:r>
                  <w:r>
                    <w:rPr>
                      <w:rFonts w:hint="default"/>
                      <w:color w:val="auto"/>
                      <w:szCs w:val="21"/>
                      <w:vertAlign w:val="superscript"/>
                    </w:rPr>
                    <w:t>3</w:t>
                  </w:r>
                  <w:r>
                    <w:rPr>
                      <w:rFonts w:hint="eastAsia"/>
                      <w:color w:val="auto"/>
                      <w:szCs w:val="21"/>
                    </w:rPr>
                    <w:t>）</w:t>
                  </w:r>
                </w:p>
              </w:tc>
              <w:tc>
                <w:tcPr>
                  <w:tcW w:w="751" w:type="pct"/>
                  <w:tcBorders>
                    <w:top w:val="single" w:color="auto" w:sz="12" w:space="0"/>
                    <w:left w:val="single" w:color="auto" w:sz="6" w:space="0"/>
                    <w:bottom w:val="single" w:color="auto" w:sz="6" w:space="0"/>
                    <w:right w:val="single" w:color="auto" w:sz="6" w:space="0"/>
                  </w:tcBorders>
                  <w:vAlign w:val="center"/>
                </w:tcPr>
                <w:p w14:paraId="77F156F9">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标准值</w:t>
                  </w:r>
                  <w:r>
                    <w:rPr>
                      <w:rFonts w:hint="default"/>
                      <w:color w:val="auto"/>
                      <w:szCs w:val="21"/>
                    </w:rPr>
                    <w:t>/</w:t>
                  </w:r>
                </w:p>
                <w:p w14:paraId="600BD943">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w:t>
                  </w:r>
                  <w:r>
                    <w:rPr>
                      <w:rFonts w:hint="default"/>
                      <w:color w:val="auto"/>
                      <w:szCs w:val="21"/>
                    </w:rPr>
                    <w:t>μg/m</w:t>
                  </w:r>
                  <w:r>
                    <w:rPr>
                      <w:rFonts w:hint="default"/>
                      <w:color w:val="auto"/>
                      <w:szCs w:val="21"/>
                      <w:vertAlign w:val="superscript"/>
                    </w:rPr>
                    <w:t>3</w:t>
                  </w:r>
                  <w:r>
                    <w:rPr>
                      <w:rFonts w:hint="eastAsia"/>
                      <w:color w:val="auto"/>
                      <w:szCs w:val="21"/>
                    </w:rPr>
                    <w:t>）</w:t>
                  </w:r>
                </w:p>
              </w:tc>
              <w:tc>
                <w:tcPr>
                  <w:tcW w:w="583" w:type="pct"/>
                  <w:tcBorders>
                    <w:top w:val="single" w:color="auto" w:sz="12" w:space="0"/>
                    <w:left w:val="single" w:color="auto" w:sz="6" w:space="0"/>
                    <w:bottom w:val="single" w:color="auto" w:sz="6" w:space="0"/>
                    <w:right w:val="single" w:color="auto" w:sz="6" w:space="0"/>
                  </w:tcBorders>
                  <w:vAlign w:val="center"/>
                </w:tcPr>
                <w:p w14:paraId="72CA0DB1">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占标率</w:t>
                  </w:r>
                  <w:r>
                    <w:rPr>
                      <w:rFonts w:hint="default"/>
                      <w:color w:val="auto"/>
                      <w:szCs w:val="21"/>
                    </w:rPr>
                    <w:t>/</w:t>
                  </w:r>
                </w:p>
                <w:p w14:paraId="2CE7F2F3">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w:t>
                  </w:r>
                  <w:r>
                    <w:rPr>
                      <w:rFonts w:hint="default"/>
                      <w:color w:val="auto"/>
                      <w:szCs w:val="21"/>
                    </w:rPr>
                    <w:t>%</w:t>
                  </w:r>
                  <w:r>
                    <w:rPr>
                      <w:rFonts w:hint="eastAsia"/>
                      <w:color w:val="auto"/>
                      <w:szCs w:val="21"/>
                    </w:rPr>
                    <w:t>）</w:t>
                  </w:r>
                </w:p>
              </w:tc>
              <w:tc>
                <w:tcPr>
                  <w:tcW w:w="663" w:type="pct"/>
                  <w:tcBorders>
                    <w:top w:val="single" w:color="auto" w:sz="12" w:space="0"/>
                    <w:left w:val="single" w:color="auto" w:sz="6" w:space="0"/>
                    <w:bottom w:val="single" w:color="auto" w:sz="6" w:space="0"/>
                  </w:tcBorders>
                  <w:vAlign w:val="center"/>
                </w:tcPr>
                <w:p w14:paraId="1B81530E">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达标情况</w:t>
                  </w:r>
                </w:p>
              </w:tc>
            </w:tr>
            <w:tr w14:paraId="4DC902D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80" w:type="pct"/>
                  <w:tcBorders>
                    <w:top w:val="single" w:color="auto" w:sz="6" w:space="0"/>
                    <w:bottom w:val="single" w:color="auto" w:sz="6" w:space="0"/>
                    <w:right w:val="single" w:color="auto" w:sz="6" w:space="0"/>
                  </w:tcBorders>
                  <w:vAlign w:val="center"/>
                </w:tcPr>
                <w:p w14:paraId="3DDBB51B">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细颗粒物（</w:t>
                  </w:r>
                  <w:r>
                    <w:rPr>
                      <w:rFonts w:hint="default"/>
                      <w:color w:val="auto"/>
                      <w:szCs w:val="21"/>
                    </w:rPr>
                    <w:t>PM</w:t>
                  </w:r>
                  <w:r>
                    <w:rPr>
                      <w:rFonts w:hint="default"/>
                      <w:color w:val="auto"/>
                      <w:szCs w:val="21"/>
                      <w:vertAlign w:val="subscript"/>
                    </w:rPr>
                    <w:t>2.5</w:t>
                  </w:r>
                  <w:r>
                    <w:rPr>
                      <w:rFonts w:hint="eastAsia"/>
                      <w:color w:val="auto"/>
                      <w:szCs w:val="21"/>
                    </w:rPr>
                    <w:t>）</w:t>
                  </w:r>
                </w:p>
              </w:tc>
              <w:tc>
                <w:tcPr>
                  <w:tcW w:w="1119" w:type="pct"/>
                  <w:tcBorders>
                    <w:top w:val="single" w:color="auto" w:sz="6" w:space="0"/>
                    <w:left w:val="single" w:color="auto" w:sz="6" w:space="0"/>
                    <w:bottom w:val="single" w:color="auto" w:sz="6" w:space="0"/>
                    <w:right w:val="single" w:color="auto" w:sz="6" w:space="0"/>
                  </w:tcBorders>
                  <w:vAlign w:val="center"/>
                </w:tcPr>
                <w:p w14:paraId="6543149B">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年平均质量浓度</w:t>
                  </w:r>
                </w:p>
              </w:tc>
              <w:tc>
                <w:tcPr>
                  <w:tcW w:w="700" w:type="pct"/>
                  <w:tcBorders>
                    <w:top w:val="single" w:color="auto" w:sz="6" w:space="0"/>
                    <w:left w:val="single" w:color="auto" w:sz="6" w:space="0"/>
                    <w:bottom w:val="single" w:color="auto" w:sz="6" w:space="0"/>
                    <w:right w:val="single" w:color="auto" w:sz="6" w:space="0"/>
                  </w:tcBorders>
                  <w:vAlign w:val="center"/>
                </w:tcPr>
                <w:p w14:paraId="1FEEFD41">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28</w:t>
                  </w:r>
                </w:p>
              </w:tc>
              <w:tc>
                <w:tcPr>
                  <w:tcW w:w="751" w:type="pct"/>
                  <w:tcBorders>
                    <w:top w:val="single" w:color="auto" w:sz="6" w:space="0"/>
                    <w:left w:val="single" w:color="auto" w:sz="6" w:space="0"/>
                    <w:bottom w:val="single" w:color="auto" w:sz="6" w:space="0"/>
                    <w:right w:val="single" w:color="auto" w:sz="6" w:space="0"/>
                  </w:tcBorders>
                  <w:vAlign w:val="center"/>
                </w:tcPr>
                <w:p w14:paraId="7FE16320">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35</w:t>
                  </w:r>
                </w:p>
              </w:tc>
              <w:tc>
                <w:tcPr>
                  <w:tcW w:w="583" w:type="pct"/>
                  <w:tcBorders>
                    <w:top w:val="single" w:color="auto" w:sz="6" w:space="0"/>
                    <w:left w:val="single" w:color="auto" w:sz="6" w:space="0"/>
                    <w:bottom w:val="single" w:color="auto" w:sz="6" w:space="0"/>
                    <w:right w:val="single" w:color="auto" w:sz="6" w:space="0"/>
                  </w:tcBorders>
                  <w:vAlign w:val="center"/>
                </w:tcPr>
                <w:p w14:paraId="1941FE3C">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80</w:t>
                  </w:r>
                </w:p>
              </w:tc>
              <w:tc>
                <w:tcPr>
                  <w:tcW w:w="663" w:type="pct"/>
                  <w:tcBorders>
                    <w:top w:val="single" w:color="auto" w:sz="6" w:space="0"/>
                    <w:left w:val="single" w:color="auto" w:sz="6" w:space="0"/>
                    <w:bottom w:val="single" w:color="auto" w:sz="6" w:space="0"/>
                  </w:tcBorders>
                  <w:vAlign w:val="center"/>
                </w:tcPr>
                <w:p w14:paraId="47901201">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达标</w:t>
                  </w:r>
                </w:p>
              </w:tc>
            </w:tr>
            <w:tr w14:paraId="5D7793D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80" w:type="pct"/>
                  <w:tcBorders>
                    <w:top w:val="single" w:color="auto" w:sz="6" w:space="0"/>
                    <w:bottom w:val="single" w:color="auto" w:sz="6" w:space="0"/>
                    <w:right w:val="single" w:color="auto" w:sz="6" w:space="0"/>
                  </w:tcBorders>
                  <w:vAlign w:val="center"/>
                </w:tcPr>
                <w:p w14:paraId="010AB73C">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可吸入颗粒物（</w:t>
                  </w:r>
                  <w:r>
                    <w:rPr>
                      <w:rFonts w:hint="default"/>
                      <w:color w:val="auto"/>
                      <w:szCs w:val="21"/>
                    </w:rPr>
                    <w:t>PM</w:t>
                  </w:r>
                  <w:r>
                    <w:rPr>
                      <w:rFonts w:hint="default"/>
                      <w:color w:val="auto"/>
                      <w:szCs w:val="21"/>
                      <w:vertAlign w:val="subscript"/>
                    </w:rPr>
                    <w:t>10</w:t>
                  </w:r>
                  <w:r>
                    <w:rPr>
                      <w:rFonts w:hint="eastAsia"/>
                      <w:color w:val="auto"/>
                      <w:szCs w:val="21"/>
                    </w:rPr>
                    <w:t>）</w:t>
                  </w:r>
                </w:p>
              </w:tc>
              <w:tc>
                <w:tcPr>
                  <w:tcW w:w="1119" w:type="pct"/>
                  <w:tcBorders>
                    <w:top w:val="single" w:color="auto" w:sz="6" w:space="0"/>
                    <w:left w:val="single" w:color="auto" w:sz="6" w:space="0"/>
                    <w:bottom w:val="single" w:color="auto" w:sz="6" w:space="0"/>
                    <w:right w:val="single" w:color="auto" w:sz="6" w:space="0"/>
                  </w:tcBorders>
                  <w:vAlign w:val="center"/>
                </w:tcPr>
                <w:p w14:paraId="1A46CAC2">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年平均质量浓度</w:t>
                  </w:r>
                </w:p>
              </w:tc>
              <w:tc>
                <w:tcPr>
                  <w:tcW w:w="700" w:type="pct"/>
                  <w:tcBorders>
                    <w:top w:val="single" w:color="auto" w:sz="6" w:space="0"/>
                    <w:left w:val="single" w:color="auto" w:sz="6" w:space="0"/>
                    <w:bottom w:val="single" w:color="auto" w:sz="6" w:space="0"/>
                    <w:right w:val="single" w:color="auto" w:sz="6" w:space="0"/>
                  </w:tcBorders>
                  <w:vAlign w:val="center"/>
                </w:tcPr>
                <w:p w14:paraId="400A0D3B">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50</w:t>
                  </w:r>
                </w:p>
              </w:tc>
              <w:tc>
                <w:tcPr>
                  <w:tcW w:w="751" w:type="pct"/>
                  <w:tcBorders>
                    <w:top w:val="single" w:color="auto" w:sz="6" w:space="0"/>
                    <w:left w:val="single" w:color="auto" w:sz="6" w:space="0"/>
                    <w:bottom w:val="single" w:color="auto" w:sz="6" w:space="0"/>
                    <w:right w:val="single" w:color="auto" w:sz="6" w:space="0"/>
                  </w:tcBorders>
                  <w:vAlign w:val="center"/>
                </w:tcPr>
                <w:p w14:paraId="7782F955">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70</w:t>
                  </w:r>
                </w:p>
              </w:tc>
              <w:tc>
                <w:tcPr>
                  <w:tcW w:w="583" w:type="pct"/>
                  <w:tcBorders>
                    <w:top w:val="single" w:color="auto" w:sz="6" w:space="0"/>
                    <w:left w:val="single" w:color="auto" w:sz="6" w:space="0"/>
                    <w:bottom w:val="single" w:color="auto" w:sz="6" w:space="0"/>
                    <w:right w:val="single" w:color="auto" w:sz="6" w:space="0"/>
                  </w:tcBorders>
                  <w:vAlign w:val="center"/>
                </w:tcPr>
                <w:p w14:paraId="10F63A6F">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71.4</w:t>
                  </w:r>
                </w:p>
              </w:tc>
              <w:tc>
                <w:tcPr>
                  <w:tcW w:w="663" w:type="pct"/>
                  <w:tcBorders>
                    <w:top w:val="single" w:color="auto" w:sz="6" w:space="0"/>
                    <w:left w:val="single" w:color="auto" w:sz="6" w:space="0"/>
                    <w:bottom w:val="single" w:color="auto" w:sz="6" w:space="0"/>
                  </w:tcBorders>
                  <w:vAlign w:val="center"/>
                </w:tcPr>
                <w:p w14:paraId="23A48D4D">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达标</w:t>
                  </w:r>
                </w:p>
              </w:tc>
            </w:tr>
            <w:tr w14:paraId="1B843F9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80" w:type="pct"/>
                  <w:tcBorders>
                    <w:top w:val="single" w:color="auto" w:sz="6" w:space="0"/>
                    <w:bottom w:val="single" w:color="auto" w:sz="6" w:space="0"/>
                    <w:right w:val="single" w:color="auto" w:sz="6" w:space="0"/>
                  </w:tcBorders>
                  <w:vAlign w:val="center"/>
                </w:tcPr>
                <w:p w14:paraId="2A3EE268">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二氧化氮</w:t>
                  </w:r>
                </w:p>
              </w:tc>
              <w:tc>
                <w:tcPr>
                  <w:tcW w:w="1119" w:type="pct"/>
                  <w:tcBorders>
                    <w:top w:val="single" w:color="auto" w:sz="6" w:space="0"/>
                    <w:left w:val="single" w:color="auto" w:sz="6" w:space="0"/>
                    <w:bottom w:val="single" w:color="auto" w:sz="6" w:space="0"/>
                    <w:right w:val="single" w:color="auto" w:sz="6" w:space="0"/>
                  </w:tcBorders>
                  <w:vAlign w:val="center"/>
                </w:tcPr>
                <w:p w14:paraId="086AAF1C">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年平均质量浓度</w:t>
                  </w:r>
                </w:p>
              </w:tc>
              <w:tc>
                <w:tcPr>
                  <w:tcW w:w="700" w:type="pct"/>
                  <w:tcBorders>
                    <w:top w:val="single" w:color="auto" w:sz="6" w:space="0"/>
                    <w:left w:val="single" w:color="auto" w:sz="6" w:space="0"/>
                    <w:bottom w:val="single" w:color="auto" w:sz="6" w:space="0"/>
                    <w:right w:val="single" w:color="auto" w:sz="6" w:space="0"/>
                  </w:tcBorders>
                  <w:vAlign w:val="center"/>
                </w:tcPr>
                <w:p w14:paraId="5AFEA1BF">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8</w:t>
                  </w:r>
                </w:p>
              </w:tc>
              <w:tc>
                <w:tcPr>
                  <w:tcW w:w="751" w:type="pct"/>
                  <w:tcBorders>
                    <w:top w:val="single" w:color="auto" w:sz="6" w:space="0"/>
                    <w:left w:val="single" w:color="auto" w:sz="6" w:space="0"/>
                    <w:bottom w:val="single" w:color="auto" w:sz="6" w:space="0"/>
                    <w:right w:val="single" w:color="auto" w:sz="6" w:space="0"/>
                  </w:tcBorders>
                  <w:vAlign w:val="center"/>
                </w:tcPr>
                <w:p w14:paraId="25637C4A">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40</w:t>
                  </w:r>
                </w:p>
              </w:tc>
              <w:tc>
                <w:tcPr>
                  <w:tcW w:w="583" w:type="pct"/>
                  <w:tcBorders>
                    <w:top w:val="single" w:color="auto" w:sz="6" w:space="0"/>
                    <w:left w:val="single" w:color="auto" w:sz="6" w:space="0"/>
                    <w:bottom w:val="single" w:color="auto" w:sz="6" w:space="0"/>
                    <w:right w:val="single" w:color="auto" w:sz="6" w:space="0"/>
                  </w:tcBorders>
                  <w:vAlign w:val="center"/>
                </w:tcPr>
                <w:p w14:paraId="300BD17D">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0.2</w:t>
                  </w:r>
                </w:p>
              </w:tc>
              <w:tc>
                <w:tcPr>
                  <w:tcW w:w="663" w:type="pct"/>
                  <w:tcBorders>
                    <w:top w:val="single" w:color="auto" w:sz="6" w:space="0"/>
                    <w:left w:val="single" w:color="auto" w:sz="6" w:space="0"/>
                    <w:bottom w:val="single" w:color="auto" w:sz="6" w:space="0"/>
                  </w:tcBorders>
                  <w:vAlign w:val="center"/>
                </w:tcPr>
                <w:p w14:paraId="6DE2A429">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达标</w:t>
                  </w:r>
                </w:p>
              </w:tc>
            </w:tr>
            <w:tr w14:paraId="18AE18C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80" w:type="pct"/>
                  <w:tcBorders>
                    <w:top w:val="single" w:color="auto" w:sz="6" w:space="0"/>
                    <w:bottom w:val="single" w:color="auto" w:sz="6" w:space="0"/>
                    <w:right w:val="single" w:color="auto" w:sz="6" w:space="0"/>
                  </w:tcBorders>
                  <w:vAlign w:val="center"/>
                </w:tcPr>
                <w:p w14:paraId="3170386D">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二氧化硫</w:t>
                  </w:r>
                </w:p>
              </w:tc>
              <w:tc>
                <w:tcPr>
                  <w:tcW w:w="1119" w:type="pct"/>
                  <w:tcBorders>
                    <w:top w:val="single" w:color="auto" w:sz="6" w:space="0"/>
                    <w:left w:val="single" w:color="auto" w:sz="6" w:space="0"/>
                    <w:bottom w:val="single" w:color="auto" w:sz="6" w:space="0"/>
                    <w:right w:val="single" w:color="auto" w:sz="6" w:space="0"/>
                  </w:tcBorders>
                  <w:vAlign w:val="center"/>
                </w:tcPr>
                <w:p w14:paraId="6E4225B6">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年平均质量浓度</w:t>
                  </w:r>
                </w:p>
              </w:tc>
              <w:tc>
                <w:tcPr>
                  <w:tcW w:w="700" w:type="pct"/>
                  <w:tcBorders>
                    <w:top w:val="single" w:color="auto" w:sz="6" w:space="0"/>
                    <w:left w:val="single" w:color="auto" w:sz="6" w:space="0"/>
                    <w:bottom w:val="single" w:color="auto" w:sz="6" w:space="0"/>
                    <w:right w:val="single" w:color="auto" w:sz="6" w:space="0"/>
                  </w:tcBorders>
                  <w:vAlign w:val="center"/>
                </w:tcPr>
                <w:p w14:paraId="7697DBAD">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20</w:t>
                  </w:r>
                </w:p>
              </w:tc>
              <w:tc>
                <w:tcPr>
                  <w:tcW w:w="751" w:type="pct"/>
                  <w:tcBorders>
                    <w:top w:val="single" w:color="auto" w:sz="6" w:space="0"/>
                    <w:left w:val="single" w:color="auto" w:sz="6" w:space="0"/>
                    <w:bottom w:val="single" w:color="auto" w:sz="6" w:space="0"/>
                    <w:right w:val="single" w:color="auto" w:sz="6" w:space="0"/>
                  </w:tcBorders>
                  <w:vAlign w:val="center"/>
                </w:tcPr>
                <w:p w14:paraId="06551164">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60</w:t>
                  </w:r>
                </w:p>
              </w:tc>
              <w:tc>
                <w:tcPr>
                  <w:tcW w:w="583" w:type="pct"/>
                  <w:tcBorders>
                    <w:top w:val="single" w:color="auto" w:sz="6" w:space="0"/>
                    <w:left w:val="single" w:color="auto" w:sz="6" w:space="0"/>
                    <w:bottom w:val="single" w:color="auto" w:sz="6" w:space="0"/>
                    <w:right w:val="single" w:color="auto" w:sz="6" w:space="0"/>
                  </w:tcBorders>
                  <w:vAlign w:val="center"/>
                </w:tcPr>
                <w:p w14:paraId="5B658389">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33.3</w:t>
                  </w:r>
                </w:p>
              </w:tc>
              <w:tc>
                <w:tcPr>
                  <w:tcW w:w="663" w:type="pct"/>
                  <w:tcBorders>
                    <w:top w:val="single" w:color="auto" w:sz="6" w:space="0"/>
                    <w:left w:val="single" w:color="auto" w:sz="6" w:space="0"/>
                    <w:bottom w:val="single" w:color="auto" w:sz="6" w:space="0"/>
                  </w:tcBorders>
                  <w:vAlign w:val="center"/>
                </w:tcPr>
                <w:p w14:paraId="5F3CA90B">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达标</w:t>
                  </w:r>
                </w:p>
              </w:tc>
            </w:tr>
            <w:tr w14:paraId="23E8867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80" w:type="pct"/>
                  <w:tcBorders>
                    <w:top w:val="single" w:color="auto" w:sz="6" w:space="0"/>
                    <w:bottom w:val="single" w:color="auto" w:sz="6" w:space="0"/>
                    <w:right w:val="single" w:color="auto" w:sz="6" w:space="0"/>
                  </w:tcBorders>
                  <w:vAlign w:val="center"/>
                </w:tcPr>
                <w:p w14:paraId="6E4A9B58">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一氧化碳</w:t>
                  </w:r>
                </w:p>
              </w:tc>
              <w:tc>
                <w:tcPr>
                  <w:tcW w:w="1119" w:type="pct"/>
                  <w:tcBorders>
                    <w:top w:val="single" w:color="auto" w:sz="6" w:space="0"/>
                    <w:left w:val="single" w:color="auto" w:sz="6" w:space="0"/>
                    <w:bottom w:val="single" w:color="auto" w:sz="6" w:space="0"/>
                    <w:right w:val="single" w:color="auto" w:sz="6" w:space="0"/>
                  </w:tcBorders>
                  <w:vAlign w:val="center"/>
                </w:tcPr>
                <w:p w14:paraId="3D889388">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百分位数日平均</w:t>
                  </w:r>
                </w:p>
              </w:tc>
              <w:tc>
                <w:tcPr>
                  <w:tcW w:w="700" w:type="pct"/>
                  <w:tcBorders>
                    <w:top w:val="single" w:color="auto" w:sz="6" w:space="0"/>
                    <w:left w:val="single" w:color="auto" w:sz="6" w:space="0"/>
                    <w:bottom w:val="single" w:color="auto" w:sz="6" w:space="0"/>
                    <w:right w:val="single" w:color="auto" w:sz="6" w:space="0"/>
                  </w:tcBorders>
                  <w:vAlign w:val="center"/>
                </w:tcPr>
                <w:p w14:paraId="2244528B">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1</w:t>
                  </w:r>
                </w:p>
              </w:tc>
              <w:tc>
                <w:tcPr>
                  <w:tcW w:w="751" w:type="pct"/>
                  <w:tcBorders>
                    <w:top w:val="single" w:color="auto" w:sz="6" w:space="0"/>
                    <w:left w:val="single" w:color="auto" w:sz="6" w:space="0"/>
                    <w:bottom w:val="single" w:color="auto" w:sz="6" w:space="0"/>
                    <w:right w:val="single" w:color="auto" w:sz="6" w:space="0"/>
                  </w:tcBorders>
                  <w:vAlign w:val="center"/>
                </w:tcPr>
                <w:p w14:paraId="039E248A">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4000</w:t>
                  </w:r>
                </w:p>
              </w:tc>
              <w:tc>
                <w:tcPr>
                  <w:tcW w:w="583" w:type="pct"/>
                  <w:tcBorders>
                    <w:top w:val="single" w:color="auto" w:sz="6" w:space="0"/>
                    <w:left w:val="single" w:color="auto" w:sz="6" w:space="0"/>
                    <w:bottom w:val="single" w:color="auto" w:sz="6" w:space="0"/>
                    <w:right w:val="single" w:color="auto" w:sz="6" w:space="0"/>
                  </w:tcBorders>
                  <w:vAlign w:val="center"/>
                </w:tcPr>
                <w:p w14:paraId="1C388CFE">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0.02</w:t>
                  </w:r>
                </w:p>
              </w:tc>
              <w:tc>
                <w:tcPr>
                  <w:tcW w:w="663" w:type="pct"/>
                  <w:tcBorders>
                    <w:top w:val="single" w:color="auto" w:sz="6" w:space="0"/>
                    <w:left w:val="single" w:color="auto" w:sz="6" w:space="0"/>
                    <w:bottom w:val="single" w:color="auto" w:sz="6" w:space="0"/>
                  </w:tcBorders>
                  <w:vAlign w:val="center"/>
                </w:tcPr>
                <w:p w14:paraId="033EA280">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达标</w:t>
                  </w:r>
                </w:p>
              </w:tc>
            </w:tr>
            <w:tr w14:paraId="41C1A37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80" w:type="pct"/>
                  <w:tcBorders>
                    <w:top w:val="single" w:color="auto" w:sz="6" w:space="0"/>
                    <w:bottom w:val="single" w:color="auto" w:sz="12" w:space="0"/>
                    <w:right w:val="single" w:color="auto" w:sz="6" w:space="0"/>
                  </w:tcBorders>
                  <w:vAlign w:val="center"/>
                </w:tcPr>
                <w:p w14:paraId="0C2A5C11">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臭氧</w:t>
                  </w:r>
                </w:p>
              </w:tc>
              <w:tc>
                <w:tcPr>
                  <w:tcW w:w="1119" w:type="pct"/>
                  <w:tcBorders>
                    <w:top w:val="single" w:color="auto" w:sz="6" w:space="0"/>
                    <w:left w:val="single" w:color="auto" w:sz="6" w:space="0"/>
                    <w:bottom w:val="single" w:color="auto" w:sz="12" w:space="0"/>
                    <w:right w:val="single" w:color="auto" w:sz="6" w:space="0"/>
                  </w:tcBorders>
                  <w:vAlign w:val="center"/>
                </w:tcPr>
                <w:p w14:paraId="3C392A71">
                  <w:pPr>
                    <w:keepNext w:val="0"/>
                    <w:keepLines w:val="0"/>
                    <w:suppressLineNumbers w:val="0"/>
                    <w:spacing w:before="0" w:beforeAutospacing="0" w:after="0" w:afterAutospacing="0"/>
                    <w:ind w:left="0" w:right="0"/>
                    <w:jc w:val="center"/>
                    <w:rPr>
                      <w:rFonts w:hint="default"/>
                      <w:color w:val="auto"/>
                      <w:szCs w:val="21"/>
                    </w:rPr>
                  </w:pPr>
                  <w:r>
                    <w:rPr>
                      <w:rFonts w:hint="default" w:ascii="Times New Roman" w:hAnsi="Times New Roman" w:eastAsia="宋体" w:cs="Times New Roman"/>
                      <w:color w:val="auto"/>
                      <w:szCs w:val="21"/>
                    </w:rPr>
                    <w:t>8h</w:t>
                  </w:r>
                  <w:r>
                    <w:rPr>
                      <w:rFonts w:hint="eastAsia" w:ascii="Times New Roman" w:hAnsi="Times New Roman" w:eastAsia="宋体" w:cs="Times New Roman"/>
                      <w:color w:val="auto"/>
                      <w:szCs w:val="21"/>
                    </w:rPr>
                    <w:t>平均质量浓度</w:t>
                  </w:r>
                </w:p>
              </w:tc>
              <w:tc>
                <w:tcPr>
                  <w:tcW w:w="700" w:type="pct"/>
                  <w:tcBorders>
                    <w:top w:val="single" w:color="auto" w:sz="6" w:space="0"/>
                    <w:left w:val="single" w:color="auto" w:sz="6" w:space="0"/>
                    <w:bottom w:val="single" w:color="auto" w:sz="12" w:space="0"/>
                    <w:right w:val="single" w:color="auto" w:sz="6" w:space="0"/>
                  </w:tcBorders>
                  <w:vAlign w:val="center"/>
                </w:tcPr>
                <w:p w14:paraId="654BB7D9">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9</w:t>
                  </w:r>
                </w:p>
              </w:tc>
              <w:tc>
                <w:tcPr>
                  <w:tcW w:w="751" w:type="pct"/>
                  <w:tcBorders>
                    <w:top w:val="single" w:color="auto" w:sz="6" w:space="0"/>
                    <w:left w:val="single" w:color="auto" w:sz="6" w:space="0"/>
                    <w:bottom w:val="single" w:color="auto" w:sz="12" w:space="0"/>
                    <w:right w:val="single" w:color="auto" w:sz="6" w:space="0"/>
                  </w:tcBorders>
                  <w:vAlign w:val="center"/>
                </w:tcPr>
                <w:p w14:paraId="2720C37A">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160</w:t>
                  </w:r>
                </w:p>
              </w:tc>
              <w:tc>
                <w:tcPr>
                  <w:tcW w:w="583" w:type="pct"/>
                  <w:tcBorders>
                    <w:top w:val="single" w:color="auto" w:sz="6" w:space="0"/>
                    <w:left w:val="single" w:color="auto" w:sz="6" w:space="0"/>
                    <w:bottom w:val="single" w:color="auto" w:sz="12" w:space="0"/>
                    <w:right w:val="single" w:color="auto" w:sz="6" w:space="0"/>
                  </w:tcBorders>
                  <w:vAlign w:val="center"/>
                </w:tcPr>
                <w:p w14:paraId="48212695">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5.6</w:t>
                  </w:r>
                </w:p>
              </w:tc>
              <w:tc>
                <w:tcPr>
                  <w:tcW w:w="663" w:type="pct"/>
                  <w:tcBorders>
                    <w:top w:val="single" w:color="auto" w:sz="6" w:space="0"/>
                    <w:left w:val="single" w:color="auto" w:sz="6" w:space="0"/>
                    <w:bottom w:val="single" w:color="auto" w:sz="12" w:space="0"/>
                  </w:tcBorders>
                  <w:vAlign w:val="center"/>
                </w:tcPr>
                <w:p w14:paraId="4501645B">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达标</w:t>
                  </w:r>
                </w:p>
              </w:tc>
            </w:tr>
          </w:tbl>
          <w:p w14:paraId="10801D08">
            <w:pPr>
              <w:pStyle w:val="13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kern w:val="2"/>
                <w:szCs w:val="24"/>
              </w:rPr>
            </w:pPr>
            <w:r>
              <w:rPr>
                <w:rFonts w:hAnsi="宋体"/>
                <w:color w:val="auto"/>
                <w:sz w:val="24"/>
              </w:rPr>
              <w:t>根据《</w:t>
            </w:r>
            <w:r>
              <w:rPr>
                <w:rFonts w:hint="eastAsia" w:ascii="Times New Roman" w:hAnsi="宋体" w:eastAsia="宋体" w:cs="Times New Roman"/>
                <w:color w:val="auto"/>
                <w:sz w:val="24"/>
                <w:lang w:val="en-US" w:eastAsia="zh-CN"/>
              </w:rPr>
              <w:t>2023年鸡西市生态环境质量状况</w:t>
            </w:r>
            <w:r>
              <w:rPr>
                <w:rFonts w:hAnsi="宋体"/>
                <w:color w:val="auto"/>
                <w:sz w:val="24"/>
              </w:rPr>
              <w:t>》结果，评价区环境空气质量满足环境空气二类功能区要求。</w:t>
            </w:r>
          </w:p>
          <w:bookmarkEnd w:id="17"/>
          <w:p w14:paraId="149EC508">
            <w:pPr>
              <w:pStyle w:val="13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Cs w:val="24"/>
                <w:lang w:val="en-US" w:eastAsia="zh-CN"/>
              </w:rPr>
            </w:pPr>
            <w:r>
              <w:rPr>
                <w:rFonts w:hint="eastAsia" w:ascii="Times New Roman" w:hAnsi="Times New Roman" w:eastAsia="宋体" w:cs="Times New Roman"/>
                <w:color w:val="auto"/>
                <w:kern w:val="2"/>
                <w:szCs w:val="24"/>
                <w:lang w:val="en-GB" w:eastAsia="zh-CN"/>
              </w:rPr>
              <w:t>（</w:t>
            </w:r>
            <w:r>
              <w:rPr>
                <w:rFonts w:hint="eastAsia" w:ascii="Times New Roman" w:hAnsi="Times New Roman" w:eastAsia="宋体" w:cs="Times New Roman"/>
                <w:color w:val="auto"/>
                <w:kern w:val="2"/>
                <w:szCs w:val="24"/>
                <w:lang w:val="en-US" w:eastAsia="zh-CN"/>
              </w:rPr>
              <w:t>2</w:t>
            </w:r>
            <w:r>
              <w:rPr>
                <w:rFonts w:hint="eastAsia" w:ascii="Times New Roman" w:hAnsi="Times New Roman" w:eastAsia="宋体" w:cs="Times New Roman"/>
                <w:color w:val="auto"/>
                <w:kern w:val="2"/>
                <w:szCs w:val="24"/>
                <w:lang w:val="en-GB" w:eastAsia="zh-CN"/>
              </w:rPr>
              <w:t>）</w:t>
            </w:r>
            <w:r>
              <w:rPr>
                <w:rFonts w:hint="eastAsia" w:ascii="Times New Roman" w:hAnsi="Times New Roman" w:eastAsia="宋体" w:cs="Times New Roman"/>
                <w:color w:val="auto"/>
                <w:kern w:val="2"/>
                <w:szCs w:val="24"/>
                <w:lang w:val="en-US" w:eastAsia="zh-CN"/>
              </w:rPr>
              <w:t>其他污染物</w:t>
            </w:r>
          </w:p>
          <w:p w14:paraId="38DA7933">
            <w:pPr>
              <w:keepLines w:val="0"/>
              <w:pageBreakBefore w:val="0"/>
              <w:shd w:val="clear"/>
              <w:topLinePunct w:val="0"/>
              <w:bidi w:val="0"/>
              <w:adjustRightInd w:val="0"/>
              <w:snapToGrid w:val="0"/>
              <w:spacing w:beforeAutospacing="0" w:afterAutospacing="0" w:line="360" w:lineRule="auto"/>
              <w:ind w:left="0" w:leftChars="0" w:right="0" w:rightChars="0" w:firstLine="480" w:firstLineChars="200"/>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其他污染物中TSP质量现状评价委托</w:t>
            </w:r>
            <w:r>
              <w:rPr>
                <w:rFonts w:hint="eastAsia" w:ascii="Times New Roman" w:hAnsi="Times New Roman" w:eastAsia="宋体" w:cs="Times New Roman"/>
                <w:color w:val="auto"/>
                <w:kern w:val="2"/>
                <w:sz w:val="24"/>
                <w:szCs w:val="21"/>
                <w:lang w:val="en-GB" w:eastAsia="zh-CN" w:bidi="ar-SA"/>
              </w:rPr>
              <w:t>黑龙江省</w:t>
            </w:r>
            <w:r>
              <w:rPr>
                <w:rFonts w:hint="eastAsia" w:cs="Times New Roman"/>
                <w:color w:val="auto"/>
                <w:kern w:val="2"/>
                <w:sz w:val="24"/>
                <w:szCs w:val="21"/>
                <w:lang w:val="en-US" w:eastAsia="zh-CN" w:bidi="ar-SA"/>
              </w:rPr>
              <w:t>汇川</w:t>
            </w:r>
            <w:r>
              <w:rPr>
                <w:rFonts w:hint="eastAsia" w:ascii="Times New Roman" w:hAnsi="Times New Roman" w:eastAsia="宋体" w:cs="Times New Roman"/>
                <w:color w:val="auto"/>
                <w:kern w:val="2"/>
                <w:sz w:val="24"/>
                <w:szCs w:val="21"/>
                <w:lang w:val="en-GB" w:eastAsia="zh-CN" w:bidi="ar-SA"/>
              </w:rPr>
              <w:t>检测有限公司</w:t>
            </w:r>
            <w:r>
              <w:rPr>
                <w:rFonts w:hint="default" w:ascii="Times New Roman" w:hAnsi="Times New Roman" w:eastAsia="宋体" w:cs="Times New Roman"/>
                <w:color w:val="auto"/>
                <w:kern w:val="2"/>
                <w:sz w:val="24"/>
                <w:szCs w:val="21"/>
                <w:lang w:val="en-US" w:eastAsia="zh-CN" w:bidi="ar-SA"/>
              </w:rPr>
              <w:t>于202</w:t>
            </w:r>
            <w:r>
              <w:rPr>
                <w:rFonts w:hint="eastAsia" w:cs="Times New Roman"/>
                <w:color w:val="auto"/>
                <w:kern w:val="2"/>
                <w:sz w:val="24"/>
                <w:szCs w:val="21"/>
                <w:lang w:val="en-US" w:eastAsia="zh-CN" w:bidi="ar-SA"/>
              </w:rPr>
              <w:t>4</w:t>
            </w:r>
            <w:r>
              <w:rPr>
                <w:rFonts w:hint="default" w:ascii="Times New Roman" w:hAnsi="Times New Roman" w:eastAsia="宋体" w:cs="Times New Roman"/>
                <w:color w:val="auto"/>
                <w:kern w:val="2"/>
                <w:sz w:val="24"/>
                <w:szCs w:val="21"/>
                <w:lang w:val="en-US" w:eastAsia="zh-CN" w:bidi="ar-SA"/>
              </w:rPr>
              <w:t>年</w:t>
            </w:r>
            <w:r>
              <w:rPr>
                <w:rFonts w:hint="eastAsia" w:cs="Times New Roman"/>
                <w:color w:val="auto"/>
                <w:kern w:val="2"/>
                <w:sz w:val="24"/>
                <w:szCs w:val="21"/>
                <w:lang w:val="en-US" w:eastAsia="zh-CN" w:bidi="ar-SA"/>
              </w:rPr>
              <w:t>10</w:t>
            </w:r>
            <w:r>
              <w:rPr>
                <w:rFonts w:hint="default" w:ascii="Times New Roman" w:hAnsi="Times New Roman" w:eastAsia="宋体" w:cs="Times New Roman"/>
                <w:color w:val="auto"/>
                <w:kern w:val="2"/>
                <w:sz w:val="24"/>
                <w:szCs w:val="21"/>
                <w:lang w:val="en-US" w:eastAsia="zh-CN" w:bidi="ar-SA"/>
              </w:rPr>
              <w:t>月</w:t>
            </w:r>
            <w:r>
              <w:rPr>
                <w:rFonts w:hint="eastAsia" w:cs="Times New Roman"/>
                <w:color w:val="auto"/>
                <w:kern w:val="2"/>
                <w:sz w:val="24"/>
                <w:szCs w:val="21"/>
                <w:lang w:val="en-US" w:eastAsia="zh-CN" w:bidi="ar-SA"/>
              </w:rPr>
              <w:t>29</w:t>
            </w:r>
            <w:r>
              <w:rPr>
                <w:rFonts w:hint="default" w:ascii="Times New Roman" w:hAnsi="Times New Roman" w:eastAsia="宋体" w:cs="Times New Roman"/>
                <w:color w:val="auto"/>
                <w:kern w:val="2"/>
                <w:sz w:val="24"/>
                <w:szCs w:val="21"/>
                <w:lang w:val="en-US" w:eastAsia="zh-CN" w:bidi="ar-SA"/>
              </w:rPr>
              <w:t>日至</w:t>
            </w:r>
            <w:r>
              <w:rPr>
                <w:rFonts w:hint="eastAsia" w:cs="Times New Roman"/>
                <w:color w:val="auto"/>
                <w:kern w:val="2"/>
                <w:sz w:val="24"/>
                <w:szCs w:val="21"/>
                <w:lang w:val="en-US" w:eastAsia="zh-CN" w:bidi="ar-SA"/>
              </w:rPr>
              <w:t>10</w:t>
            </w:r>
            <w:r>
              <w:rPr>
                <w:rFonts w:hint="eastAsia" w:ascii="Times New Roman" w:hAnsi="Times New Roman" w:eastAsia="宋体" w:cs="Times New Roman"/>
                <w:color w:val="auto"/>
                <w:kern w:val="2"/>
                <w:sz w:val="24"/>
                <w:szCs w:val="21"/>
                <w:lang w:val="en-US" w:eastAsia="zh-CN" w:bidi="ar-SA"/>
              </w:rPr>
              <w:t>月</w:t>
            </w:r>
            <w:r>
              <w:rPr>
                <w:rFonts w:hint="eastAsia" w:cs="Times New Roman"/>
                <w:color w:val="auto"/>
                <w:kern w:val="2"/>
                <w:sz w:val="24"/>
                <w:szCs w:val="21"/>
                <w:lang w:val="en-US" w:eastAsia="zh-CN" w:bidi="ar-SA"/>
              </w:rPr>
              <w:t>31</w:t>
            </w:r>
            <w:r>
              <w:rPr>
                <w:rFonts w:hint="default" w:ascii="Times New Roman" w:hAnsi="Times New Roman" w:eastAsia="宋体" w:cs="Times New Roman"/>
                <w:color w:val="auto"/>
                <w:kern w:val="2"/>
                <w:sz w:val="24"/>
                <w:szCs w:val="21"/>
                <w:lang w:val="en-US" w:eastAsia="zh-CN" w:bidi="ar-SA"/>
              </w:rPr>
              <w:t>日进行了现状检测，连续监测</w:t>
            </w:r>
            <w:r>
              <w:rPr>
                <w:rFonts w:hint="eastAsia" w:ascii="Times New Roman" w:hAnsi="Times New Roman" w:eastAsia="宋体" w:cs="Times New Roman"/>
                <w:color w:val="auto"/>
                <w:kern w:val="2"/>
                <w:sz w:val="24"/>
                <w:szCs w:val="21"/>
                <w:lang w:val="en-US" w:eastAsia="zh-CN" w:bidi="ar-SA"/>
              </w:rPr>
              <w:t>3</w:t>
            </w:r>
            <w:r>
              <w:rPr>
                <w:rFonts w:hint="default" w:ascii="Times New Roman" w:hAnsi="Times New Roman" w:eastAsia="宋体" w:cs="Times New Roman"/>
                <w:color w:val="auto"/>
                <w:kern w:val="2"/>
                <w:sz w:val="24"/>
                <w:szCs w:val="21"/>
                <w:lang w:val="en-US" w:eastAsia="zh-CN" w:bidi="ar-SA"/>
              </w:rPr>
              <w:t>天，检测报告见附件。</w:t>
            </w:r>
          </w:p>
          <w:p w14:paraId="0475EDEC">
            <w:pPr>
              <w:keepLines w:val="0"/>
              <w:pageBreakBefore w:val="0"/>
              <w:shd w:val="clear"/>
              <w:topLinePunct w:val="0"/>
              <w:bidi w:val="0"/>
              <w:adjustRightInd w:val="0"/>
              <w:snapToGrid w:val="0"/>
              <w:spacing w:beforeAutospacing="0" w:afterAutospacing="0" w:line="360" w:lineRule="auto"/>
              <w:ind w:left="0" w:leftChars="0" w:right="0" w:righ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检测因子：根据工程分析，确定项目检测因子为TSP。</w:t>
            </w:r>
          </w:p>
          <w:p w14:paraId="3208F883">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snapToGrid w:val="0"/>
                <w:color w:val="auto"/>
                <w:kern w:val="0"/>
                <w:sz w:val="24"/>
                <w:szCs w:val="24"/>
                <w:highlight w:val="none"/>
              </w:rPr>
            </w:pPr>
            <w:r>
              <w:rPr>
                <w:rFonts w:hint="default" w:ascii="Times New Roman" w:hAnsi="Times New Roman" w:cs="Times New Roman"/>
                <w:color w:val="auto"/>
                <w:sz w:val="24"/>
              </w:rPr>
              <w:t>检测点位：根据拟建工程的污染特征、当地气象条件、地形分布及评价区域环境功能区划要求等，在评价区内设置1个监测点位，点位分布情况见表3-</w:t>
            </w:r>
            <w:r>
              <w:rPr>
                <w:rFonts w:hint="eastAsia" w:cs="Times New Roman"/>
                <w:color w:val="auto"/>
                <w:sz w:val="24"/>
                <w:lang w:val="en-US" w:eastAsia="zh-CN"/>
              </w:rPr>
              <w:t>2</w:t>
            </w:r>
            <w:r>
              <w:rPr>
                <w:rFonts w:hint="default" w:ascii="Times New Roman" w:hAnsi="Times New Roman" w:cs="Times New Roman"/>
                <w:color w:val="auto"/>
                <w:sz w:val="24"/>
              </w:rPr>
              <w:t>和图3-</w:t>
            </w:r>
            <w:r>
              <w:rPr>
                <w:rFonts w:hint="eastAsia" w:cs="Times New Roman"/>
                <w:color w:val="auto"/>
                <w:sz w:val="24"/>
                <w:lang w:val="en-US" w:eastAsia="zh-CN"/>
              </w:rPr>
              <w:t>1</w:t>
            </w:r>
            <w:r>
              <w:rPr>
                <w:rFonts w:hint="default" w:ascii="Times New Roman" w:hAnsi="Times New Roman" w:cs="Times New Roman"/>
                <w:color w:val="auto"/>
                <w:sz w:val="24"/>
              </w:rPr>
              <w:t>。</w:t>
            </w:r>
          </w:p>
          <w:p w14:paraId="098E2813">
            <w:pPr>
              <w:pStyle w:val="112"/>
              <w:shd w:val="clear"/>
              <w:spacing w:line="240" w:lineRule="auto"/>
              <w:rPr>
                <w:rFonts w:ascii="Times New Roman" w:hAnsi="Times New Roman" w:eastAsia="宋体"/>
                <w:b/>
                <w:color w:val="auto"/>
                <w:sz w:val="21"/>
                <w:szCs w:val="21"/>
                <w:highlight w:val="none"/>
              </w:rPr>
            </w:pPr>
            <w:bookmarkStart w:id="18" w:name="_Hlk71806932"/>
            <w:r>
              <w:rPr>
                <w:rFonts w:ascii="Times New Roman" w:hAnsi="Times New Roman" w:eastAsia="宋体"/>
                <w:b/>
                <w:color w:val="auto"/>
                <w:sz w:val="21"/>
                <w:szCs w:val="21"/>
                <w:highlight w:val="none"/>
              </w:rPr>
              <w:t>表</w:t>
            </w:r>
            <w:r>
              <w:rPr>
                <w:rFonts w:hint="eastAsia" w:ascii="Times New Roman" w:hAnsi="Times New Roman" w:eastAsia="宋体"/>
                <w:b/>
                <w:color w:val="auto"/>
                <w:sz w:val="21"/>
                <w:szCs w:val="21"/>
                <w:highlight w:val="none"/>
                <w:lang w:val="en-US" w:eastAsia="zh-CN"/>
              </w:rPr>
              <w:t>3</w:t>
            </w:r>
            <w:r>
              <w:rPr>
                <w:rFonts w:ascii="Times New Roman" w:hAnsi="Times New Roman" w:eastAsia="宋体"/>
                <w:b/>
                <w:color w:val="auto"/>
                <w:sz w:val="21"/>
                <w:szCs w:val="21"/>
                <w:highlight w:val="none"/>
              </w:rPr>
              <w:t>-</w:t>
            </w:r>
            <w:r>
              <w:rPr>
                <w:rFonts w:hint="eastAsia" w:ascii="Times New Roman" w:hAnsi="Times New Roman" w:eastAsia="宋体"/>
                <w:b/>
                <w:color w:val="auto"/>
                <w:sz w:val="21"/>
                <w:szCs w:val="21"/>
                <w:highlight w:val="none"/>
                <w:lang w:val="en-US" w:eastAsia="zh-CN"/>
              </w:rPr>
              <w:t xml:space="preserve">2 </w:t>
            </w:r>
            <w:r>
              <w:rPr>
                <w:rFonts w:hint="eastAsia" w:ascii="Times New Roman" w:hAnsi="Times New Roman" w:eastAsia="宋体"/>
                <w:b/>
                <w:color w:val="auto"/>
                <w:sz w:val="21"/>
                <w:szCs w:val="21"/>
                <w:highlight w:val="none"/>
                <w:lang w:eastAsia="zh-CN"/>
              </w:rPr>
              <w:t xml:space="preserve"> </w:t>
            </w:r>
            <w:r>
              <w:rPr>
                <w:rFonts w:ascii="Times New Roman" w:hAnsi="Times New Roman" w:eastAsia="宋体"/>
                <w:b/>
                <w:color w:val="auto"/>
                <w:sz w:val="21"/>
                <w:szCs w:val="21"/>
                <w:highlight w:val="none"/>
              </w:rPr>
              <w:t>环境空气监测布点情况</w:t>
            </w:r>
          </w:p>
          <w:bookmarkEnd w:id="18"/>
          <w:tbl>
            <w:tblPr>
              <w:tblStyle w:val="31"/>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01"/>
              <w:gridCol w:w="1481"/>
              <w:gridCol w:w="1337"/>
              <w:gridCol w:w="959"/>
              <w:gridCol w:w="1401"/>
              <w:gridCol w:w="758"/>
              <w:gridCol w:w="800"/>
            </w:tblGrid>
            <w:tr w14:paraId="703EAF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17" w:type="dxa"/>
                  <w:vMerge w:val="restart"/>
                  <w:noWrap w:val="0"/>
                  <w:vAlign w:val="center"/>
                </w:tcPr>
                <w:p w14:paraId="4BAE55DB">
                  <w:pPr>
                    <w:pStyle w:val="134"/>
                    <w:shd w:val="clear"/>
                    <w:adjustRightInd w:val="0"/>
                    <w:snapToGrid w:val="0"/>
                    <w:rPr>
                      <w:rFonts w:hint="default" w:ascii="Times New Roman" w:hAnsi="Times New Roman" w:eastAsia="宋体"/>
                      <w:color w:val="auto"/>
                      <w:szCs w:val="21"/>
                      <w:highlight w:val="none"/>
                    </w:rPr>
                  </w:pPr>
                  <w:bookmarkStart w:id="19" w:name="_Hlk84528933"/>
                  <w:r>
                    <w:rPr>
                      <w:rFonts w:hint="default" w:ascii="Times New Roman" w:hAnsi="Times New Roman" w:eastAsia="宋体"/>
                      <w:color w:val="auto"/>
                      <w:szCs w:val="21"/>
                      <w:highlight w:val="none"/>
                    </w:rPr>
                    <w:t>监测点名称</w:t>
                  </w:r>
                </w:p>
              </w:tc>
              <w:tc>
                <w:tcPr>
                  <w:tcW w:w="2854" w:type="dxa"/>
                  <w:gridSpan w:val="2"/>
                  <w:noWrap w:val="0"/>
                  <w:vAlign w:val="center"/>
                </w:tcPr>
                <w:p w14:paraId="34819FA6">
                  <w:pPr>
                    <w:pStyle w:val="134"/>
                    <w:shd w:val="clear"/>
                    <w:adjustRightInd w:val="0"/>
                    <w:snapToGrid w:val="0"/>
                    <w:rPr>
                      <w:rFonts w:hint="default" w:ascii="Times New Roman" w:hAnsi="Times New Roman" w:eastAsia="宋体"/>
                      <w:color w:val="auto"/>
                      <w:szCs w:val="21"/>
                      <w:highlight w:val="none"/>
                    </w:rPr>
                  </w:pPr>
                  <w:r>
                    <w:rPr>
                      <w:rFonts w:hint="default" w:ascii="Times New Roman" w:hAnsi="Times New Roman" w:eastAsia="宋体"/>
                      <w:color w:val="auto"/>
                      <w:szCs w:val="21"/>
                      <w:highlight w:val="none"/>
                    </w:rPr>
                    <w:t>监测点位坐标</w:t>
                  </w:r>
                </w:p>
              </w:tc>
              <w:tc>
                <w:tcPr>
                  <w:tcW w:w="970" w:type="dxa"/>
                  <w:vMerge w:val="restart"/>
                  <w:noWrap w:val="0"/>
                  <w:vAlign w:val="center"/>
                </w:tcPr>
                <w:p w14:paraId="12E801BA">
                  <w:pPr>
                    <w:pStyle w:val="134"/>
                    <w:shd w:val="clear"/>
                    <w:adjustRightInd w:val="0"/>
                    <w:snapToGrid w:val="0"/>
                    <w:rPr>
                      <w:rFonts w:hint="default" w:ascii="Times New Roman" w:hAnsi="Times New Roman" w:eastAsia="宋体"/>
                      <w:color w:val="auto"/>
                      <w:szCs w:val="21"/>
                      <w:highlight w:val="none"/>
                    </w:rPr>
                  </w:pPr>
                  <w:r>
                    <w:rPr>
                      <w:rFonts w:hint="default" w:ascii="Times New Roman" w:hAnsi="Times New Roman" w:eastAsia="宋体"/>
                      <w:color w:val="auto"/>
                      <w:szCs w:val="21"/>
                      <w:highlight w:val="none"/>
                    </w:rPr>
                    <w:t>监测</w:t>
                  </w:r>
                </w:p>
                <w:p w14:paraId="5E344AB8">
                  <w:pPr>
                    <w:pStyle w:val="134"/>
                    <w:shd w:val="clear"/>
                    <w:adjustRightInd w:val="0"/>
                    <w:snapToGrid w:val="0"/>
                    <w:rPr>
                      <w:rFonts w:hint="default" w:ascii="Times New Roman" w:hAnsi="Times New Roman" w:eastAsia="宋体"/>
                      <w:color w:val="auto"/>
                      <w:szCs w:val="21"/>
                      <w:highlight w:val="none"/>
                    </w:rPr>
                  </w:pPr>
                  <w:r>
                    <w:rPr>
                      <w:rFonts w:hint="default" w:ascii="Times New Roman" w:hAnsi="Times New Roman" w:eastAsia="宋体"/>
                      <w:color w:val="auto"/>
                      <w:szCs w:val="21"/>
                      <w:highlight w:val="none"/>
                    </w:rPr>
                    <w:t>因子</w:t>
                  </w:r>
                </w:p>
              </w:tc>
              <w:tc>
                <w:tcPr>
                  <w:tcW w:w="1419" w:type="dxa"/>
                  <w:vMerge w:val="restart"/>
                  <w:noWrap w:val="0"/>
                  <w:vAlign w:val="center"/>
                </w:tcPr>
                <w:p w14:paraId="26860DFB">
                  <w:pPr>
                    <w:pStyle w:val="134"/>
                    <w:shd w:val="clear"/>
                    <w:adjustRightInd w:val="0"/>
                    <w:snapToGrid w:val="0"/>
                    <w:rPr>
                      <w:rFonts w:hint="default" w:ascii="Times New Roman" w:hAnsi="Times New Roman" w:eastAsia="宋体"/>
                      <w:color w:val="auto"/>
                      <w:szCs w:val="21"/>
                      <w:highlight w:val="none"/>
                    </w:rPr>
                  </w:pPr>
                  <w:r>
                    <w:rPr>
                      <w:rFonts w:hint="default" w:ascii="Times New Roman" w:hAnsi="Times New Roman" w:eastAsia="宋体"/>
                      <w:color w:val="auto"/>
                      <w:szCs w:val="21"/>
                      <w:highlight w:val="none"/>
                    </w:rPr>
                    <w:t>监测时段</w:t>
                  </w:r>
                </w:p>
              </w:tc>
              <w:tc>
                <w:tcPr>
                  <w:tcW w:w="766" w:type="dxa"/>
                  <w:vMerge w:val="restart"/>
                  <w:noWrap w:val="0"/>
                  <w:vAlign w:val="center"/>
                </w:tcPr>
                <w:p w14:paraId="1D646A1C">
                  <w:pPr>
                    <w:pStyle w:val="134"/>
                    <w:shd w:val="clear"/>
                    <w:adjustRightInd w:val="0"/>
                    <w:snapToGrid w:val="0"/>
                    <w:rPr>
                      <w:rFonts w:hint="default" w:ascii="Times New Roman" w:hAnsi="Times New Roman" w:eastAsia="宋体"/>
                      <w:color w:val="auto"/>
                      <w:szCs w:val="21"/>
                      <w:highlight w:val="none"/>
                    </w:rPr>
                  </w:pPr>
                  <w:r>
                    <w:rPr>
                      <w:rFonts w:hint="default" w:ascii="Times New Roman" w:hAnsi="Times New Roman" w:eastAsia="宋体"/>
                      <w:color w:val="auto"/>
                      <w:szCs w:val="21"/>
                      <w:highlight w:val="none"/>
                    </w:rPr>
                    <w:t>相对厂址方位</w:t>
                  </w:r>
                </w:p>
              </w:tc>
              <w:tc>
                <w:tcPr>
                  <w:tcW w:w="809" w:type="dxa"/>
                  <w:vMerge w:val="restart"/>
                  <w:noWrap w:val="0"/>
                  <w:vAlign w:val="center"/>
                </w:tcPr>
                <w:p w14:paraId="214BAC1D">
                  <w:pPr>
                    <w:pStyle w:val="134"/>
                    <w:shd w:val="clear"/>
                    <w:adjustRightInd w:val="0"/>
                    <w:snapToGrid w:val="0"/>
                    <w:rPr>
                      <w:rFonts w:hint="default" w:ascii="Times New Roman" w:hAnsi="Times New Roman" w:eastAsia="宋体"/>
                      <w:color w:val="auto"/>
                      <w:szCs w:val="21"/>
                      <w:highlight w:val="none"/>
                    </w:rPr>
                  </w:pPr>
                  <w:r>
                    <w:rPr>
                      <w:rFonts w:hint="default" w:ascii="Times New Roman" w:hAnsi="Times New Roman" w:eastAsia="宋体"/>
                      <w:color w:val="auto"/>
                      <w:szCs w:val="21"/>
                      <w:highlight w:val="none"/>
                    </w:rPr>
                    <w:t>相对厂界距离/m</w:t>
                  </w:r>
                </w:p>
              </w:tc>
            </w:tr>
            <w:tr w14:paraId="2A5382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17" w:type="dxa"/>
                  <w:vMerge w:val="continue"/>
                  <w:noWrap w:val="0"/>
                  <w:vAlign w:val="center"/>
                </w:tcPr>
                <w:p w14:paraId="7F436EC0">
                  <w:pPr>
                    <w:pStyle w:val="134"/>
                    <w:shd w:val="clear"/>
                    <w:adjustRightInd w:val="0"/>
                    <w:snapToGrid w:val="0"/>
                    <w:rPr>
                      <w:rFonts w:hint="default" w:ascii="Times New Roman" w:hAnsi="Times New Roman" w:eastAsia="宋体"/>
                      <w:color w:val="auto"/>
                      <w:szCs w:val="21"/>
                      <w:highlight w:val="none"/>
                    </w:rPr>
                  </w:pPr>
                </w:p>
              </w:tc>
              <w:tc>
                <w:tcPr>
                  <w:tcW w:w="1500" w:type="dxa"/>
                  <w:noWrap w:val="0"/>
                  <w:vAlign w:val="center"/>
                </w:tcPr>
                <w:p w14:paraId="52336BC4">
                  <w:pPr>
                    <w:pStyle w:val="134"/>
                    <w:shd w:val="clear"/>
                    <w:adjustRightInd w:val="0"/>
                    <w:snapToGrid w:val="0"/>
                    <w:rPr>
                      <w:rFonts w:hint="default" w:ascii="Times New Roman" w:hAnsi="Times New Roman" w:eastAsia="宋体"/>
                      <w:color w:val="auto"/>
                      <w:szCs w:val="21"/>
                      <w:highlight w:val="none"/>
                    </w:rPr>
                  </w:pPr>
                  <w:r>
                    <w:rPr>
                      <w:rFonts w:hint="default" w:ascii="Times New Roman" w:hAnsi="Times New Roman" w:eastAsia="宋体"/>
                      <w:color w:val="auto"/>
                      <w:szCs w:val="21"/>
                      <w:highlight w:val="none"/>
                    </w:rPr>
                    <w:t>东经</w:t>
                  </w:r>
                </w:p>
              </w:tc>
              <w:tc>
                <w:tcPr>
                  <w:tcW w:w="1354" w:type="dxa"/>
                  <w:noWrap w:val="0"/>
                  <w:vAlign w:val="center"/>
                </w:tcPr>
                <w:p w14:paraId="3595F4A2">
                  <w:pPr>
                    <w:pStyle w:val="134"/>
                    <w:shd w:val="clear"/>
                    <w:adjustRightInd w:val="0"/>
                    <w:snapToGrid w:val="0"/>
                    <w:rPr>
                      <w:rFonts w:hint="default" w:ascii="Times New Roman" w:hAnsi="Times New Roman" w:eastAsia="宋体"/>
                      <w:color w:val="auto"/>
                      <w:szCs w:val="21"/>
                      <w:highlight w:val="none"/>
                    </w:rPr>
                  </w:pPr>
                  <w:r>
                    <w:rPr>
                      <w:rFonts w:hint="default" w:ascii="Times New Roman" w:hAnsi="Times New Roman" w:eastAsia="宋体"/>
                      <w:color w:val="auto"/>
                      <w:szCs w:val="21"/>
                      <w:highlight w:val="none"/>
                    </w:rPr>
                    <w:t>北纬</w:t>
                  </w:r>
                </w:p>
              </w:tc>
              <w:tc>
                <w:tcPr>
                  <w:tcW w:w="970" w:type="dxa"/>
                  <w:vMerge w:val="continue"/>
                  <w:noWrap w:val="0"/>
                  <w:vAlign w:val="center"/>
                </w:tcPr>
                <w:p w14:paraId="15F09C15">
                  <w:pPr>
                    <w:pStyle w:val="134"/>
                    <w:shd w:val="clear"/>
                    <w:adjustRightInd w:val="0"/>
                    <w:snapToGrid w:val="0"/>
                    <w:rPr>
                      <w:rFonts w:hint="default" w:ascii="Times New Roman" w:hAnsi="Times New Roman" w:eastAsia="宋体"/>
                      <w:color w:val="auto"/>
                      <w:szCs w:val="21"/>
                      <w:highlight w:val="none"/>
                    </w:rPr>
                  </w:pPr>
                </w:p>
              </w:tc>
              <w:tc>
                <w:tcPr>
                  <w:tcW w:w="1419" w:type="dxa"/>
                  <w:vMerge w:val="continue"/>
                  <w:noWrap w:val="0"/>
                  <w:vAlign w:val="center"/>
                </w:tcPr>
                <w:p w14:paraId="741C902D">
                  <w:pPr>
                    <w:pStyle w:val="134"/>
                    <w:shd w:val="clear"/>
                    <w:adjustRightInd w:val="0"/>
                    <w:snapToGrid w:val="0"/>
                    <w:rPr>
                      <w:rFonts w:hint="default" w:ascii="Times New Roman" w:hAnsi="Times New Roman" w:eastAsia="宋体"/>
                      <w:color w:val="auto"/>
                      <w:szCs w:val="21"/>
                      <w:highlight w:val="none"/>
                    </w:rPr>
                  </w:pPr>
                </w:p>
              </w:tc>
              <w:tc>
                <w:tcPr>
                  <w:tcW w:w="766" w:type="dxa"/>
                  <w:vMerge w:val="continue"/>
                  <w:noWrap w:val="0"/>
                  <w:vAlign w:val="center"/>
                </w:tcPr>
                <w:p w14:paraId="485B6C6A">
                  <w:pPr>
                    <w:pStyle w:val="134"/>
                    <w:shd w:val="clear"/>
                    <w:adjustRightInd w:val="0"/>
                    <w:snapToGrid w:val="0"/>
                    <w:jc w:val="both"/>
                    <w:rPr>
                      <w:rFonts w:hint="default" w:ascii="Times New Roman" w:hAnsi="Times New Roman" w:eastAsia="宋体"/>
                      <w:color w:val="auto"/>
                      <w:szCs w:val="21"/>
                      <w:highlight w:val="none"/>
                    </w:rPr>
                  </w:pPr>
                </w:p>
              </w:tc>
              <w:tc>
                <w:tcPr>
                  <w:tcW w:w="809" w:type="dxa"/>
                  <w:vMerge w:val="continue"/>
                  <w:noWrap w:val="0"/>
                  <w:vAlign w:val="center"/>
                </w:tcPr>
                <w:p w14:paraId="52435CB8">
                  <w:pPr>
                    <w:pStyle w:val="134"/>
                    <w:shd w:val="clear"/>
                    <w:adjustRightInd w:val="0"/>
                    <w:snapToGrid w:val="0"/>
                    <w:jc w:val="both"/>
                    <w:rPr>
                      <w:rFonts w:hint="default" w:ascii="Times New Roman" w:hAnsi="Times New Roman" w:eastAsia="宋体"/>
                      <w:color w:val="auto"/>
                      <w:szCs w:val="21"/>
                      <w:highlight w:val="none"/>
                    </w:rPr>
                  </w:pPr>
                </w:p>
              </w:tc>
            </w:tr>
            <w:tr w14:paraId="740AD8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317" w:type="dxa"/>
                  <w:noWrap w:val="0"/>
                  <w:vAlign w:val="center"/>
                </w:tcPr>
                <w:p w14:paraId="6BAA3618">
                  <w:pPr>
                    <w:pStyle w:val="134"/>
                    <w:shd w:val="clear"/>
                    <w:adjustRightInd w:val="0"/>
                    <w:snapToGrid w:val="0"/>
                    <w:rPr>
                      <w:rFonts w:hint="default" w:ascii="Times New Roman" w:hAnsi="Times New Roman" w:eastAsia="宋体"/>
                      <w:color w:val="auto"/>
                      <w:szCs w:val="21"/>
                      <w:highlight w:val="none"/>
                      <w:lang w:val="en-US" w:eastAsia="zh-CN"/>
                    </w:rPr>
                  </w:pPr>
                  <w:r>
                    <w:rPr>
                      <w:rFonts w:hint="default" w:ascii="Times New Roman" w:hAnsi="Times New Roman" w:eastAsia="宋体"/>
                      <w:color w:val="auto"/>
                      <w:szCs w:val="21"/>
                      <w:highlight w:val="none"/>
                    </w:rPr>
                    <w:t>厂区</w:t>
                  </w:r>
                  <w:r>
                    <w:rPr>
                      <w:rFonts w:hint="eastAsia" w:ascii="Times New Roman" w:hAnsi="Times New Roman" w:eastAsia="宋体"/>
                      <w:color w:val="auto"/>
                      <w:szCs w:val="21"/>
                      <w:highlight w:val="none"/>
                      <w:lang w:eastAsia="zh-CN"/>
                    </w:rPr>
                    <w:t>下风向</w:t>
                  </w:r>
                  <w:r>
                    <w:rPr>
                      <w:rFonts w:hint="eastAsia" w:ascii="Times New Roman" w:hAnsi="Times New Roman" w:eastAsia="宋体"/>
                      <w:color w:val="auto"/>
                      <w:szCs w:val="21"/>
                      <w:highlight w:val="none"/>
                      <w:lang w:val="en-US" w:eastAsia="zh-CN"/>
                    </w:rPr>
                    <w:t>10m</w:t>
                  </w:r>
                </w:p>
              </w:tc>
              <w:tc>
                <w:tcPr>
                  <w:tcW w:w="1500" w:type="dxa"/>
                  <w:noWrap w:val="0"/>
                  <w:vAlign w:val="center"/>
                </w:tcPr>
                <w:p w14:paraId="7BEA6397">
                  <w:pPr>
                    <w:shd w:val="clear"/>
                    <w:adjustRightInd w:val="0"/>
                    <w:snapToGrid w:val="0"/>
                    <w:rPr>
                      <w:rFonts w:ascii="Times New Roman" w:hAnsi="Times New Roman" w:eastAsia="宋体"/>
                      <w:color w:val="auto"/>
                      <w:szCs w:val="21"/>
                      <w:highlight w:val="none"/>
                    </w:rPr>
                  </w:pPr>
                  <w:r>
                    <w:rPr>
                      <w:rFonts w:hint="eastAsia" w:ascii="Times New Roman" w:hAnsi="Times New Roman" w:eastAsia="宋体"/>
                      <w:color w:val="auto"/>
                      <w:szCs w:val="21"/>
                      <w:highlight w:val="none"/>
                    </w:rPr>
                    <w:t>130.90907666</w:t>
                  </w:r>
                </w:p>
              </w:tc>
              <w:tc>
                <w:tcPr>
                  <w:tcW w:w="1354" w:type="dxa"/>
                  <w:noWrap w:val="0"/>
                  <w:vAlign w:val="center"/>
                </w:tcPr>
                <w:p w14:paraId="7F661F0F">
                  <w:pPr>
                    <w:shd w:val="clear"/>
                    <w:adjustRightInd w:val="0"/>
                    <w:snapToGrid w:val="0"/>
                    <w:rPr>
                      <w:rFonts w:hint="eastAsia" w:ascii="Times New Roman" w:hAnsi="Times New Roman" w:eastAsia="宋体"/>
                      <w:color w:val="auto"/>
                      <w:szCs w:val="21"/>
                      <w:highlight w:val="none"/>
                      <w:lang w:eastAsia="zh-CN"/>
                    </w:rPr>
                  </w:pPr>
                  <w:r>
                    <w:rPr>
                      <w:rFonts w:hint="eastAsia" w:ascii="Times New Roman" w:hAnsi="Times New Roman" w:eastAsia="宋体"/>
                      <w:color w:val="auto"/>
                      <w:szCs w:val="21"/>
                      <w:highlight w:val="none"/>
                    </w:rPr>
                    <w:t>45.31879858</w:t>
                  </w:r>
                </w:p>
              </w:tc>
              <w:tc>
                <w:tcPr>
                  <w:tcW w:w="970" w:type="dxa"/>
                  <w:noWrap w:val="0"/>
                  <w:vAlign w:val="center"/>
                </w:tcPr>
                <w:p w14:paraId="21487D0C">
                  <w:pPr>
                    <w:pStyle w:val="134"/>
                    <w:shd w:val="clear"/>
                    <w:adjustRightInd w:val="0"/>
                    <w:snapToGrid w:val="0"/>
                    <w:rPr>
                      <w:rFonts w:hint="default" w:ascii="Times New Roman" w:hAnsi="Times New Roman" w:eastAsia="宋体"/>
                      <w:color w:val="auto"/>
                      <w:szCs w:val="21"/>
                      <w:highlight w:val="none"/>
                    </w:rPr>
                  </w:pPr>
                  <w:r>
                    <w:rPr>
                      <w:rFonts w:hint="default" w:ascii="Times New Roman" w:hAnsi="Times New Roman" w:eastAsia="宋体"/>
                      <w:color w:val="auto"/>
                      <w:szCs w:val="21"/>
                      <w:highlight w:val="none"/>
                    </w:rPr>
                    <w:t>TSP</w:t>
                  </w:r>
                </w:p>
              </w:tc>
              <w:tc>
                <w:tcPr>
                  <w:tcW w:w="1419" w:type="dxa"/>
                  <w:noWrap w:val="0"/>
                  <w:vAlign w:val="center"/>
                </w:tcPr>
                <w:p w14:paraId="0BFB459A">
                  <w:pPr>
                    <w:pStyle w:val="134"/>
                    <w:shd w:val="clear"/>
                    <w:adjustRightInd w:val="0"/>
                    <w:snapToGrid w:val="0"/>
                    <w:rPr>
                      <w:rFonts w:hint="default" w:ascii="Times New Roman" w:hAnsi="Times New Roman" w:eastAsia="宋体"/>
                      <w:color w:val="auto"/>
                      <w:szCs w:val="21"/>
                      <w:highlight w:val="none"/>
                      <w:lang w:val="en-US" w:eastAsia="zh-CN"/>
                    </w:rPr>
                  </w:pPr>
                  <w:r>
                    <w:rPr>
                      <w:rFonts w:hint="eastAsia"/>
                      <w:color w:val="auto"/>
                      <w:szCs w:val="21"/>
                      <w:highlight w:val="none"/>
                      <w:lang w:val="en-US" w:eastAsia="zh-CN"/>
                    </w:rPr>
                    <w:t>2024.10.29~2024.10.31</w:t>
                  </w:r>
                </w:p>
              </w:tc>
              <w:tc>
                <w:tcPr>
                  <w:tcW w:w="766" w:type="dxa"/>
                  <w:noWrap w:val="0"/>
                  <w:vAlign w:val="center"/>
                </w:tcPr>
                <w:p w14:paraId="7A87B16C">
                  <w:pPr>
                    <w:pStyle w:val="134"/>
                    <w:shd w:val="clear"/>
                    <w:adjustRightInd w:val="0"/>
                    <w:snapToGrid w:val="0"/>
                    <w:rPr>
                      <w:rFonts w:hint="default" w:ascii="Times New Roman" w:hAnsi="Times New Roman" w:eastAsia="宋体"/>
                      <w:color w:val="auto"/>
                      <w:szCs w:val="21"/>
                      <w:highlight w:val="none"/>
                      <w:lang w:val="en-US" w:eastAsia="zh-CN"/>
                    </w:rPr>
                  </w:pPr>
                  <w:r>
                    <w:rPr>
                      <w:rFonts w:hint="eastAsia"/>
                      <w:color w:val="auto"/>
                      <w:szCs w:val="21"/>
                      <w:highlight w:val="none"/>
                      <w:lang w:val="en-US" w:eastAsia="zh-CN"/>
                    </w:rPr>
                    <w:t>E</w:t>
                  </w:r>
                </w:p>
              </w:tc>
              <w:tc>
                <w:tcPr>
                  <w:tcW w:w="809" w:type="dxa"/>
                  <w:noWrap w:val="0"/>
                  <w:vAlign w:val="center"/>
                </w:tcPr>
                <w:p w14:paraId="1591536B">
                  <w:pPr>
                    <w:pStyle w:val="134"/>
                    <w:shd w:val="clear"/>
                    <w:adjustRightInd w:val="0"/>
                    <w:snapToGrid w:val="0"/>
                    <w:rPr>
                      <w:rFonts w:hint="default" w:ascii="Times New Roman" w:hAnsi="Times New Roman" w:eastAsia="宋体"/>
                      <w:color w:val="auto"/>
                      <w:szCs w:val="21"/>
                      <w:highlight w:val="none"/>
                      <w:lang w:val="en-US" w:eastAsia="zh-CN"/>
                    </w:rPr>
                  </w:pPr>
                  <w:r>
                    <w:rPr>
                      <w:rFonts w:hint="eastAsia"/>
                      <w:color w:val="auto"/>
                      <w:szCs w:val="21"/>
                      <w:highlight w:val="none"/>
                      <w:lang w:val="en-US" w:eastAsia="zh-CN"/>
                    </w:rPr>
                    <w:t>10</w:t>
                  </w:r>
                </w:p>
              </w:tc>
            </w:tr>
            <w:bookmarkEnd w:id="19"/>
          </w:tbl>
          <w:p w14:paraId="649936F1">
            <w:pPr>
              <w:shd w:val="clear"/>
              <w:jc w:val="both"/>
              <w:rPr>
                <w:rFonts w:hint="eastAsia" w:eastAsia="宋体"/>
                <w:color w:val="auto"/>
                <w:lang w:eastAsia="zh-CN"/>
              </w:rPr>
            </w:pPr>
            <w:r>
              <w:rPr>
                <w:rFonts w:hint="eastAsia" w:eastAsia="宋体"/>
                <w:color w:val="auto"/>
                <w:lang w:eastAsia="zh-CN"/>
              </w:rPr>
              <w:drawing>
                <wp:anchor distT="0" distB="0" distL="114300" distR="114300" simplePos="0" relativeHeight="251679744" behindDoc="0" locked="0" layoutInCell="1" allowOverlap="1">
                  <wp:simplePos x="0" y="0"/>
                  <wp:positionH relativeFrom="column">
                    <wp:posOffset>4246245</wp:posOffset>
                  </wp:positionH>
                  <wp:positionV relativeFrom="paragraph">
                    <wp:posOffset>152400</wp:posOffset>
                  </wp:positionV>
                  <wp:extent cx="849630" cy="806450"/>
                  <wp:effectExtent l="0" t="0" r="7620" b="12700"/>
                  <wp:wrapNone/>
                  <wp:docPr id="68" name="图片 6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图片1"/>
                          <pic:cNvPicPr>
                            <a:picLocks noChangeAspect="1"/>
                          </pic:cNvPicPr>
                        </pic:nvPicPr>
                        <pic:blipFill>
                          <a:blip r:embed="rId13"/>
                          <a:stretch>
                            <a:fillRect/>
                          </a:stretch>
                        </pic:blipFill>
                        <pic:spPr>
                          <a:xfrm>
                            <a:off x="0" y="0"/>
                            <a:ext cx="849630" cy="806450"/>
                          </a:xfrm>
                          <a:prstGeom prst="rect">
                            <a:avLst/>
                          </a:prstGeom>
                        </pic:spPr>
                      </pic:pic>
                    </a:graphicData>
                  </a:graphic>
                </wp:anchor>
              </w:drawing>
            </w:r>
          </w:p>
          <w:p w14:paraId="22216DA7">
            <w:pPr>
              <w:shd w:val="clear"/>
              <w:jc w:val="both"/>
              <w:rPr>
                <w:rFonts w:ascii="Times New Roman" w:hAnsi="Times New Roman" w:eastAsia="宋体"/>
                <w:b/>
                <w:snapToGrid w:val="0"/>
                <w:color w:val="auto"/>
                <w:kern w:val="0"/>
                <w:highlight w:val="none"/>
              </w:rPr>
            </w:pPr>
            <w:r>
              <w:rPr>
                <w:color w:val="auto"/>
                <w:sz w:val="24"/>
              </w:rPr>
              <mc:AlternateContent>
                <mc:Choice Requires="wps">
                  <w:drawing>
                    <wp:anchor distT="0" distB="0" distL="114300" distR="114300" simplePos="0" relativeHeight="251672576" behindDoc="0" locked="0" layoutInCell="1" allowOverlap="1">
                      <wp:simplePos x="0" y="0"/>
                      <wp:positionH relativeFrom="column">
                        <wp:posOffset>3791585</wp:posOffset>
                      </wp:positionH>
                      <wp:positionV relativeFrom="paragraph">
                        <wp:posOffset>1799590</wp:posOffset>
                      </wp:positionV>
                      <wp:extent cx="123825" cy="142875"/>
                      <wp:effectExtent l="0" t="0" r="9525" b="9525"/>
                      <wp:wrapNone/>
                      <wp:docPr id="5" name="椭圆 5"/>
                      <wp:cNvGraphicFramePr/>
                      <a:graphic xmlns:a="http://schemas.openxmlformats.org/drawingml/2006/main">
                        <a:graphicData uri="http://schemas.microsoft.com/office/word/2010/wordprocessingShape">
                          <wps:wsp>
                            <wps:cNvSpPr/>
                            <wps:spPr>
                              <a:xfrm>
                                <a:off x="0" y="0"/>
                                <a:ext cx="123825" cy="142875"/>
                              </a:xfrm>
                              <a:prstGeom prst="ellipse">
                                <a:avLst/>
                              </a:prstGeom>
                              <a:solidFill>
                                <a:srgbClr val="FF0000"/>
                              </a:solidFill>
                              <a:ln>
                                <a:noFill/>
                              </a:ln>
                            </wps:spPr>
                            <wps:bodyPr upright="1"/>
                          </wps:wsp>
                        </a:graphicData>
                      </a:graphic>
                    </wp:anchor>
                  </w:drawing>
                </mc:Choice>
                <mc:Fallback>
                  <w:pict>
                    <v:shape id="_x0000_s1026" o:spid="_x0000_s1026" o:spt="3" type="#_x0000_t3" style="position:absolute;left:0pt;margin-left:298.55pt;margin-top:141.7pt;height:11.25pt;width:9.75pt;z-index:251672576;mso-width-relative:page;mso-height-relative:page;" fillcolor="#FF0000" filled="t" stroked="f" coordsize="21600,21600" o:gfxdata="UEsDBAoAAAAAAIdO4kAAAAAAAAAAAAAAAAAEAAAAZHJzL1BLAwQUAAAACACHTuJAK2VUMNsAAAAL&#10;AQAADwAAAGRycy9kb3ducmV2LnhtbE2PwU7DMBBE70j8g7VIXFBrJyVpE+JUCIR6LLQcOLrxkkTE&#10;62C7TeHrMSc4ruZp5m21PpuBndD53pKEZC6AITVW99RKeN0/zVbAfFCk1WAJJXyhh3V9eVGpUtuJ&#10;XvC0Cy2LJeRLJaELYSw5902HRvm5HZFi9m6dUSGeruXaqSmWm4GnQuTcqJ7iQqdGfOiw+dgdjYTn&#10;N59RUzx+Y7q530yfN5y75VbK66tE3AELeA5/MPzqR3Woo9PBHkl7NkjIimUSUQnpanELLBJ5kufA&#10;DhIWIiuA1xX//0P9A1BLAwQUAAAACACHTuJATzSHALQBAABhAwAADgAAAGRycy9lMm9Eb2MueG1s&#10;rVNLbtswEN0X6B0I7mt9mrSGYDmLGs6mSAOkPQBNURIB/jBDW/YFeoosu+2x2nN0SLlOm26yqBbU&#10;fB/nvZFWN0dr2EEBau9aXi1KzpSTvtNuaPmXz9s3S84wCtcJ451q+Ukhv1m/frWaQqNqP3rTKWAE&#10;4rCZQsvHGENTFChHZQUufFCOkr0HKyK5MBQdiInQrSnqsnxXTB66AF4qRIpu5iQ/I8JLAH3fa6k2&#10;Xu6tcnFGBWVEJEo46oB8nafteyXjp75HFZlpOTGN+aRLyN6ls1ivRDOACKOW5xHES0Z4xskK7ejS&#10;C9RGRMH2oP+BslqCR9/HhfS2mIlkRYhFVT7T5mEUQWUuJDWGi+j4/2Dl3eEemO5afs2ZE5YW/vPb&#10;9x+PX9l10mYK2FDJQ7iHs4dkJqLHHmx6EwV2zHqeLnqqY2SSglX9dlkTrqRUdVUv32fM4qk5AMZb&#10;5S1LRsuVMbS8xFg04vARI91J1b+rUhi90d1WG5MdGHYfDLCDoO1utyU9aWhq+avMuFTsfGqb0ylS&#10;JG4zm2TtfHciJfYB9DDSLFVGShlSPmOev5K02j/9jPT0Z6x/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CtlVDDbAAAACwEAAA8AAAAAAAAAAQAgAAAAIgAAAGRycy9kb3ducmV2LnhtbFBLAQIUABQA&#10;AAAIAIdO4kBPNIcAtAEAAGEDAAAOAAAAAAAAAAEAIAAAACoBAABkcnMvZTJvRG9jLnhtbFBLBQYA&#10;AAAABgAGAFkBAABQBQAAAAA=&#10;">
                      <v:fill on="t" focussize="0,0"/>
                      <v:stroke on="f"/>
                      <v:imagedata o:title=""/>
                      <o:lock v:ext="edit" aspectratio="f"/>
                    </v:shape>
                  </w:pict>
                </mc:Fallback>
              </mc:AlternateContent>
            </w:r>
            <w:r>
              <w:rPr>
                <w:color w:val="auto"/>
                <w:sz w:val="24"/>
              </w:rPr>
              <mc:AlternateContent>
                <mc:Choice Requires="wps">
                  <w:drawing>
                    <wp:anchor distT="0" distB="0" distL="114300" distR="114300" simplePos="0" relativeHeight="251671552" behindDoc="0" locked="0" layoutInCell="1" allowOverlap="1">
                      <wp:simplePos x="0" y="0"/>
                      <wp:positionH relativeFrom="column">
                        <wp:posOffset>4220210</wp:posOffset>
                      </wp:positionH>
                      <wp:positionV relativeFrom="paragraph">
                        <wp:posOffset>3389630</wp:posOffset>
                      </wp:positionV>
                      <wp:extent cx="123825" cy="142875"/>
                      <wp:effectExtent l="0" t="0" r="9525" b="9525"/>
                      <wp:wrapNone/>
                      <wp:docPr id="8" name="椭圆 8"/>
                      <wp:cNvGraphicFramePr/>
                      <a:graphic xmlns:a="http://schemas.openxmlformats.org/drawingml/2006/main">
                        <a:graphicData uri="http://schemas.microsoft.com/office/word/2010/wordprocessingShape">
                          <wps:wsp>
                            <wps:cNvSpPr/>
                            <wps:spPr>
                              <a:xfrm>
                                <a:off x="0" y="0"/>
                                <a:ext cx="123825" cy="142875"/>
                              </a:xfrm>
                              <a:prstGeom prst="ellipse">
                                <a:avLst/>
                              </a:prstGeom>
                              <a:solidFill>
                                <a:srgbClr val="FF0000"/>
                              </a:solidFill>
                              <a:ln>
                                <a:noFill/>
                              </a:ln>
                            </wps:spPr>
                            <wps:bodyPr upright="1"/>
                          </wps:wsp>
                        </a:graphicData>
                      </a:graphic>
                    </wp:anchor>
                  </w:drawing>
                </mc:Choice>
                <mc:Fallback>
                  <w:pict>
                    <v:shape id="_x0000_s1026" o:spid="_x0000_s1026" o:spt="3" type="#_x0000_t3" style="position:absolute;left:0pt;margin-left:332.3pt;margin-top:266.9pt;height:11.25pt;width:9.75pt;z-index:251671552;mso-width-relative:page;mso-height-relative:page;" fillcolor="#FF0000" filled="t" stroked="f" coordsize="21600,21600" o:gfxdata="UEsDBAoAAAAAAIdO4kAAAAAAAAAAAAAAAAAEAAAAZHJzL1BLAwQUAAAACACHTuJAEllWitoAAAAL&#10;AQAADwAAAGRycy9kb3ducmV2LnhtbE2PwU7DMAyG70i8Q2QkLoilXdcwStMJgdCOwLYDx6w1bUXj&#10;lCRbB0+POcHR9qff31+uTnYQR/Shd6QhnSUgkGrX9NRq2G2frpcgQjTUmMERavjCAKvq/Kw0ReMm&#10;esXjJraCQygURkMX41hIGeoOrQkzNyLx7d15ayKPvpWNNxOH20HOk0RJa3riD50Z8aHD+mNzsBpe&#10;3kJO9e3jN87X9+vp80pKf/Os9eVFmtyBiHiKfzD86rM6VOy0dwdqghg0KLVQjGrIs4w7MKGWixTE&#10;nje5ykBWpfzfofoBUEsDBBQAAAAIAIdO4kA0r4ENsgEAAGEDAAAOAAAAZHJzL2Uyb0RvYy54bWyt&#10;U0uO00AQ3SNxh1bviT8wEFlxZkEUNghGGjhAp922W+qfqjpxcgFOwZItx4JzUN02GRg2s8CLdv36&#10;Vb1X9ub2bA07KUDtXcurVcmZctJ32g0t//xp/2LNGUbhOmG8Uy2/KOS32+fPNlNoVO1HbzoFjEAc&#10;NlNo+RhjaIoC5aiswJUPylGy92BFJBeGogMxEbo1RV2Wr4vJQxfAS4VI0d2c5AsiPAXQ972Waufl&#10;0SoXZ1RQRkSihKMOyLd52r5XMn7se1SRmZYT05hPakL2IZ3FdiOaAUQYtVxGEE8Z4REnK7Sjpleo&#10;nYiCHUH/A2W1BI++jyvpbTETyYoQi6p8pM39KILKXEhqDFfR8f/Byg+nO2C6azmt3QlLC//57fuP&#10;r1/YOmkzBWyo5D7cweIhmYnouQeb3kSBnbOel6ue6hyZpGBVv1zXN5xJSlWv6vWbm4RZPFwOgPGd&#10;8pYlo+XKGFpeYiwacXqPca7+XZXC6I3u9tqY7MBweGuAnQRtd78v6Vka/FVmXCp2Pl2bEVOkSNxm&#10;Nsk6+O5CShwD6GGkWaqMlDKkfB56+UrSav/0M9LDn7H9B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BJZVoraAAAACwEAAA8AAAAAAAAAAQAgAAAAIgAAAGRycy9kb3ducmV2LnhtbFBLAQIUABQAAAAI&#10;AIdO4kA0r4ENsgEAAGEDAAAOAAAAAAAAAAEAIAAAACkBAABkcnMvZTJvRG9jLnhtbFBLBQYAAAAA&#10;BgAGAFkBAABNBQAAAAA=&#10;">
                      <v:fill on="t" focussize="0,0"/>
                      <v:stroke on="f"/>
                      <v:imagedata o:title=""/>
                      <o:lock v:ext="edit" aspectratio="f"/>
                    </v:shape>
                  </w:pict>
                </mc:Fallback>
              </mc:AlternateContent>
            </w:r>
            <w:r>
              <w:rPr>
                <w:color w:val="auto"/>
                <w:sz w:val="24"/>
              </w:rPr>
              <mc:AlternateContent>
                <mc:Choice Requires="wps">
                  <w:drawing>
                    <wp:anchor distT="0" distB="0" distL="114300" distR="114300" simplePos="0" relativeHeight="251670528" behindDoc="0" locked="0" layoutInCell="1" allowOverlap="1">
                      <wp:simplePos x="0" y="0"/>
                      <wp:positionH relativeFrom="column">
                        <wp:posOffset>3918585</wp:posOffset>
                      </wp:positionH>
                      <wp:positionV relativeFrom="paragraph">
                        <wp:posOffset>3026410</wp:posOffset>
                      </wp:positionV>
                      <wp:extent cx="1151890" cy="591185"/>
                      <wp:effectExtent l="5080" t="5080" r="5080" b="13335"/>
                      <wp:wrapNone/>
                      <wp:docPr id="9" name="文本框 9"/>
                      <wp:cNvGraphicFramePr/>
                      <a:graphic xmlns:a="http://schemas.openxmlformats.org/drawingml/2006/main">
                        <a:graphicData uri="http://schemas.microsoft.com/office/word/2010/wordprocessingShape">
                          <wps:wsp>
                            <wps:cNvSpPr txBox="1"/>
                            <wps:spPr>
                              <a:xfrm>
                                <a:off x="0" y="0"/>
                                <a:ext cx="1151890" cy="59118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133CCD2">
                                  <w:pPr>
                                    <w:jc w:val="center"/>
                                    <w:rPr>
                                      <w:rFonts w:hint="eastAsia"/>
                                      <w:b/>
                                      <w:bCs/>
                                      <w:sz w:val="22"/>
                                      <w:szCs w:val="28"/>
                                      <w:lang w:eastAsia="zh-CN"/>
                                    </w:rPr>
                                  </w:pPr>
                                  <w:r>
                                    <w:rPr>
                                      <w:rFonts w:hint="eastAsia"/>
                                      <w:b/>
                                      <w:bCs/>
                                      <w:sz w:val="22"/>
                                      <w:szCs w:val="28"/>
                                      <w:lang w:eastAsia="zh-CN"/>
                                    </w:rPr>
                                    <w:t>图</w:t>
                                  </w:r>
                                  <w:r>
                                    <w:rPr>
                                      <w:rFonts w:hint="eastAsia"/>
                                      <w:b/>
                                      <w:bCs/>
                                      <w:sz w:val="22"/>
                                      <w:szCs w:val="28"/>
                                      <w:lang w:val="en-US" w:eastAsia="zh-CN"/>
                                    </w:rPr>
                                    <w:t xml:space="preserve">  </w:t>
                                  </w:r>
                                  <w:r>
                                    <w:rPr>
                                      <w:rFonts w:hint="eastAsia"/>
                                      <w:b/>
                                      <w:bCs/>
                                      <w:sz w:val="22"/>
                                      <w:szCs w:val="28"/>
                                      <w:lang w:eastAsia="zh-CN"/>
                                    </w:rPr>
                                    <w:t>例</w:t>
                                  </w:r>
                                </w:p>
                                <w:p w14:paraId="5DAFF486">
                                  <w:pPr>
                                    <w:pStyle w:val="14"/>
                                    <w:jc w:val="center"/>
                                    <w:rPr>
                                      <w:rFonts w:hint="eastAsia"/>
                                      <w:lang w:eastAsia="zh-CN"/>
                                    </w:rPr>
                                  </w:pPr>
                                  <w:r>
                                    <w:rPr>
                                      <w:rFonts w:hint="eastAsia"/>
                                      <w:b/>
                                      <w:bCs/>
                                      <w:sz w:val="22"/>
                                      <w:szCs w:val="28"/>
                                      <w:lang w:eastAsia="zh-CN"/>
                                    </w:rPr>
                                    <w:t>监测点位</w:t>
                                  </w:r>
                                </w:p>
                              </w:txbxContent>
                            </wps:txbx>
                            <wps:bodyPr upright="1"/>
                          </wps:wsp>
                        </a:graphicData>
                      </a:graphic>
                    </wp:anchor>
                  </w:drawing>
                </mc:Choice>
                <mc:Fallback>
                  <w:pict>
                    <v:shape id="_x0000_s1026" o:spid="_x0000_s1026" o:spt="202" type="#_x0000_t202" style="position:absolute;left:0pt;margin-left:308.55pt;margin-top:238.3pt;height:46.55pt;width:90.7pt;z-index:251670528;mso-width-relative:page;mso-height-relative:page;" fillcolor="#FFFFFF" filled="t" stroked="t" coordsize="21600,21600" o:gfxdata="UEsDBAoAAAAAAIdO4kAAAAAAAAAAAAAAAAAEAAAAZHJzL1BLAwQUAAAACACHTuJA/DsFVNoAAAAL&#10;AQAADwAAAGRycy9kb3ducmV2LnhtbE2Py07DMBBF90j8gzVIbBB1Aq2dhEy6QALBrhQEWzeeJhF+&#10;hNhNy99jVrAc3aN7z9TrkzVspikM3iHkiwwYudbrwXUIb68P1wWwEJXTynhHCN8UYN2cn9Wq0v7o&#10;Xmjexo6lEhcqhdDHOFach7Ynq8LCj+RStveTVTGdU8f1pI6p3Bp+k2WCWzW4tNCrke57aj+3B4tQ&#10;LJ/mj/B8u3lvxd6U8UrOj18T4uVFnt0Bi3SKfzD86id1aJLTzh+cDswgiFzmCUVYSiGAJUKWxQrY&#10;DmElSgm8qfn/H5ofUEsDBBQAAAAIAIdO4kDN/m1tCQIAADYEAAAOAAAAZHJzL2Uyb0RvYy54bWyt&#10;U02u0zAQ3iNxB8t7mqZSURs1fRKUskGA9OAAru0klvwnj9ukF4AbsGLDnnP1HIydvr4f3qKLl4Uz&#10;9nz+Zuab8epmMJocZADlbE3LyZQSabkTyrY1/f5t+2ZBCURmBdPOypoeJdCb9etXq95XcuY6p4UM&#10;BEksVL2vaRejr4oCeCcNg4nz0qKzccGwiNvQFiKwHtmNLmbT6duid0H44LgEwNPN6KRnxnANoWsa&#10;xeXG8b2RNo6sQWoWsSTolAe6ztk2jeTxS9OAjETXFCuNecUgaO/SWqxXrGoD853i5xTYNSk8qckw&#10;ZTHohWrDIiP7oP6jMooHB66JE+5MMRaSFcEqyukTbW475mWuBaUGfxEdXo6Wfz58DUSJmi4pscxg&#10;w0+/fp5+/z39+UGWSZ7eQ4WoW4+4OLxzAw7N3TngYap6aIJJf6yHoB/FPV7ElUMkPF0q5+ViiS6O&#10;vvmyLBfzRFPc3/YB4kfpDElGTQM2L2vKDp8gjtA7SAoGTiuxVVrnTWh373UgB4aN3ubvzP4Ipi3p&#10;sdT5bI55MJzeBqcGTeNRAbBtjvfoBjwknubvOeKU2IZBNyaQGRKMVUZFGbLVSSY+WEHi0aPKFh8X&#10;TckYKSjREt9isjIyMqWvQaJ22qKEqUVjK5IVh92ANMncOXHEtu19UG2HkubGZTiOU9b+PPppXh/u&#10;M+n9c1//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Pw7BVTaAAAACwEAAA8AAAAAAAAAAQAgAAAA&#10;IgAAAGRycy9kb3ducmV2LnhtbFBLAQIUABQAAAAIAIdO4kDN/m1tCQIAADYEAAAOAAAAAAAAAAEA&#10;IAAAACkBAABkcnMvZTJvRG9jLnhtbFBLBQYAAAAABgAGAFkBAACkBQAAAAA=&#10;">
                      <v:fill on="t" focussize="0,0"/>
                      <v:stroke color="#000000" joinstyle="miter"/>
                      <v:imagedata o:title=""/>
                      <o:lock v:ext="edit" aspectratio="f"/>
                      <v:textbox>
                        <w:txbxContent>
                          <w:p w14:paraId="4133CCD2">
                            <w:pPr>
                              <w:jc w:val="center"/>
                              <w:rPr>
                                <w:rFonts w:hint="eastAsia"/>
                                <w:b/>
                                <w:bCs/>
                                <w:sz w:val="22"/>
                                <w:szCs w:val="28"/>
                                <w:lang w:eastAsia="zh-CN"/>
                              </w:rPr>
                            </w:pPr>
                            <w:r>
                              <w:rPr>
                                <w:rFonts w:hint="eastAsia"/>
                                <w:b/>
                                <w:bCs/>
                                <w:sz w:val="22"/>
                                <w:szCs w:val="28"/>
                                <w:lang w:eastAsia="zh-CN"/>
                              </w:rPr>
                              <w:t>图</w:t>
                            </w:r>
                            <w:r>
                              <w:rPr>
                                <w:rFonts w:hint="eastAsia"/>
                                <w:b/>
                                <w:bCs/>
                                <w:sz w:val="22"/>
                                <w:szCs w:val="28"/>
                                <w:lang w:val="en-US" w:eastAsia="zh-CN"/>
                              </w:rPr>
                              <w:t xml:space="preserve">  </w:t>
                            </w:r>
                            <w:r>
                              <w:rPr>
                                <w:rFonts w:hint="eastAsia"/>
                                <w:b/>
                                <w:bCs/>
                                <w:sz w:val="22"/>
                                <w:szCs w:val="28"/>
                                <w:lang w:eastAsia="zh-CN"/>
                              </w:rPr>
                              <w:t>例</w:t>
                            </w:r>
                          </w:p>
                          <w:p w14:paraId="5DAFF486">
                            <w:pPr>
                              <w:pStyle w:val="14"/>
                              <w:jc w:val="center"/>
                              <w:rPr>
                                <w:rFonts w:hint="eastAsia"/>
                                <w:lang w:eastAsia="zh-CN"/>
                              </w:rPr>
                            </w:pPr>
                            <w:r>
                              <w:rPr>
                                <w:rFonts w:hint="eastAsia"/>
                                <w:b/>
                                <w:bCs/>
                                <w:sz w:val="22"/>
                                <w:szCs w:val="28"/>
                                <w:lang w:eastAsia="zh-CN"/>
                              </w:rPr>
                              <w:t>监测点位</w:t>
                            </w:r>
                          </w:p>
                        </w:txbxContent>
                      </v:textbox>
                    </v:shape>
                  </w:pict>
                </mc:Fallback>
              </mc:AlternateContent>
            </w:r>
            <w:r>
              <w:rPr>
                <w:color w:val="auto"/>
              </w:rPr>
              <w:drawing>
                <wp:inline distT="0" distB="0" distL="114300" distR="114300">
                  <wp:extent cx="5102860" cy="3631565"/>
                  <wp:effectExtent l="0" t="0" r="2540" b="698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14"/>
                          <a:stretch>
                            <a:fillRect/>
                          </a:stretch>
                        </pic:blipFill>
                        <pic:spPr>
                          <a:xfrm>
                            <a:off x="0" y="0"/>
                            <a:ext cx="5102860" cy="3631565"/>
                          </a:xfrm>
                          <a:prstGeom prst="rect">
                            <a:avLst/>
                          </a:prstGeom>
                          <a:noFill/>
                          <a:ln>
                            <a:noFill/>
                          </a:ln>
                        </pic:spPr>
                      </pic:pic>
                    </a:graphicData>
                  </a:graphic>
                </wp:inline>
              </w:drawing>
            </w:r>
          </w:p>
          <w:p w14:paraId="0CC84A12">
            <w:pPr>
              <w:shd w:val="clear"/>
              <w:jc w:val="center"/>
              <w:rPr>
                <w:rFonts w:hint="eastAsia" w:ascii="Times New Roman" w:hAnsi="Times New Roman" w:eastAsia="宋体"/>
                <w:b/>
                <w:snapToGrid w:val="0"/>
                <w:color w:val="auto"/>
                <w:kern w:val="0"/>
                <w:highlight w:val="none"/>
              </w:rPr>
            </w:pPr>
            <w:r>
              <w:rPr>
                <w:rFonts w:ascii="Times New Roman" w:hAnsi="Times New Roman" w:eastAsia="宋体"/>
                <w:b/>
                <w:snapToGrid w:val="0"/>
                <w:color w:val="auto"/>
                <w:kern w:val="0"/>
                <w:highlight w:val="none"/>
              </w:rPr>
              <w:t>图</w:t>
            </w:r>
            <w:r>
              <w:rPr>
                <w:rFonts w:hint="eastAsia" w:ascii="Times New Roman" w:hAnsi="Times New Roman" w:eastAsia="宋体"/>
                <w:b/>
                <w:snapToGrid w:val="0"/>
                <w:color w:val="auto"/>
                <w:kern w:val="0"/>
                <w:highlight w:val="none"/>
                <w:lang w:val="en-US" w:eastAsia="zh-CN"/>
              </w:rPr>
              <w:t>3</w:t>
            </w:r>
            <w:r>
              <w:rPr>
                <w:rFonts w:hint="eastAsia" w:ascii="Times New Roman" w:hAnsi="Times New Roman" w:eastAsia="宋体"/>
                <w:b/>
                <w:snapToGrid w:val="0"/>
                <w:color w:val="auto"/>
                <w:kern w:val="0"/>
                <w:highlight w:val="none"/>
              </w:rPr>
              <w:t>-</w:t>
            </w:r>
            <w:r>
              <w:rPr>
                <w:rFonts w:hint="eastAsia"/>
                <w:b/>
                <w:snapToGrid w:val="0"/>
                <w:color w:val="auto"/>
                <w:kern w:val="0"/>
                <w:highlight w:val="none"/>
                <w:lang w:val="en-US" w:eastAsia="zh-CN"/>
              </w:rPr>
              <w:t xml:space="preserve">1  </w:t>
            </w:r>
            <w:r>
              <w:rPr>
                <w:rFonts w:hint="eastAsia" w:ascii="Times New Roman" w:hAnsi="Times New Roman" w:eastAsia="宋体"/>
                <w:b/>
                <w:snapToGrid w:val="0"/>
                <w:color w:val="auto"/>
                <w:kern w:val="0"/>
                <w:highlight w:val="none"/>
              </w:rPr>
              <w:t>环境空气检测点位图</w:t>
            </w:r>
          </w:p>
          <w:p w14:paraId="4F63C554">
            <w:pPr>
              <w:keepLines w:val="0"/>
              <w:pageBreakBefore w:val="0"/>
              <w:shd w:val="clear"/>
              <w:topLinePunct w:val="0"/>
              <w:bidi w:val="0"/>
              <w:adjustRightInd w:val="0"/>
              <w:snapToGrid w:val="0"/>
              <w:spacing w:beforeAutospacing="0" w:afterAutospacing="0" w:line="360" w:lineRule="auto"/>
              <w:ind w:left="0" w:leftChars="0" w:right="0" w:rightChars="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其他污染物环境质量现状检测结果见表3-</w:t>
            </w:r>
            <w:r>
              <w:rPr>
                <w:rFonts w:hint="eastAsia" w:cs="Times New Roman"/>
                <w:color w:val="auto"/>
                <w:sz w:val="24"/>
                <w:lang w:val="en-US" w:eastAsia="zh-CN"/>
              </w:rPr>
              <w:t>3</w:t>
            </w:r>
            <w:r>
              <w:rPr>
                <w:rFonts w:hint="default" w:ascii="Times New Roman" w:hAnsi="Times New Roman" w:cs="Times New Roman"/>
                <w:color w:val="auto"/>
                <w:sz w:val="24"/>
              </w:rPr>
              <w:t>。</w:t>
            </w:r>
          </w:p>
          <w:p w14:paraId="50AAF948">
            <w:pPr>
              <w:pStyle w:val="135"/>
              <w:keepLines w:val="0"/>
              <w:pageBreakBefore w:val="0"/>
              <w:shd w:val="clear"/>
              <w:topLinePunct w:val="0"/>
              <w:bidi w:val="0"/>
              <w:spacing w:beforeLines="0" w:beforeAutospacing="0" w:afterLines="0" w:afterAutospacing="0" w:line="240" w:lineRule="auto"/>
              <w:ind w:right="0" w:right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表3-</w:t>
            </w:r>
            <w:r>
              <w:rPr>
                <w:rFonts w:hint="eastAsia" w:ascii="Times New Roman" w:hAnsi="Times New Roman" w:eastAsia="宋体" w:cs="Times New Roman"/>
                <w:b/>
                <w:bCs/>
                <w:color w:val="auto"/>
                <w:highlight w:val="none"/>
                <w:lang w:val="en-US" w:eastAsia="zh-CN"/>
              </w:rPr>
              <w:t xml:space="preserve">3 </w:t>
            </w:r>
            <w:r>
              <w:rPr>
                <w:rFonts w:hint="default" w:ascii="Times New Roman" w:hAnsi="Times New Roman" w:eastAsia="宋体" w:cs="Times New Roman"/>
                <w:b/>
                <w:bCs/>
                <w:color w:val="auto"/>
                <w:highlight w:val="none"/>
              </w:rPr>
              <w:t xml:space="preserve"> 环境空气检测结果</w:t>
            </w:r>
          </w:p>
          <w:tbl>
            <w:tblPr>
              <w:tblStyle w:val="3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82"/>
              <w:gridCol w:w="1904"/>
              <w:gridCol w:w="4253"/>
            </w:tblGrid>
            <w:tr w14:paraId="378B4E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70" w:type="pct"/>
                  <w:vMerge w:val="restart"/>
                  <w:noWrap w:val="0"/>
                  <w:vAlign w:val="center"/>
                </w:tcPr>
                <w:p w14:paraId="1370C393">
                  <w:pPr>
                    <w:pStyle w:val="112"/>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采样日期</w:t>
                  </w:r>
                </w:p>
              </w:tc>
              <w:tc>
                <w:tcPr>
                  <w:tcW w:w="1184" w:type="pct"/>
                  <w:vMerge w:val="restart"/>
                  <w:noWrap w:val="0"/>
                  <w:vAlign w:val="center"/>
                </w:tcPr>
                <w:p w14:paraId="3508D5ED">
                  <w:pPr>
                    <w:pStyle w:val="112"/>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检测项目</w:t>
                  </w:r>
                </w:p>
              </w:tc>
              <w:tc>
                <w:tcPr>
                  <w:tcW w:w="2644" w:type="pct"/>
                  <w:noWrap w:val="0"/>
                  <w:vAlign w:val="center"/>
                </w:tcPr>
                <w:p w14:paraId="00474F70">
                  <w:pPr>
                    <w:pStyle w:val="112"/>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监测点位及检测结果（单位：mg/m</w:t>
                  </w:r>
                  <w:r>
                    <w:rPr>
                      <w:rFonts w:hint="default" w:ascii="Times New Roman" w:hAnsi="Times New Roman" w:eastAsia="宋体" w:cs="Times New Roman"/>
                      <w:b w:val="0"/>
                      <w:color w:val="auto"/>
                      <w:sz w:val="21"/>
                      <w:szCs w:val="21"/>
                      <w:vertAlign w:val="superscript"/>
                    </w:rPr>
                    <w:t>3</w:t>
                  </w:r>
                  <w:r>
                    <w:rPr>
                      <w:rFonts w:hint="default" w:ascii="Times New Roman" w:hAnsi="Times New Roman" w:eastAsia="宋体" w:cs="Times New Roman"/>
                      <w:b w:val="0"/>
                      <w:color w:val="auto"/>
                      <w:sz w:val="21"/>
                      <w:szCs w:val="21"/>
                    </w:rPr>
                    <w:t>）</w:t>
                  </w:r>
                </w:p>
              </w:tc>
            </w:tr>
            <w:tr w14:paraId="1C69F7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70" w:type="pct"/>
                  <w:vMerge w:val="continue"/>
                  <w:noWrap w:val="0"/>
                  <w:vAlign w:val="center"/>
                </w:tcPr>
                <w:p w14:paraId="6CD7ABD9">
                  <w:pPr>
                    <w:pStyle w:val="112"/>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rPr>
                  </w:pPr>
                </w:p>
              </w:tc>
              <w:tc>
                <w:tcPr>
                  <w:tcW w:w="1184" w:type="pct"/>
                  <w:vMerge w:val="continue"/>
                  <w:noWrap w:val="0"/>
                  <w:vAlign w:val="center"/>
                </w:tcPr>
                <w:p w14:paraId="03382FD7">
                  <w:pPr>
                    <w:pStyle w:val="112"/>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rPr>
                  </w:pPr>
                </w:p>
              </w:tc>
              <w:tc>
                <w:tcPr>
                  <w:tcW w:w="2644" w:type="pct"/>
                  <w:noWrap w:val="0"/>
                  <w:vAlign w:val="center"/>
                </w:tcPr>
                <w:p w14:paraId="55513DB0">
                  <w:pPr>
                    <w:pStyle w:val="112"/>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eastAsia" w:ascii="Times New Roman" w:hAnsi="Times New Roman" w:eastAsia="宋体" w:cs="Times New Roman"/>
                      <w:b w:val="0"/>
                      <w:color w:val="auto"/>
                      <w:sz w:val="21"/>
                      <w:szCs w:val="21"/>
                      <w:lang w:eastAsia="zh-CN"/>
                    </w:rPr>
                  </w:pPr>
                  <w:r>
                    <w:rPr>
                      <w:rFonts w:hint="eastAsia" w:ascii="Times New Roman" w:hAnsi="Times New Roman" w:eastAsia="宋体" w:cs="Times New Roman"/>
                      <w:b w:val="0"/>
                      <w:color w:val="auto"/>
                      <w:sz w:val="21"/>
                      <w:szCs w:val="21"/>
                      <w:lang w:eastAsia="zh-CN"/>
                    </w:rPr>
                    <w:t>厂界下风向</w:t>
                  </w:r>
                </w:p>
              </w:tc>
            </w:tr>
            <w:tr w14:paraId="50C0B1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70" w:type="pct"/>
                  <w:noWrap w:val="0"/>
                  <w:vAlign w:val="center"/>
                </w:tcPr>
                <w:p w14:paraId="6416A2B2">
                  <w:pPr>
                    <w:pStyle w:val="112"/>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lang w:val="en-US" w:eastAsia="zh-CN"/>
                    </w:rPr>
                  </w:pPr>
                  <w:r>
                    <w:rPr>
                      <w:rFonts w:hint="eastAsia" w:ascii="Times New Roman" w:cs="Times New Roman"/>
                      <w:b w:val="0"/>
                      <w:color w:val="auto"/>
                      <w:sz w:val="21"/>
                      <w:szCs w:val="21"/>
                      <w:lang w:val="en-US" w:eastAsia="zh-CN"/>
                    </w:rPr>
                    <w:t>2024.10.29</w:t>
                  </w:r>
                </w:p>
              </w:tc>
              <w:tc>
                <w:tcPr>
                  <w:tcW w:w="1184" w:type="pct"/>
                  <w:vMerge w:val="restart"/>
                  <w:noWrap w:val="0"/>
                  <w:vAlign w:val="center"/>
                </w:tcPr>
                <w:p w14:paraId="7DAF28B6">
                  <w:pPr>
                    <w:pStyle w:val="112"/>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TSP</w:t>
                  </w:r>
                </w:p>
              </w:tc>
              <w:tc>
                <w:tcPr>
                  <w:tcW w:w="2644" w:type="pct"/>
                  <w:noWrap w:val="0"/>
                  <w:vAlign w:val="center"/>
                </w:tcPr>
                <w:p w14:paraId="258C8A76">
                  <w:pPr>
                    <w:pStyle w:val="112"/>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lang w:val="en-US" w:eastAsia="zh-CN"/>
                    </w:rPr>
                  </w:pPr>
                  <w:r>
                    <w:rPr>
                      <w:rFonts w:hint="eastAsia" w:ascii="Times New Roman" w:cs="Times New Roman"/>
                      <w:b w:val="0"/>
                      <w:color w:val="auto"/>
                      <w:sz w:val="21"/>
                      <w:szCs w:val="21"/>
                      <w:lang w:val="en-US" w:eastAsia="zh-CN"/>
                    </w:rPr>
                    <w:t>103</w:t>
                  </w:r>
                </w:p>
              </w:tc>
            </w:tr>
            <w:tr w14:paraId="527604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70" w:type="pct"/>
                  <w:noWrap w:val="0"/>
                  <w:vAlign w:val="center"/>
                </w:tcPr>
                <w:p w14:paraId="41077847">
                  <w:pPr>
                    <w:pStyle w:val="112"/>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lang w:val="en-US" w:eastAsia="zh-CN"/>
                    </w:rPr>
                  </w:pPr>
                  <w:r>
                    <w:rPr>
                      <w:rFonts w:hint="eastAsia" w:ascii="Times New Roman" w:cs="Times New Roman"/>
                      <w:b w:val="0"/>
                      <w:color w:val="auto"/>
                      <w:sz w:val="21"/>
                      <w:szCs w:val="21"/>
                      <w:lang w:val="en-US" w:eastAsia="zh-CN"/>
                    </w:rPr>
                    <w:t>2024.10.30</w:t>
                  </w:r>
                </w:p>
              </w:tc>
              <w:tc>
                <w:tcPr>
                  <w:tcW w:w="1184" w:type="pct"/>
                  <w:vMerge w:val="continue"/>
                  <w:noWrap w:val="0"/>
                  <w:vAlign w:val="center"/>
                </w:tcPr>
                <w:p w14:paraId="73003AA6">
                  <w:pPr>
                    <w:pStyle w:val="112"/>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rPr>
                  </w:pPr>
                </w:p>
              </w:tc>
              <w:tc>
                <w:tcPr>
                  <w:tcW w:w="2644" w:type="pct"/>
                  <w:noWrap w:val="0"/>
                  <w:vAlign w:val="center"/>
                </w:tcPr>
                <w:p w14:paraId="69AECEF6">
                  <w:pPr>
                    <w:pStyle w:val="112"/>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lang w:val="en-US" w:eastAsia="zh-CN"/>
                    </w:rPr>
                  </w:pPr>
                  <w:r>
                    <w:rPr>
                      <w:rFonts w:hint="eastAsia" w:ascii="Times New Roman" w:cs="Times New Roman"/>
                      <w:b w:val="0"/>
                      <w:color w:val="auto"/>
                      <w:sz w:val="21"/>
                      <w:szCs w:val="21"/>
                      <w:lang w:val="en-US" w:eastAsia="zh-CN"/>
                    </w:rPr>
                    <w:t>112</w:t>
                  </w:r>
                </w:p>
              </w:tc>
            </w:tr>
            <w:tr w14:paraId="02CA0F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70" w:type="pct"/>
                  <w:noWrap w:val="0"/>
                  <w:vAlign w:val="center"/>
                </w:tcPr>
                <w:p w14:paraId="460825DE">
                  <w:pPr>
                    <w:pStyle w:val="112"/>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lang w:val="en-US" w:eastAsia="zh-CN"/>
                    </w:rPr>
                  </w:pPr>
                  <w:r>
                    <w:rPr>
                      <w:rFonts w:hint="eastAsia" w:ascii="Times New Roman" w:cs="Times New Roman"/>
                      <w:b w:val="0"/>
                      <w:color w:val="auto"/>
                      <w:sz w:val="21"/>
                      <w:szCs w:val="21"/>
                      <w:lang w:val="en-US" w:eastAsia="zh-CN"/>
                    </w:rPr>
                    <w:t>2024.10.31</w:t>
                  </w:r>
                </w:p>
              </w:tc>
              <w:tc>
                <w:tcPr>
                  <w:tcW w:w="1184" w:type="pct"/>
                  <w:vMerge w:val="continue"/>
                  <w:noWrap w:val="0"/>
                  <w:vAlign w:val="center"/>
                </w:tcPr>
                <w:p w14:paraId="65E167BE">
                  <w:pPr>
                    <w:pStyle w:val="112"/>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rPr>
                  </w:pPr>
                </w:p>
              </w:tc>
              <w:tc>
                <w:tcPr>
                  <w:tcW w:w="2644" w:type="pct"/>
                  <w:noWrap w:val="0"/>
                  <w:vAlign w:val="center"/>
                </w:tcPr>
                <w:p w14:paraId="466916A3">
                  <w:pPr>
                    <w:pStyle w:val="112"/>
                    <w:keepNext w:val="0"/>
                    <w:keepLines w:val="0"/>
                    <w:pageBreakBefore w:val="0"/>
                    <w:widowControl w:val="0"/>
                    <w:shd w:val="clear"/>
                    <w:kinsoku/>
                    <w:wordWrap/>
                    <w:overflowPunct/>
                    <w:topLinePunct w:val="0"/>
                    <w:autoSpaceDE/>
                    <w:autoSpaceDN/>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eastAsia="宋体" w:cs="Times New Roman"/>
                      <w:b w:val="0"/>
                      <w:color w:val="auto"/>
                      <w:sz w:val="21"/>
                      <w:szCs w:val="21"/>
                      <w:lang w:val="en-US" w:eastAsia="zh-CN"/>
                    </w:rPr>
                  </w:pPr>
                  <w:r>
                    <w:rPr>
                      <w:rFonts w:hint="eastAsia" w:ascii="Times New Roman" w:cs="Times New Roman"/>
                      <w:b w:val="0"/>
                      <w:color w:val="auto"/>
                      <w:sz w:val="21"/>
                      <w:szCs w:val="21"/>
                      <w:lang w:val="en-US" w:eastAsia="zh-CN"/>
                    </w:rPr>
                    <w:t>125</w:t>
                  </w:r>
                </w:p>
              </w:tc>
            </w:tr>
          </w:tbl>
          <w:p w14:paraId="64502ACA">
            <w:pPr>
              <w:pStyle w:val="112"/>
              <w:keepLines w:val="0"/>
              <w:pageBreakBefore w:val="0"/>
              <w:shd w:val="clear"/>
              <w:topLinePunct w:val="0"/>
              <w:bidi w:val="0"/>
              <w:spacing w:beforeAutospacing="0" w:afterAutospacing="0" w:line="240" w:lineRule="auto"/>
              <w:ind w:right="0" w:rightChars="0"/>
              <w:jc w:val="center"/>
              <w:rPr>
                <w:rFonts w:hint="default" w:ascii="Times New Roman" w:hAnsi="Times New Roman" w:eastAsia="宋体" w:cs="Times New Roman"/>
                <w:b/>
                <w:bCs/>
                <w:color w:val="auto"/>
                <w:sz w:val="21"/>
                <w:szCs w:val="24"/>
                <w:highlight w:val="none"/>
              </w:rPr>
            </w:pPr>
            <w:r>
              <w:rPr>
                <w:rFonts w:hint="default" w:ascii="Times New Roman" w:hAnsi="Times New Roman" w:eastAsia="宋体" w:cs="Times New Roman"/>
                <w:b/>
                <w:bCs/>
                <w:color w:val="auto"/>
                <w:sz w:val="21"/>
                <w:szCs w:val="24"/>
                <w:highlight w:val="none"/>
              </w:rPr>
              <w:t>表3-</w:t>
            </w:r>
            <w:r>
              <w:rPr>
                <w:rFonts w:hint="eastAsia" w:ascii="Times New Roman" w:hAnsi="Times New Roman" w:eastAsia="宋体" w:cs="Times New Roman"/>
                <w:b/>
                <w:bCs/>
                <w:color w:val="auto"/>
                <w:sz w:val="21"/>
                <w:szCs w:val="24"/>
                <w:highlight w:val="none"/>
                <w:lang w:val="en-US" w:eastAsia="zh-CN"/>
              </w:rPr>
              <w:t xml:space="preserve">4 </w:t>
            </w:r>
            <w:r>
              <w:rPr>
                <w:rFonts w:hint="default" w:ascii="Times New Roman" w:hAnsi="Times New Roman" w:eastAsia="宋体" w:cs="Times New Roman"/>
                <w:b/>
                <w:bCs/>
                <w:color w:val="auto"/>
                <w:sz w:val="21"/>
                <w:szCs w:val="24"/>
                <w:highlight w:val="none"/>
              </w:rPr>
              <w:t xml:space="preserve"> 其他污染物环境质量现状（监测结果）表</w:t>
            </w:r>
          </w:p>
          <w:tbl>
            <w:tblPr>
              <w:tblStyle w:val="31"/>
              <w:tblW w:w="493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9"/>
              <w:gridCol w:w="1452"/>
              <w:gridCol w:w="1341"/>
              <w:gridCol w:w="441"/>
              <w:gridCol w:w="428"/>
              <w:gridCol w:w="1092"/>
              <w:gridCol w:w="905"/>
              <w:gridCol w:w="975"/>
              <w:gridCol w:w="444"/>
              <w:gridCol w:w="420"/>
            </w:tblGrid>
            <w:tr w14:paraId="716BA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65" w:type="pct"/>
                  <w:vMerge w:val="restart"/>
                  <w:tcBorders>
                    <w:top w:val="single" w:color="000000" w:sz="12" w:space="0"/>
                    <w:left w:val="nil"/>
                    <w:bottom w:val="single" w:color="auto" w:sz="4" w:space="0"/>
                    <w:right w:val="single" w:color="auto" w:sz="4" w:space="0"/>
                  </w:tcBorders>
                  <w:noWrap w:val="0"/>
                  <w:vAlign w:val="center"/>
                </w:tcPr>
                <w:p w14:paraId="75CB9B0E">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监测点位</w:t>
                  </w:r>
                </w:p>
              </w:tc>
              <w:tc>
                <w:tcPr>
                  <w:tcW w:w="1762" w:type="pct"/>
                  <w:gridSpan w:val="2"/>
                  <w:tcBorders>
                    <w:top w:val="single" w:color="000000" w:sz="12" w:space="0"/>
                    <w:left w:val="single" w:color="auto" w:sz="4" w:space="0"/>
                    <w:bottom w:val="single" w:color="auto" w:sz="4" w:space="0"/>
                    <w:right w:val="single" w:color="auto" w:sz="4" w:space="0"/>
                  </w:tcBorders>
                  <w:noWrap w:val="0"/>
                  <w:vAlign w:val="center"/>
                </w:tcPr>
                <w:p w14:paraId="35D21618">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检测点位坐标</w:t>
                  </w:r>
                </w:p>
              </w:tc>
              <w:tc>
                <w:tcPr>
                  <w:tcW w:w="278" w:type="pct"/>
                  <w:vMerge w:val="restart"/>
                  <w:tcBorders>
                    <w:top w:val="single" w:color="000000" w:sz="12" w:space="0"/>
                    <w:left w:val="single" w:color="auto" w:sz="4" w:space="0"/>
                    <w:bottom w:val="single" w:color="auto" w:sz="4" w:space="0"/>
                    <w:right w:val="single" w:color="auto" w:sz="4" w:space="0"/>
                  </w:tcBorders>
                  <w:noWrap w:val="0"/>
                  <w:vAlign w:val="center"/>
                </w:tcPr>
                <w:p w14:paraId="7CC3F997">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污染物</w:t>
                  </w:r>
                </w:p>
              </w:tc>
              <w:tc>
                <w:tcPr>
                  <w:tcW w:w="270" w:type="pct"/>
                  <w:vMerge w:val="restart"/>
                  <w:tcBorders>
                    <w:top w:val="single" w:color="000000" w:sz="12" w:space="0"/>
                    <w:left w:val="single" w:color="auto" w:sz="4" w:space="0"/>
                    <w:right w:val="single" w:color="auto" w:sz="4" w:space="0"/>
                  </w:tcBorders>
                  <w:noWrap w:val="0"/>
                  <w:vAlign w:val="center"/>
                </w:tcPr>
                <w:p w14:paraId="4DF0FD0C">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平均时间</w:t>
                  </w:r>
                </w:p>
              </w:tc>
              <w:tc>
                <w:tcPr>
                  <w:tcW w:w="689" w:type="pct"/>
                  <w:vMerge w:val="restart"/>
                  <w:tcBorders>
                    <w:top w:val="single" w:color="000000" w:sz="12" w:space="0"/>
                    <w:left w:val="single" w:color="auto" w:sz="4" w:space="0"/>
                    <w:bottom w:val="single" w:color="auto" w:sz="4" w:space="0"/>
                    <w:right w:val="single" w:color="auto" w:sz="4" w:space="0"/>
                  </w:tcBorders>
                  <w:noWrap w:val="0"/>
                  <w:vAlign w:val="center"/>
                </w:tcPr>
                <w:p w14:paraId="6955EF43">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评价标准</w:t>
                  </w:r>
                </w:p>
              </w:tc>
              <w:tc>
                <w:tcPr>
                  <w:tcW w:w="571" w:type="pct"/>
                  <w:vMerge w:val="restart"/>
                  <w:tcBorders>
                    <w:top w:val="single" w:color="000000" w:sz="12" w:space="0"/>
                    <w:left w:val="single" w:color="auto" w:sz="4" w:space="0"/>
                    <w:bottom w:val="single" w:color="auto" w:sz="4" w:space="0"/>
                    <w:right w:val="single" w:color="auto" w:sz="4" w:space="0"/>
                  </w:tcBorders>
                  <w:noWrap w:val="0"/>
                  <w:vAlign w:val="center"/>
                </w:tcPr>
                <w:p w14:paraId="5B8D8210">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eastAsia" w:ascii="Times New Roman" w:hAnsi="Times New Roman" w:eastAsia="宋体" w:cs="Times New Roman"/>
                      <w:color w:val="auto"/>
                      <w:sz w:val="21"/>
                      <w:szCs w:val="24"/>
                      <w:lang w:eastAsia="zh-CN"/>
                    </w:rPr>
                  </w:pPr>
                  <w:r>
                    <w:rPr>
                      <w:rFonts w:hint="default" w:ascii="Times New Roman" w:hAnsi="Times New Roman" w:cs="Times New Roman"/>
                      <w:color w:val="auto"/>
                      <w:sz w:val="21"/>
                      <w:szCs w:val="24"/>
                    </w:rPr>
                    <w:t>监测浓度范围</w:t>
                  </w:r>
                  <w:r>
                    <w:rPr>
                      <w:rFonts w:hint="eastAsia" w:cs="Times New Roman"/>
                      <w:color w:val="auto"/>
                      <w:sz w:val="21"/>
                      <w:szCs w:val="24"/>
                      <w:lang w:eastAsia="zh-CN"/>
                    </w:rPr>
                    <w:t>（</w:t>
                  </w:r>
                  <w:r>
                    <w:rPr>
                      <w:rFonts w:hint="default" w:ascii="Times New Roman" w:hAnsi="Times New Roman" w:eastAsia="宋体" w:cs="Times New Roman"/>
                      <w:b w:val="0"/>
                      <w:color w:val="auto"/>
                      <w:sz w:val="21"/>
                      <w:szCs w:val="21"/>
                    </w:rPr>
                    <w:t>mg/m</w:t>
                  </w:r>
                  <w:r>
                    <w:rPr>
                      <w:rFonts w:hint="default" w:ascii="Times New Roman" w:hAnsi="Times New Roman" w:eastAsia="宋体" w:cs="Times New Roman"/>
                      <w:b w:val="0"/>
                      <w:color w:val="auto"/>
                      <w:sz w:val="21"/>
                      <w:szCs w:val="21"/>
                      <w:vertAlign w:val="superscript"/>
                    </w:rPr>
                    <w:t>3</w:t>
                  </w:r>
                  <w:r>
                    <w:rPr>
                      <w:rFonts w:hint="eastAsia" w:cs="Times New Roman"/>
                      <w:color w:val="auto"/>
                      <w:sz w:val="21"/>
                      <w:szCs w:val="24"/>
                      <w:lang w:eastAsia="zh-CN"/>
                    </w:rPr>
                    <w:t>）</w:t>
                  </w:r>
                </w:p>
              </w:tc>
              <w:tc>
                <w:tcPr>
                  <w:tcW w:w="615" w:type="pct"/>
                  <w:vMerge w:val="restart"/>
                  <w:tcBorders>
                    <w:top w:val="single" w:color="000000" w:sz="12" w:space="0"/>
                    <w:left w:val="single" w:color="auto" w:sz="4" w:space="0"/>
                    <w:bottom w:val="single" w:color="auto" w:sz="4" w:space="0"/>
                    <w:right w:val="single" w:color="auto" w:sz="4" w:space="0"/>
                  </w:tcBorders>
                  <w:noWrap w:val="0"/>
                  <w:vAlign w:val="center"/>
                </w:tcPr>
                <w:p w14:paraId="46A01295">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最大浓度占标率/%</w:t>
                  </w:r>
                </w:p>
              </w:tc>
              <w:tc>
                <w:tcPr>
                  <w:tcW w:w="280" w:type="pct"/>
                  <w:vMerge w:val="restart"/>
                  <w:tcBorders>
                    <w:top w:val="single" w:color="000000" w:sz="12" w:space="0"/>
                    <w:left w:val="single" w:color="auto" w:sz="4" w:space="0"/>
                    <w:bottom w:val="single" w:color="auto" w:sz="4" w:space="0"/>
                    <w:right w:val="single" w:color="auto" w:sz="4" w:space="0"/>
                  </w:tcBorders>
                  <w:noWrap w:val="0"/>
                  <w:vAlign w:val="center"/>
                </w:tcPr>
                <w:p w14:paraId="5E31D881">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超标率/%</w:t>
                  </w:r>
                </w:p>
              </w:tc>
              <w:tc>
                <w:tcPr>
                  <w:tcW w:w="265" w:type="pct"/>
                  <w:vMerge w:val="restart"/>
                  <w:tcBorders>
                    <w:top w:val="single" w:color="000000" w:sz="12" w:space="0"/>
                    <w:left w:val="single" w:color="auto" w:sz="4" w:space="0"/>
                    <w:bottom w:val="single" w:color="auto" w:sz="4" w:space="0"/>
                    <w:right w:val="nil"/>
                  </w:tcBorders>
                  <w:noWrap w:val="0"/>
                  <w:vAlign w:val="center"/>
                </w:tcPr>
                <w:p w14:paraId="2ADA5C07">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达标情况</w:t>
                  </w:r>
                </w:p>
              </w:tc>
            </w:tr>
            <w:tr w14:paraId="660CF3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265" w:type="pct"/>
                  <w:vMerge w:val="continue"/>
                  <w:tcBorders>
                    <w:top w:val="single" w:color="auto" w:sz="4" w:space="0"/>
                    <w:left w:val="nil"/>
                    <w:bottom w:val="single" w:color="auto" w:sz="4" w:space="0"/>
                    <w:right w:val="single" w:color="auto" w:sz="4" w:space="0"/>
                  </w:tcBorders>
                  <w:noWrap w:val="0"/>
                  <w:vAlign w:val="center"/>
                </w:tcPr>
                <w:p w14:paraId="31284275">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textAlignment w:val="auto"/>
                    <w:rPr>
                      <w:rFonts w:hint="default" w:ascii="Times New Roman" w:hAnsi="Times New Roman" w:cs="Times New Roman"/>
                      <w:color w:val="auto"/>
                      <w:sz w:val="21"/>
                      <w:szCs w:val="24"/>
                    </w:rPr>
                  </w:pPr>
                </w:p>
              </w:tc>
              <w:tc>
                <w:tcPr>
                  <w:tcW w:w="916" w:type="pct"/>
                  <w:tcBorders>
                    <w:top w:val="single" w:color="auto" w:sz="4" w:space="0"/>
                    <w:left w:val="single" w:color="auto" w:sz="4" w:space="0"/>
                    <w:bottom w:val="single" w:color="auto" w:sz="4" w:space="0"/>
                    <w:right w:val="single" w:color="auto" w:sz="4" w:space="0"/>
                  </w:tcBorders>
                  <w:noWrap w:val="0"/>
                  <w:vAlign w:val="center"/>
                </w:tcPr>
                <w:p w14:paraId="67AF21DB">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经度</w:t>
                  </w:r>
                </w:p>
              </w:tc>
              <w:tc>
                <w:tcPr>
                  <w:tcW w:w="845" w:type="pct"/>
                  <w:tcBorders>
                    <w:top w:val="single" w:color="auto" w:sz="4" w:space="0"/>
                    <w:left w:val="single" w:color="auto" w:sz="4" w:space="0"/>
                    <w:bottom w:val="single" w:color="auto" w:sz="4" w:space="0"/>
                    <w:right w:val="single" w:color="auto" w:sz="4" w:space="0"/>
                  </w:tcBorders>
                  <w:noWrap w:val="0"/>
                  <w:vAlign w:val="center"/>
                </w:tcPr>
                <w:p w14:paraId="6CFB9E34">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纬度</w:t>
                  </w:r>
                </w:p>
              </w:tc>
              <w:tc>
                <w:tcPr>
                  <w:tcW w:w="278" w:type="pct"/>
                  <w:vMerge w:val="continue"/>
                  <w:tcBorders>
                    <w:top w:val="single" w:color="auto" w:sz="4" w:space="0"/>
                    <w:left w:val="single" w:color="auto" w:sz="4" w:space="0"/>
                    <w:bottom w:val="single" w:color="auto" w:sz="4" w:space="0"/>
                    <w:right w:val="single" w:color="auto" w:sz="4" w:space="0"/>
                  </w:tcBorders>
                  <w:noWrap w:val="0"/>
                  <w:vAlign w:val="center"/>
                </w:tcPr>
                <w:p w14:paraId="30A61018">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p>
              </w:tc>
              <w:tc>
                <w:tcPr>
                  <w:tcW w:w="270" w:type="pct"/>
                  <w:vMerge w:val="continue"/>
                  <w:tcBorders>
                    <w:left w:val="single" w:color="auto" w:sz="4" w:space="0"/>
                    <w:bottom w:val="single" w:color="auto" w:sz="4" w:space="0"/>
                    <w:right w:val="single" w:color="auto" w:sz="4" w:space="0"/>
                  </w:tcBorders>
                  <w:noWrap w:val="0"/>
                  <w:vAlign w:val="center"/>
                </w:tcPr>
                <w:p w14:paraId="786D510C">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p>
              </w:tc>
              <w:tc>
                <w:tcPr>
                  <w:tcW w:w="689" w:type="pct"/>
                  <w:vMerge w:val="continue"/>
                  <w:tcBorders>
                    <w:top w:val="single" w:color="auto" w:sz="4" w:space="0"/>
                    <w:left w:val="single" w:color="auto" w:sz="4" w:space="0"/>
                    <w:bottom w:val="single" w:color="auto" w:sz="4" w:space="0"/>
                    <w:right w:val="single" w:color="auto" w:sz="4" w:space="0"/>
                  </w:tcBorders>
                  <w:noWrap w:val="0"/>
                  <w:vAlign w:val="center"/>
                </w:tcPr>
                <w:p w14:paraId="35555F6B">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p>
              </w:tc>
              <w:tc>
                <w:tcPr>
                  <w:tcW w:w="571" w:type="pct"/>
                  <w:vMerge w:val="continue"/>
                  <w:tcBorders>
                    <w:top w:val="single" w:color="auto" w:sz="4" w:space="0"/>
                    <w:left w:val="single" w:color="auto" w:sz="4" w:space="0"/>
                    <w:bottom w:val="single" w:color="auto" w:sz="4" w:space="0"/>
                    <w:right w:val="single" w:color="auto" w:sz="4" w:space="0"/>
                  </w:tcBorders>
                  <w:noWrap w:val="0"/>
                  <w:vAlign w:val="center"/>
                </w:tcPr>
                <w:p w14:paraId="55414C0B">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p>
              </w:tc>
              <w:tc>
                <w:tcPr>
                  <w:tcW w:w="615" w:type="pct"/>
                  <w:vMerge w:val="continue"/>
                  <w:tcBorders>
                    <w:top w:val="single" w:color="auto" w:sz="4" w:space="0"/>
                    <w:left w:val="single" w:color="auto" w:sz="4" w:space="0"/>
                    <w:bottom w:val="single" w:color="auto" w:sz="4" w:space="0"/>
                    <w:right w:val="single" w:color="auto" w:sz="4" w:space="0"/>
                  </w:tcBorders>
                  <w:noWrap w:val="0"/>
                  <w:vAlign w:val="center"/>
                </w:tcPr>
                <w:p w14:paraId="42E93068">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p>
              </w:tc>
              <w:tc>
                <w:tcPr>
                  <w:tcW w:w="280" w:type="pct"/>
                  <w:vMerge w:val="continue"/>
                  <w:tcBorders>
                    <w:top w:val="single" w:color="auto" w:sz="4" w:space="0"/>
                    <w:left w:val="single" w:color="auto" w:sz="4" w:space="0"/>
                    <w:bottom w:val="single" w:color="auto" w:sz="4" w:space="0"/>
                    <w:right w:val="single" w:color="auto" w:sz="4" w:space="0"/>
                  </w:tcBorders>
                  <w:noWrap w:val="0"/>
                  <w:vAlign w:val="center"/>
                </w:tcPr>
                <w:p w14:paraId="4383EB95">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p>
              </w:tc>
              <w:tc>
                <w:tcPr>
                  <w:tcW w:w="265" w:type="pct"/>
                  <w:vMerge w:val="continue"/>
                  <w:tcBorders>
                    <w:top w:val="single" w:color="auto" w:sz="4" w:space="0"/>
                    <w:left w:val="single" w:color="auto" w:sz="4" w:space="0"/>
                    <w:bottom w:val="single" w:color="auto" w:sz="4" w:space="0"/>
                    <w:right w:val="nil"/>
                  </w:tcBorders>
                  <w:noWrap w:val="0"/>
                  <w:vAlign w:val="center"/>
                </w:tcPr>
                <w:p w14:paraId="338612B6">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p>
              </w:tc>
            </w:tr>
            <w:tr w14:paraId="40C20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265" w:type="pct"/>
                  <w:vMerge w:val="continue"/>
                  <w:tcBorders>
                    <w:left w:val="nil"/>
                    <w:bottom w:val="single" w:color="000000" w:sz="12" w:space="0"/>
                    <w:right w:val="single" w:color="auto" w:sz="4" w:space="0"/>
                  </w:tcBorders>
                  <w:noWrap w:val="0"/>
                  <w:vAlign w:val="center"/>
                </w:tcPr>
                <w:p w14:paraId="07FF1056">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p>
              </w:tc>
              <w:tc>
                <w:tcPr>
                  <w:tcW w:w="1424" w:type="dxa"/>
                  <w:tcBorders>
                    <w:left w:val="single" w:color="auto" w:sz="4" w:space="0"/>
                    <w:bottom w:val="single" w:color="000000" w:sz="12" w:space="0"/>
                    <w:right w:val="single" w:color="auto" w:sz="4" w:space="0"/>
                  </w:tcBorders>
                  <w:noWrap w:val="0"/>
                  <w:vAlign w:val="center"/>
                </w:tcPr>
                <w:p w14:paraId="224CD76F">
                  <w:pPr>
                    <w:shd w:val="clear"/>
                    <w:adjustRightInd w:val="0"/>
                    <w:snapToGrid w:val="0"/>
                    <w:rPr>
                      <w:rFonts w:hint="default" w:ascii="Times New Roman" w:hAnsi="Times New Roman" w:cs="Times New Roman"/>
                      <w:color w:val="auto"/>
                      <w:sz w:val="21"/>
                      <w:szCs w:val="24"/>
                    </w:rPr>
                  </w:pPr>
                  <w:r>
                    <w:rPr>
                      <w:rFonts w:hint="eastAsia" w:ascii="Times New Roman" w:hAnsi="Times New Roman" w:eastAsia="宋体"/>
                      <w:color w:val="auto"/>
                      <w:szCs w:val="21"/>
                      <w:highlight w:val="none"/>
                    </w:rPr>
                    <w:t>130.90907666</w:t>
                  </w:r>
                </w:p>
              </w:tc>
              <w:tc>
                <w:tcPr>
                  <w:tcW w:w="1319" w:type="dxa"/>
                  <w:tcBorders>
                    <w:left w:val="single" w:color="auto" w:sz="4" w:space="0"/>
                    <w:bottom w:val="single" w:color="000000" w:sz="12" w:space="0"/>
                    <w:right w:val="single" w:color="auto" w:sz="4" w:space="0"/>
                  </w:tcBorders>
                  <w:noWrap w:val="0"/>
                  <w:vAlign w:val="center"/>
                </w:tcPr>
                <w:p w14:paraId="5554E5D1">
                  <w:pPr>
                    <w:shd w:val="clear"/>
                    <w:adjustRightInd w:val="0"/>
                    <w:snapToGrid w:val="0"/>
                    <w:rPr>
                      <w:rFonts w:hint="default" w:ascii="Times New Roman" w:hAnsi="Times New Roman" w:cs="Times New Roman"/>
                      <w:color w:val="auto"/>
                      <w:sz w:val="21"/>
                      <w:szCs w:val="24"/>
                    </w:rPr>
                  </w:pPr>
                  <w:r>
                    <w:rPr>
                      <w:rFonts w:hint="eastAsia" w:ascii="Times New Roman" w:hAnsi="Times New Roman" w:eastAsia="宋体"/>
                      <w:color w:val="auto"/>
                      <w:szCs w:val="21"/>
                      <w:highlight w:val="none"/>
                    </w:rPr>
                    <w:t>45.31879858</w:t>
                  </w:r>
                </w:p>
              </w:tc>
              <w:tc>
                <w:tcPr>
                  <w:tcW w:w="278" w:type="pct"/>
                  <w:tcBorders>
                    <w:top w:val="single" w:color="auto" w:sz="4" w:space="0"/>
                    <w:left w:val="single" w:color="auto" w:sz="4" w:space="0"/>
                    <w:bottom w:val="single" w:color="000000" w:sz="12" w:space="0"/>
                    <w:right w:val="single" w:color="auto" w:sz="4" w:space="0"/>
                  </w:tcBorders>
                  <w:noWrap w:val="0"/>
                  <w:vAlign w:val="center"/>
                </w:tcPr>
                <w:p w14:paraId="434460FC">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eastAsia="宋体" w:cs="Times New Roman"/>
                      <w:color w:val="auto"/>
                      <w:sz w:val="21"/>
                      <w:szCs w:val="24"/>
                      <w:lang w:val="en-US" w:eastAsia="zh-CN"/>
                    </w:rPr>
                  </w:pPr>
                  <w:r>
                    <w:rPr>
                      <w:rFonts w:hint="default" w:ascii="Times New Roman" w:hAnsi="Times New Roman" w:cs="Times New Roman"/>
                      <w:color w:val="auto"/>
                      <w:sz w:val="21"/>
                      <w:szCs w:val="24"/>
                      <w:lang w:val="en-US" w:eastAsia="zh-CN"/>
                    </w:rPr>
                    <w:t>TSP</w:t>
                  </w:r>
                </w:p>
              </w:tc>
              <w:tc>
                <w:tcPr>
                  <w:tcW w:w="270" w:type="pct"/>
                  <w:tcBorders>
                    <w:left w:val="single" w:color="auto" w:sz="4" w:space="0"/>
                    <w:bottom w:val="single" w:color="000000" w:sz="12" w:space="0"/>
                    <w:right w:val="single" w:color="auto" w:sz="4" w:space="0"/>
                  </w:tcBorders>
                  <w:noWrap w:val="0"/>
                  <w:vAlign w:val="center"/>
                </w:tcPr>
                <w:p w14:paraId="29E9011E">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heme="minorEastAsia" w:hAnsiTheme="minorEastAsia" w:eastAsiaTheme="minorEastAsia" w:cstheme="minorEastAsia"/>
                      <w:color w:val="auto"/>
                      <w:kern w:val="2"/>
                      <w:sz w:val="21"/>
                      <w:szCs w:val="24"/>
                      <w:highlight w:val="none"/>
                      <w:lang w:val="en-US" w:eastAsia="zh-CN" w:bidi="ar-SA"/>
                    </w:rPr>
                  </w:pPr>
                  <w:r>
                    <w:rPr>
                      <w:rFonts w:hint="eastAsia" w:asciiTheme="minorEastAsia" w:hAnsiTheme="minorEastAsia" w:eastAsiaTheme="minorEastAsia" w:cstheme="minorEastAsia"/>
                      <w:color w:val="auto"/>
                      <w:sz w:val="21"/>
                      <w:szCs w:val="24"/>
                      <w:highlight w:val="none"/>
                    </w:rPr>
                    <w:t>日均值</w:t>
                  </w:r>
                </w:p>
              </w:tc>
              <w:tc>
                <w:tcPr>
                  <w:tcW w:w="689" w:type="pct"/>
                  <w:tcBorders>
                    <w:left w:val="single" w:color="auto" w:sz="4" w:space="0"/>
                    <w:bottom w:val="single" w:color="000000" w:sz="12" w:space="0"/>
                    <w:right w:val="single" w:color="auto" w:sz="4" w:space="0"/>
                  </w:tcBorders>
                  <w:noWrap w:val="0"/>
                  <w:vAlign w:val="center"/>
                </w:tcPr>
                <w:p w14:paraId="37F7C288">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lang w:val="en-US" w:eastAsia="zh-CN"/>
                    </w:rPr>
                    <w:t>300</w:t>
                  </w:r>
                  <w:r>
                    <w:rPr>
                      <w:rFonts w:hint="default" w:ascii="Times New Roman" w:hAnsi="Times New Roman" w:cs="Times New Roman"/>
                      <w:color w:val="auto"/>
                      <w:sz w:val="21"/>
                      <w:szCs w:val="24"/>
                    </w:rPr>
                    <w:t>μg/m</w:t>
                  </w:r>
                  <w:r>
                    <w:rPr>
                      <w:rFonts w:hint="default" w:ascii="Times New Roman" w:hAnsi="Times New Roman" w:cs="Times New Roman"/>
                      <w:color w:val="auto"/>
                      <w:sz w:val="21"/>
                      <w:szCs w:val="24"/>
                      <w:vertAlign w:val="superscript"/>
                    </w:rPr>
                    <w:t>3</w:t>
                  </w:r>
                </w:p>
              </w:tc>
              <w:tc>
                <w:tcPr>
                  <w:tcW w:w="571" w:type="pct"/>
                  <w:tcBorders>
                    <w:left w:val="single" w:color="auto" w:sz="4" w:space="0"/>
                    <w:bottom w:val="single" w:color="000000" w:sz="12" w:space="0"/>
                    <w:right w:val="single" w:color="auto" w:sz="4" w:space="0"/>
                  </w:tcBorders>
                  <w:noWrap w:val="0"/>
                  <w:vAlign w:val="center"/>
                </w:tcPr>
                <w:p w14:paraId="169633D0">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eastAsia="宋体" w:cs="Times New Roman"/>
                      <w:color w:val="auto"/>
                      <w:sz w:val="21"/>
                      <w:szCs w:val="24"/>
                      <w:highlight w:val="none"/>
                      <w:lang w:val="en-US" w:eastAsia="zh-CN"/>
                    </w:rPr>
                  </w:pPr>
                  <w:r>
                    <w:rPr>
                      <w:rFonts w:hint="eastAsia" w:cs="Times New Roman"/>
                      <w:color w:val="auto"/>
                      <w:sz w:val="21"/>
                      <w:szCs w:val="24"/>
                      <w:highlight w:val="none"/>
                      <w:lang w:val="en-US" w:eastAsia="zh-CN"/>
                    </w:rPr>
                    <w:t>103~125</w:t>
                  </w:r>
                </w:p>
              </w:tc>
              <w:tc>
                <w:tcPr>
                  <w:tcW w:w="615" w:type="pct"/>
                  <w:tcBorders>
                    <w:left w:val="single" w:color="auto" w:sz="4" w:space="0"/>
                    <w:bottom w:val="single" w:color="000000" w:sz="12" w:space="0"/>
                    <w:right w:val="single" w:color="auto" w:sz="4" w:space="0"/>
                  </w:tcBorders>
                  <w:noWrap w:val="0"/>
                  <w:vAlign w:val="center"/>
                </w:tcPr>
                <w:p w14:paraId="20873BE6">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eastAsia="宋体" w:cs="Times New Roman"/>
                      <w:color w:val="auto"/>
                      <w:sz w:val="21"/>
                      <w:szCs w:val="24"/>
                      <w:highlight w:val="none"/>
                      <w:lang w:val="en-US" w:eastAsia="zh-CN"/>
                    </w:rPr>
                  </w:pPr>
                  <w:r>
                    <w:rPr>
                      <w:rFonts w:hint="eastAsia" w:cs="Times New Roman"/>
                      <w:color w:val="auto"/>
                      <w:sz w:val="21"/>
                      <w:szCs w:val="24"/>
                      <w:highlight w:val="none"/>
                      <w:lang w:val="en-US" w:eastAsia="zh-CN"/>
                    </w:rPr>
                    <w:t>41.7</w:t>
                  </w:r>
                </w:p>
              </w:tc>
              <w:tc>
                <w:tcPr>
                  <w:tcW w:w="280" w:type="pct"/>
                  <w:tcBorders>
                    <w:left w:val="single" w:color="auto" w:sz="4" w:space="0"/>
                    <w:bottom w:val="single" w:color="000000" w:sz="12" w:space="0"/>
                    <w:right w:val="single" w:color="auto" w:sz="4" w:space="0"/>
                  </w:tcBorders>
                  <w:noWrap w:val="0"/>
                  <w:vAlign w:val="center"/>
                </w:tcPr>
                <w:p w14:paraId="23B55A0D">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0</w:t>
                  </w:r>
                </w:p>
              </w:tc>
              <w:tc>
                <w:tcPr>
                  <w:tcW w:w="265" w:type="pct"/>
                  <w:tcBorders>
                    <w:left w:val="single" w:color="auto" w:sz="4" w:space="0"/>
                    <w:bottom w:val="single" w:color="000000" w:sz="12" w:space="0"/>
                    <w:right w:val="nil"/>
                  </w:tcBorders>
                  <w:noWrap w:val="0"/>
                  <w:vAlign w:val="center"/>
                </w:tcPr>
                <w:p w14:paraId="3F14835B">
                  <w:pPr>
                    <w:keepNext w:val="0"/>
                    <w:keepLines w:val="0"/>
                    <w:pageBreakBefore w:val="0"/>
                    <w:widowControl w:val="0"/>
                    <w:shd w:val="clear"/>
                    <w:kinsoku/>
                    <w:wordWrap/>
                    <w:overflowPunct/>
                    <w:topLinePunct w:val="0"/>
                    <w:autoSpaceDE/>
                    <w:autoSpaceDN/>
                    <w:bidi w:val="0"/>
                    <w:adjustRightInd/>
                    <w:snapToGrid/>
                    <w:spacing w:beforeAutospacing="0" w:afterAutospacing="0" w:line="260" w:lineRule="exact"/>
                    <w:ind w:left="0" w:leftChars="0" w:right="0" w:rightChars="0" w:firstLine="0" w:firstLineChars="0"/>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达标</w:t>
                  </w:r>
                </w:p>
              </w:tc>
            </w:tr>
          </w:tbl>
          <w:p w14:paraId="43F0765B">
            <w:pPr>
              <w:pStyle w:val="81"/>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0" w:leftChars="0" w:firstLine="480" w:firstLineChars="200"/>
              <w:textAlignment w:val="auto"/>
              <w:rPr>
                <w:rFonts w:hint="eastAsia" w:ascii="Times New Roman" w:hAnsi="Times New Roman" w:eastAsia="宋体" w:cs="Times New Roman"/>
                <w:color w:val="auto"/>
                <w:kern w:val="0"/>
                <w:sz w:val="24"/>
                <w:szCs w:val="28"/>
                <w:lang w:val="en-US" w:eastAsia="zh-CN" w:bidi="ar-SA"/>
              </w:rPr>
            </w:pPr>
            <w:r>
              <w:rPr>
                <w:rFonts w:hint="default" w:ascii="Times New Roman" w:hAnsi="Times New Roman" w:eastAsia="宋体" w:cs="Times New Roman"/>
                <w:color w:val="auto"/>
                <w:kern w:val="0"/>
                <w:sz w:val="24"/>
                <w:szCs w:val="28"/>
                <w:lang w:val="en-US" w:eastAsia="zh-CN" w:bidi="ar-SA"/>
              </w:rPr>
              <w:t>根据上表统计结果，本项目补充检测的TSP环境空气质量现状满足《环境空气质量标准》（GB3095-2012）及修改单中二级标准要求。</w:t>
            </w:r>
          </w:p>
          <w:p w14:paraId="2E83330C">
            <w:pPr>
              <w:pStyle w:val="81"/>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0" w:leftChars="0" w:firstLine="480" w:firstLineChars="200"/>
              <w:textAlignment w:val="auto"/>
              <w:rPr>
                <w:rFonts w:hint="eastAsia" w:ascii="Times New Roman" w:hAnsi="Times New Roman" w:eastAsia="宋体" w:cs="Times New Roman"/>
                <w:color w:val="auto"/>
                <w:kern w:val="0"/>
                <w:sz w:val="24"/>
                <w:szCs w:val="28"/>
                <w:lang w:val="en-US" w:eastAsia="zh-CN" w:bidi="ar-SA"/>
              </w:rPr>
            </w:pPr>
            <w:r>
              <w:rPr>
                <w:rFonts w:hint="eastAsia" w:ascii="Times New Roman" w:hAnsi="Times New Roman" w:eastAsia="宋体" w:cs="Times New Roman"/>
                <w:color w:val="auto"/>
                <w:kern w:val="0"/>
                <w:sz w:val="24"/>
                <w:szCs w:val="28"/>
                <w:lang w:val="en-US" w:eastAsia="zh-CN" w:bidi="ar-SA"/>
              </w:rPr>
              <w:t>2、地表水环境质量现状</w:t>
            </w:r>
          </w:p>
          <w:p w14:paraId="5A484483">
            <w:pPr>
              <w:pStyle w:val="81"/>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0" w:leftChars="0" w:firstLine="480" w:firstLineChars="200"/>
              <w:textAlignment w:val="auto"/>
              <w:rPr>
                <w:rFonts w:hint="eastAsia" w:ascii="Times New Roman" w:hAnsi="Times New Roman" w:eastAsia="宋体" w:cs="Times New Roman"/>
                <w:color w:val="auto"/>
                <w:kern w:val="0"/>
                <w:sz w:val="24"/>
                <w:szCs w:val="28"/>
                <w:lang w:val="en-US" w:eastAsia="zh-CN" w:bidi="ar-SA"/>
              </w:rPr>
            </w:pPr>
            <w:r>
              <w:rPr>
                <w:rFonts w:hint="eastAsia" w:ascii="Times New Roman" w:hAnsi="Times New Roman" w:eastAsia="宋体" w:cs="Times New Roman"/>
                <w:color w:val="auto"/>
                <w:kern w:val="0"/>
                <w:sz w:val="24"/>
                <w:szCs w:val="28"/>
                <w:lang w:val="en-US" w:eastAsia="zh-CN" w:bidi="ar-SA"/>
              </w:rPr>
              <w:t>项目所在区域的主要受纳水体为穆棱河，根据《全国重要江河湖泊水功能区划（</w:t>
            </w:r>
            <w:r>
              <w:rPr>
                <w:rFonts w:hint="default" w:ascii="Times New Roman" w:hAnsi="Times New Roman" w:eastAsia="宋体" w:cs="Times New Roman"/>
                <w:color w:val="auto"/>
                <w:kern w:val="0"/>
                <w:sz w:val="24"/>
                <w:szCs w:val="28"/>
                <w:lang w:val="en-US" w:eastAsia="zh-CN" w:bidi="ar-SA"/>
              </w:rPr>
              <w:t>2011-2030</w:t>
            </w:r>
            <w:r>
              <w:rPr>
                <w:rFonts w:hint="eastAsia" w:ascii="Times New Roman" w:hAnsi="Times New Roman" w:eastAsia="宋体" w:cs="Times New Roman"/>
                <w:color w:val="auto"/>
                <w:kern w:val="0"/>
                <w:sz w:val="24"/>
                <w:szCs w:val="28"/>
                <w:lang w:val="en-US" w:eastAsia="zh-CN" w:bidi="ar-SA"/>
              </w:rPr>
              <w:t>）》（黑龙江省）可知，鸡古路西100m至凯北站执行《地表水环境质量标准》（</w:t>
            </w:r>
            <w:r>
              <w:rPr>
                <w:rFonts w:hint="default" w:ascii="Times New Roman" w:hAnsi="Times New Roman" w:eastAsia="宋体" w:cs="Times New Roman"/>
                <w:color w:val="auto"/>
                <w:kern w:val="0"/>
                <w:sz w:val="24"/>
                <w:szCs w:val="28"/>
                <w:lang w:val="en-US" w:eastAsia="zh-CN" w:bidi="ar-SA"/>
              </w:rPr>
              <w:t>GB3838-2002</w:t>
            </w:r>
            <w:r>
              <w:rPr>
                <w:rFonts w:hint="eastAsia" w:ascii="Times New Roman" w:hAnsi="Times New Roman" w:eastAsia="宋体" w:cs="Times New Roman"/>
                <w:color w:val="auto"/>
                <w:kern w:val="0"/>
                <w:sz w:val="24"/>
                <w:szCs w:val="28"/>
                <w:lang w:val="en-US" w:eastAsia="zh-CN" w:bidi="ar-SA"/>
              </w:rPr>
              <w:t>）中的Ⅲ类水体标准。参考</w:t>
            </w:r>
            <w:r>
              <w:rPr>
                <w:rFonts w:hint="default" w:ascii="Times New Roman" w:hAnsi="Times New Roman" w:eastAsia="宋体" w:cs="Times New Roman"/>
                <w:color w:val="auto"/>
                <w:kern w:val="0"/>
                <w:sz w:val="24"/>
                <w:szCs w:val="28"/>
                <w:lang w:val="en-US" w:eastAsia="zh-CN" w:bidi="ar-SA"/>
              </w:rPr>
              <w:t>《</w:t>
            </w:r>
            <w:r>
              <w:rPr>
                <w:rFonts w:hint="eastAsia" w:ascii="Times New Roman" w:hAnsi="Times New Roman" w:eastAsia="宋体" w:cs="Times New Roman"/>
                <w:color w:val="auto"/>
                <w:kern w:val="0"/>
                <w:sz w:val="24"/>
                <w:szCs w:val="28"/>
                <w:lang w:val="en-US" w:eastAsia="zh-CN" w:bidi="ar-SA"/>
              </w:rPr>
              <w:t>2023年鸡西市生态环境质量状况</w:t>
            </w:r>
            <w:r>
              <w:rPr>
                <w:rFonts w:hint="default" w:ascii="Times New Roman" w:hAnsi="Times New Roman" w:eastAsia="宋体" w:cs="Times New Roman"/>
                <w:color w:val="auto"/>
                <w:kern w:val="0"/>
                <w:sz w:val="24"/>
                <w:szCs w:val="28"/>
                <w:lang w:val="en-US" w:eastAsia="zh-CN" w:bidi="ar-SA"/>
              </w:rPr>
              <w:t>》</w:t>
            </w:r>
            <w:r>
              <w:rPr>
                <w:rFonts w:hint="eastAsia" w:ascii="Times New Roman" w:hAnsi="Times New Roman" w:eastAsia="宋体" w:cs="Times New Roman"/>
                <w:color w:val="auto"/>
                <w:kern w:val="0"/>
                <w:sz w:val="24"/>
                <w:szCs w:val="28"/>
                <w:lang w:val="en-US" w:eastAsia="zh-CN" w:bidi="ar-SA"/>
              </w:rPr>
              <w:t>2023年，鸡西市8个国家考核断面中，Ⅰ~Ⅱ类水质比例为62.5%达到年度考核目标要求；劣Ⅴ类水质比例为0，达到年度考核目标要求。Ⅰ~Ⅲ类水质断面比例上升12.5个百分点，劣Ⅴ类水质比例同比保持不变。</w:t>
            </w:r>
          </w:p>
          <w:p w14:paraId="6D4016AE">
            <w:pPr>
              <w:pStyle w:val="81"/>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firstLine="480" w:firstLineChars="200"/>
              <w:textAlignment w:val="auto"/>
              <w:rPr>
                <w:rFonts w:hint="eastAsia" w:ascii="Times New Roman" w:hAnsi="Times New Roman" w:eastAsia="宋体" w:cs="Times New Roman"/>
                <w:color w:val="auto"/>
                <w:kern w:val="0"/>
                <w:sz w:val="24"/>
                <w:szCs w:val="28"/>
                <w:lang w:val="en-US" w:eastAsia="zh-CN" w:bidi="ar-SA"/>
              </w:rPr>
            </w:pPr>
            <w:r>
              <w:rPr>
                <w:rFonts w:hint="eastAsia" w:ascii="Times New Roman" w:hAnsi="Times New Roman" w:eastAsia="宋体"/>
                <w:bCs/>
                <w:snapToGrid w:val="0"/>
                <w:color w:val="auto"/>
                <w:sz w:val="24"/>
                <w:lang w:val="en-US" w:eastAsia="zh-CN"/>
              </w:rPr>
              <w:t>考核断面主要关注污染指标为高锰酸盐指数、氨氮、化学需氧量和总磷。高锰酸盐指数平均浓度为5.2mg</w:t>
            </w:r>
            <w:r>
              <w:rPr>
                <w:rFonts w:hint="eastAsia"/>
                <w:bCs/>
                <w:snapToGrid w:val="0"/>
                <w:color w:val="auto"/>
                <w:sz w:val="24"/>
                <w:lang w:val="en-US" w:eastAsia="zh-CN"/>
              </w:rPr>
              <w:t>/L</w:t>
            </w:r>
            <w:r>
              <w:rPr>
                <w:rFonts w:hint="eastAsia" w:ascii="Times New Roman" w:hAnsi="Times New Roman" w:eastAsia="宋体"/>
                <w:bCs/>
                <w:snapToGrid w:val="0"/>
                <w:color w:val="auto"/>
                <w:sz w:val="24"/>
                <w:lang w:val="en-US" w:eastAsia="zh-CN"/>
              </w:rPr>
              <w:t>，同比下降5.5%</w:t>
            </w:r>
            <w:r>
              <w:rPr>
                <w:rFonts w:hint="eastAsia"/>
                <w:bCs/>
                <w:snapToGrid w:val="0"/>
                <w:color w:val="auto"/>
                <w:sz w:val="24"/>
                <w:lang w:val="en-US" w:eastAsia="zh-CN"/>
              </w:rPr>
              <w:t>；</w:t>
            </w:r>
            <w:r>
              <w:rPr>
                <w:rFonts w:hint="eastAsia" w:ascii="Times New Roman" w:hAnsi="Times New Roman" w:eastAsia="宋体"/>
                <w:bCs/>
                <w:snapToGrid w:val="0"/>
                <w:color w:val="auto"/>
                <w:sz w:val="24"/>
                <w:lang w:val="en-US" w:eastAsia="zh-CN"/>
              </w:rPr>
              <w:t>氨氮平均浓度为0.27mg</w:t>
            </w:r>
            <w:r>
              <w:rPr>
                <w:rFonts w:hint="eastAsia"/>
                <w:bCs/>
                <w:snapToGrid w:val="0"/>
                <w:color w:val="auto"/>
                <w:sz w:val="24"/>
                <w:lang w:val="en-US" w:eastAsia="zh-CN"/>
              </w:rPr>
              <w:t>/L</w:t>
            </w:r>
            <w:r>
              <w:rPr>
                <w:rFonts w:hint="eastAsia" w:ascii="Times New Roman" w:hAnsi="Times New Roman" w:eastAsia="宋体"/>
                <w:bCs/>
                <w:snapToGrid w:val="0"/>
                <w:color w:val="auto"/>
                <w:sz w:val="24"/>
                <w:lang w:val="en-US" w:eastAsia="zh-CN"/>
              </w:rPr>
              <w:t>，同比上升17.4%</w:t>
            </w:r>
            <w:r>
              <w:rPr>
                <w:rFonts w:hint="eastAsia"/>
                <w:bCs/>
                <w:snapToGrid w:val="0"/>
                <w:color w:val="auto"/>
                <w:sz w:val="24"/>
                <w:lang w:val="en-US" w:eastAsia="zh-CN"/>
              </w:rPr>
              <w:t>；</w:t>
            </w:r>
            <w:r>
              <w:rPr>
                <w:rFonts w:hint="eastAsia" w:ascii="Times New Roman" w:hAnsi="Times New Roman" w:eastAsia="宋体"/>
                <w:bCs/>
                <w:snapToGrid w:val="0"/>
                <w:color w:val="auto"/>
                <w:sz w:val="24"/>
                <w:lang w:val="en-US" w:eastAsia="zh-CN"/>
              </w:rPr>
              <w:t>化学需氧量平均浓度为15.7mg</w:t>
            </w:r>
            <w:r>
              <w:rPr>
                <w:rFonts w:hint="eastAsia"/>
                <w:bCs/>
                <w:snapToGrid w:val="0"/>
                <w:color w:val="auto"/>
                <w:sz w:val="24"/>
                <w:lang w:val="en-US" w:eastAsia="zh-CN"/>
              </w:rPr>
              <w:t>/L</w:t>
            </w:r>
            <w:r>
              <w:rPr>
                <w:rFonts w:hint="eastAsia" w:ascii="Times New Roman" w:hAnsi="Times New Roman" w:eastAsia="宋体"/>
                <w:bCs/>
                <w:snapToGrid w:val="0"/>
                <w:color w:val="auto"/>
                <w:sz w:val="24"/>
                <w:lang w:val="en-US" w:eastAsia="zh-CN"/>
              </w:rPr>
              <w:t>，同比下降11.8%</w:t>
            </w:r>
            <w:r>
              <w:rPr>
                <w:rFonts w:hint="eastAsia"/>
                <w:bCs/>
                <w:snapToGrid w:val="0"/>
                <w:color w:val="auto"/>
                <w:sz w:val="24"/>
                <w:lang w:val="en-US" w:eastAsia="zh-CN"/>
              </w:rPr>
              <w:t>；</w:t>
            </w:r>
            <w:r>
              <w:rPr>
                <w:rFonts w:hint="eastAsia" w:ascii="Times New Roman" w:hAnsi="Times New Roman" w:eastAsia="宋体"/>
                <w:bCs/>
                <w:snapToGrid w:val="0"/>
                <w:color w:val="auto"/>
                <w:sz w:val="24"/>
                <w:lang w:val="en-US" w:eastAsia="zh-CN"/>
              </w:rPr>
              <w:t>总磷平均浓度为0.103mg</w:t>
            </w:r>
            <w:r>
              <w:rPr>
                <w:rFonts w:hint="eastAsia"/>
                <w:bCs/>
                <w:snapToGrid w:val="0"/>
                <w:color w:val="auto"/>
                <w:sz w:val="24"/>
                <w:lang w:val="en-US" w:eastAsia="zh-CN"/>
              </w:rPr>
              <w:t>/L</w:t>
            </w:r>
            <w:r>
              <w:rPr>
                <w:rFonts w:hint="eastAsia" w:ascii="Times New Roman" w:hAnsi="Times New Roman" w:eastAsia="宋体"/>
                <w:bCs/>
                <w:snapToGrid w:val="0"/>
                <w:color w:val="auto"/>
                <w:sz w:val="24"/>
                <w:lang w:val="en-US" w:eastAsia="zh-CN"/>
              </w:rPr>
              <w:t>，同比上升18.4%。根据鸡西市河流总体水质状况可知，穆棱河口内河水体水质满足Ⅲ类水体标准。</w:t>
            </w:r>
          </w:p>
          <w:p w14:paraId="2EDB92F5">
            <w:pPr>
              <w:pStyle w:val="81"/>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0" w:leftChars="0" w:firstLine="480" w:firstLineChars="200"/>
              <w:textAlignment w:val="auto"/>
              <w:rPr>
                <w:rFonts w:hint="eastAsia" w:ascii="Times New Roman" w:hAnsi="Times New Roman" w:eastAsia="宋体" w:cs="Times New Roman"/>
                <w:color w:val="auto"/>
                <w:kern w:val="0"/>
                <w:sz w:val="24"/>
                <w:szCs w:val="28"/>
                <w:lang w:val="en-US" w:eastAsia="zh-CN" w:bidi="ar-SA"/>
              </w:rPr>
            </w:pPr>
            <w:r>
              <w:rPr>
                <w:rFonts w:hint="eastAsia" w:ascii="Times New Roman" w:hAnsi="Times New Roman" w:eastAsia="宋体" w:cs="Times New Roman"/>
                <w:color w:val="auto"/>
                <w:kern w:val="0"/>
                <w:sz w:val="24"/>
                <w:szCs w:val="28"/>
                <w:lang w:val="en-US" w:eastAsia="zh-CN" w:bidi="ar-SA"/>
              </w:rPr>
              <w:t>3、声环境质量现状</w:t>
            </w:r>
          </w:p>
          <w:p w14:paraId="3B683571">
            <w:pPr>
              <w:widowControl/>
              <w:adjustRightInd w:val="0"/>
              <w:snapToGrid w:val="0"/>
              <w:spacing w:line="360" w:lineRule="auto"/>
              <w:ind w:firstLine="480" w:firstLineChars="200"/>
              <w:jc w:val="left"/>
              <w:rPr>
                <w:rFonts w:hint="default" w:ascii="Times New Roman" w:hAnsi="Times New Roman" w:eastAsia="宋体" w:cs="Times New Roman"/>
                <w:color w:val="auto"/>
                <w:kern w:val="0"/>
                <w:sz w:val="24"/>
                <w:szCs w:val="20"/>
                <w:lang w:val="en-US" w:eastAsia="zh-CN"/>
              </w:rPr>
            </w:pPr>
            <w:r>
              <w:rPr>
                <w:rFonts w:hint="eastAsia" w:ascii="Times New Roman" w:hAnsi="Times New Roman" w:eastAsia="宋体"/>
                <w:bCs/>
                <w:color w:val="auto"/>
                <w:kern w:val="0"/>
                <w:sz w:val="24"/>
                <w:lang w:val="en-US" w:eastAsia="zh-CN"/>
              </w:rPr>
              <w:t>根据</w:t>
            </w:r>
            <w:r>
              <w:rPr>
                <w:rFonts w:ascii="Times New Roman" w:hAnsi="宋体" w:eastAsia="宋体" w:cs="Times New Roman"/>
                <w:color w:val="auto"/>
                <w:sz w:val="24"/>
              </w:rPr>
              <w:t>《</w:t>
            </w:r>
            <w:r>
              <w:rPr>
                <w:rFonts w:hint="eastAsia" w:ascii="Times New Roman" w:hAnsi="宋体" w:eastAsia="宋体" w:cs="Times New Roman"/>
                <w:color w:val="auto"/>
                <w:sz w:val="24"/>
                <w:lang w:val="en-US" w:eastAsia="zh-CN"/>
              </w:rPr>
              <w:t>2023年鸡西市生态环境质量状况</w:t>
            </w:r>
            <w:r>
              <w:rPr>
                <w:rFonts w:ascii="Times New Roman" w:hAnsi="宋体" w:eastAsia="宋体" w:cs="Times New Roman"/>
                <w:color w:val="auto"/>
                <w:sz w:val="24"/>
              </w:rPr>
              <w:t>》</w:t>
            </w:r>
            <w:r>
              <w:rPr>
                <w:rFonts w:hint="eastAsia" w:ascii="Times New Roman" w:hAnsi="Times New Roman" w:eastAsia="宋体"/>
                <w:bCs/>
                <w:color w:val="auto"/>
                <w:kern w:val="0"/>
                <w:sz w:val="24"/>
                <w:lang w:val="en-US" w:eastAsia="zh-CN"/>
              </w:rPr>
              <w:t>可知，鸡西市区域昼间声环境质量为</w:t>
            </w:r>
            <w:r>
              <w:rPr>
                <w:rFonts w:hint="eastAsia"/>
                <w:bCs/>
                <w:color w:val="auto"/>
                <w:kern w:val="0"/>
                <w:sz w:val="24"/>
                <w:lang w:val="en-US" w:eastAsia="zh-CN"/>
              </w:rPr>
              <w:t>二</w:t>
            </w:r>
            <w:r>
              <w:rPr>
                <w:rFonts w:hint="eastAsia" w:ascii="Times New Roman" w:hAnsi="Times New Roman" w:eastAsia="宋体"/>
                <w:bCs/>
                <w:color w:val="auto"/>
                <w:kern w:val="0"/>
                <w:sz w:val="24"/>
                <w:lang w:val="en-US" w:eastAsia="zh-CN"/>
              </w:rPr>
              <w:t>级，</w:t>
            </w:r>
            <w:r>
              <w:rPr>
                <w:rFonts w:hint="eastAsia"/>
                <w:bCs/>
                <w:color w:val="auto"/>
                <w:kern w:val="0"/>
                <w:sz w:val="24"/>
                <w:lang w:val="en-US" w:eastAsia="zh-CN"/>
              </w:rPr>
              <w:t>平均</w:t>
            </w:r>
            <w:r>
              <w:rPr>
                <w:rFonts w:hint="eastAsia" w:ascii="Times New Roman" w:hAnsi="Times New Roman" w:eastAsia="宋体"/>
                <w:bCs/>
                <w:color w:val="auto"/>
                <w:kern w:val="0"/>
                <w:sz w:val="24"/>
                <w:lang w:val="en-US" w:eastAsia="zh-CN"/>
              </w:rPr>
              <w:t>等效声级为</w:t>
            </w:r>
            <w:r>
              <w:rPr>
                <w:rFonts w:hint="eastAsia"/>
                <w:bCs/>
                <w:color w:val="auto"/>
                <w:kern w:val="0"/>
                <w:sz w:val="24"/>
                <w:lang w:val="en-US" w:eastAsia="zh-CN"/>
              </w:rPr>
              <w:t>54.9</w:t>
            </w:r>
            <w:r>
              <w:rPr>
                <w:rFonts w:hint="eastAsia" w:ascii="Times New Roman" w:hAnsi="Times New Roman" w:eastAsia="宋体"/>
                <w:bCs/>
                <w:color w:val="auto"/>
                <w:kern w:val="0"/>
                <w:sz w:val="24"/>
                <w:lang w:val="en-US" w:eastAsia="zh-CN"/>
              </w:rPr>
              <w:t>dB</w:t>
            </w:r>
            <w:r>
              <w:rPr>
                <w:rFonts w:hint="eastAsia"/>
                <w:bCs/>
                <w:color w:val="auto"/>
                <w:kern w:val="0"/>
                <w:sz w:val="24"/>
                <w:lang w:val="en-US" w:eastAsia="zh-CN"/>
              </w:rPr>
              <w:t>（</w:t>
            </w:r>
            <w:r>
              <w:rPr>
                <w:rFonts w:hint="eastAsia" w:ascii="Times New Roman" w:hAnsi="Times New Roman" w:eastAsia="宋体"/>
                <w:bCs/>
                <w:color w:val="auto"/>
                <w:kern w:val="0"/>
                <w:sz w:val="24"/>
                <w:lang w:val="en-US" w:eastAsia="zh-CN"/>
              </w:rPr>
              <w:t>A</w:t>
            </w:r>
            <w:r>
              <w:rPr>
                <w:rFonts w:hint="eastAsia"/>
                <w:bCs/>
                <w:color w:val="auto"/>
                <w:kern w:val="0"/>
                <w:sz w:val="24"/>
                <w:lang w:val="en-US" w:eastAsia="zh-CN"/>
              </w:rPr>
              <w:t>）</w:t>
            </w:r>
            <w:r>
              <w:rPr>
                <w:rFonts w:hint="eastAsia" w:ascii="Times New Roman" w:hAnsi="Times New Roman" w:eastAsia="宋体"/>
                <w:bCs/>
                <w:color w:val="auto"/>
                <w:kern w:val="0"/>
                <w:sz w:val="24"/>
                <w:lang w:val="en-US" w:eastAsia="zh-CN"/>
              </w:rPr>
              <w:t>；道路交通昼间声环境质量为一级，等效声级为66</w:t>
            </w:r>
            <w:r>
              <w:rPr>
                <w:rFonts w:hint="eastAsia"/>
                <w:bCs/>
                <w:color w:val="auto"/>
                <w:kern w:val="0"/>
                <w:sz w:val="24"/>
                <w:lang w:val="en-US" w:eastAsia="zh-CN"/>
              </w:rPr>
              <w:t>.5</w:t>
            </w:r>
            <w:r>
              <w:rPr>
                <w:rFonts w:hint="eastAsia" w:ascii="Times New Roman" w:hAnsi="Times New Roman" w:eastAsia="宋体"/>
                <w:bCs/>
                <w:color w:val="auto"/>
                <w:kern w:val="0"/>
                <w:sz w:val="24"/>
                <w:lang w:val="en-US" w:eastAsia="zh-CN"/>
              </w:rPr>
              <w:t>dB</w:t>
            </w:r>
            <w:r>
              <w:rPr>
                <w:rFonts w:hint="eastAsia"/>
                <w:bCs/>
                <w:color w:val="auto"/>
                <w:kern w:val="0"/>
                <w:sz w:val="24"/>
                <w:lang w:val="en-US" w:eastAsia="zh-CN"/>
              </w:rPr>
              <w:t>（</w:t>
            </w:r>
            <w:r>
              <w:rPr>
                <w:rFonts w:hint="eastAsia" w:ascii="Times New Roman" w:hAnsi="Times New Roman" w:eastAsia="宋体"/>
                <w:bCs/>
                <w:color w:val="auto"/>
                <w:kern w:val="0"/>
                <w:sz w:val="24"/>
                <w:lang w:val="en-US" w:eastAsia="zh-CN"/>
              </w:rPr>
              <w:t>A</w:t>
            </w:r>
            <w:r>
              <w:rPr>
                <w:rFonts w:hint="eastAsia"/>
                <w:bCs/>
                <w:color w:val="auto"/>
                <w:kern w:val="0"/>
                <w:sz w:val="24"/>
                <w:lang w:val="en-US" w:eastAsia="zh-CN"/>
              </w:rPr>
              <w:t>）</w:t>
            </w:r>
            <w:r>
              <w:rPr>
                <w:rFonts w:hint="eastAsia" w:ascii="Times New Roman" w:hAnsi="Times New Roman" w:eastAsia="宋体"/>
                <w:bCs/>
                <w:color w:val="auto"/>
                <w:kern w:val="0"/>
                <w:sz w:val="24"/>
                <w:lang w:val="en-US" w:eastAsia="zh-CN"/>
              </w:rPr>
              <w:t>；功能区昼间达标率100%；功能区夜间达标率100%。</w:t>
            </w:r>
          </w:p>
          <w:p w14:paraId="3375A6B5">
            <w:pPr>
              <w:widowControl/>
              <w:adjustRightInd w:val="0"/>
              <w:snapToGrid w:val="0"/>
              <w:spacing w:line="360" w:lineRule="auto"/>
              <w:ind w:firstLine="480" w:firstLineChars="200"/>
              <w:jc w:val="left"/>
              <w:rPr>
                <w:rFonts w:hint="eastAsia"/>
                <w:color w:val="auto"/>
                <w:kern w:val="0"/>
                <w:sz w:val="24"/>
                <w:szCs w:val="20"/>
              </w:rPr>
            </w:pPr>
            <w:r>
              <w:rPr>
                <w:rFonts w:hint="eastAsia"/>
                <w:color w:val="auto"/>
                <w:kern w:val="0"/>
                <w:sz w:val="24"/>
                <w:szCs w:val="20"/>
                <w:lang w:val="en-US" w:eastAsia="zh-CN"/>
              </w:rPr>
              <w:t>本</w:t>
            </w:r>
            <w:r>
              <w:rPr>
                <w:rFonts w:hint="eastAsia"/>
                <w:color w:val="auto"/>
                <w:kern w:val="0"/>
                <w:sz w:val="24"/>
                <w:szCs w:val="20"/>
              </w:rPr>
              <w:t>项目周边50m范围内</w:t>
            </w:r>
            <w:r>
              <w:rPr>
                <w:rFonts w:hint="eastAsia"/>
                <w:color w:val="auto"/>
                <w:kern w:val="0"/>
                <w:sz w:val="24"/>
                <w:szCs w:val="20"/>
                <w:lang w:val="en-US" w:eastAsia="zh-CN"/>
              </w:rPr>
              <w:t>有</w:t>
            </w:r>
            <w:r>
              <w:rPr>
                <w:rFonts w:hint="eastAsia"/>
                <w:color w:val="auto"/>
                <w:kern w:val="0"/>
                <w:sz w:val="24"/>
                <w:szCs w:val="20"/>
              </w:rPr>
              <w:t>声环境敏感目标，企业委托</w:t>
            </w:r>
            <w:r>
              <w:rPr>
                <w:rFonts w:hint="eastAsia" w:ascii="Times New Roman" w:hAnsi="Times New Roman" w:eastAsia="宋体" w:cs="Times New Roman"/>
                <w:color w:val="auto"/>
                <w:kern w:val="2"/>
                <w:sz w:val="24"/>
                <w:szCs w:val="21"/>
                <w:lang w:val="en-GB" w:eastAsia="zh-CN" w:bidi="ar-SA"/>
              </w:rPr>
              <w:t>黑龙江省</w:t>
            </w:r>
            <w:r>
              <w:rPr>
                <w:rFonts w:hint="eastAsia" w:cs="Times New Roman"/>
                <w:color w:val="auto"/>
                <w:kern w:val="2"/>
                <w:sz w:val="24"/>
                <w:szCs w:val="21"/>
                <w:lang w:val="en-US" w:eastAsia="zh-CN" w:bidi="ar-SA"/>
              </w:rPr>
              <w:t>汇川</w:t>
            </w:r>
            <w:r>
              <w:rPr>
                <w:rFonts w:hint="eastAsia" w:ascii="Times New Roman" w:hAnsi="Times New Roman" w:eastAsia="宋体" w:cs="Times New Roman"/>
                <w:color w:val="auto"/>
                <w:kern w:val="2"/>
                <w:sz w:val="24"/>
                <w:szCs w:val="21"/>
                <w:lang w:val="en-GB" w:eastAsia="zh-CN" w:bidi="ar-SA"/>
              </w:rPr>
              <w:t>检测有限公司</w:t>
            </w:r>
            <w:r>
              <w:rPr>
                <w:rFonts w:hint="eastAsia"/>
                <w:color w:val="auto"/>
                <w:kern w:val="0"/>
                <w:sz w:val="24"/>
                <w:szCs w:val="20"/>
              </w:rPr>
              <w:t>于</w:t>
            </w:r>
            <w:r>
              <w:rPr>
                <w:color w:val="auto"/>
                <w:kern w:val="0"/>
                <w:sz w:val="24"/>
                <w:szCs w:val="20"/>
              </w:rPr>
              <w:t>202</w:t>
            </w:r>
            <w:r>
              <w:rPr>
                <w:rFonts w:hint="eastAsia"/>
                <w:color w:val="auto"/>
                <w:kern w:val="0"/>
                <w:sz w:val="24"/>
                <w:szCs w:val="20"/>
                <w:lang w:val="en-US" w:eastAsia="zh-CN"/>
              </w:rPr>
              <w:t>4</w:t>
            </w:r>
            <w:r>
              <w:rPr>
                <w:rFonts w:hint="eastAsia"/>
                <w:color w:val="auto"/>
                <w:kern w:val="0"/>
                <w:sz w:val="24"/>
                <w:szCs w:val="20"/>
              </w:rPr>
              <w:t>年</w:t>
            </w:r>
            <w:r>
              <w:rPr>
                <w:rFonts w:hint="eastAsia"/>
                <w:color w:val="auto"/>
                <w:kern w:val="0"/>
                <w:sz w:val="24"/>
                <w:szCs w:val="20"/>
                <w:lang w:val="en-US" w:eastAsia="zh-CN"/>
              </w:rPr>
              <w:t>10</w:t>
            </w:r>
            <w:r>
              <w:rPr>
                <w:rFonts w:hint="eastAsia"/>
                <w:color w:val="auto"/>
                <w:kern w:val="0"/>
                <w:sz w:val="24"/>
                <w:szCs w:val="20"/>
              </w:rPr>
              <w:t>月</w:t>
            </w:r>
            <w:r>
              <w:rPr>
                <w:rFonts w:hint="eastAsia"/>
                <w:color w:val="auto"/>
                <w:kern w:val="0"/>
                <w:sz w:val="24"/>
                <w:szCs w:val="20"/>
                <w:lang w:val="en-US" w:eastAsia="zh-CN"/>
              </w:rPr>
              <w:t>29</w:t>
            </w:r>
            <w:r>
              <w:rPr>
                <w:rFonts w:hint="eastAsia"/>
                <w:color w:val="auto"/>
                <w:kern w:val="0"/>
                <w:sz w:val="24"/>
                <w:szCs w:val="20"/>
              </w:rPr>
              <w:t>日</w:t>
            </w:r>
            <w:r>
              <w:rPr>
                <w:rFonts w:hint="eastAsia"/>
                <w:color w:val="auto"/>
                <w:kern w:val="0"/>
                <w:sz w:val="24"/>
                <w:szCs w:val="20"/>
                <w:lang w:val="en-US" w:eastAsia="zh-CN"/>
              </w:rPr>
              <w:t>至2024年10月30日</w:t>
            </w:r>
            <w:r>
              <w:rPr>
                <w:rFonts w:hint="eastAsia"/>
                <w:color w:val="auto"/>
                <w:kern w:val="0"/>
                <w:sz w:val="24"/>
                <w:szCs w:val="20"/>
              </w:rPr>
              <w:t>对</w:t>
            </w:r>
            <w:r>
              <w:rPr>
                <w:rFonts w:hint="eastAsia"/>
                <w:color w:val="auto"/>
                <w:kern w:val="0"/>
                <w:sz w:val="24"/>
                <w:szCs w:val="20"/>
                <w:lang w:val="en-US" w:eastAsia="zh-CN"/>
              </w:rPr>
              <w:t>敏感目标</w:t>
            </w:r>
            <w:r>
              <w:rPr>
                <w:rFonts w:hint="eastAsia"/>
                <w:color w:val="auto"/>
                <w:kern w:val="0"/>
                <w:sz w:val="24"/>
                <w:szCs w:val="20"/>
              </w:rPr>
              <w:t>进行了环境噪声监测</w:t>
            </w:r>
            <w:r>
              <w:rPr>
                <w:rFonts w:hint="eastAsia"/>
                <w:color w:val="auto"/>
                <w:kern w:val="0"/>
                <w:sz w:val="24"/>
                <w:szCs w:val="28"/>
              </w:rPr>
              <w:t>，</w:t>
            </w:r>
            <w:r>
              <w:rPr>
                <w:rFonts w:hint="eastAsia"/>
                <w:color w:val="auto"/>
                <w:kern w:val="0"/>
                <w:sz w:val="24"/>
                <w:szCs w:val="28"/>
                <w:lang w:eastAsia="zh-CN"/>
              </w:rPr>
              <w:t>监测示意图见图</w:t>
            </w:r>
            <w:r>
              <w:rPr>
                <w:rFonts w:hint="eastAsia"/>
                <w:color w:val="auto"/>
                <w:kern w:val="0"/>
                <w:sz w:val="24"/>
                <w:szCs w:val="28"/>
                <w:lang w:val="en-US" w:eastAsia="zh-CN"/>
              </w:rPr>
              <w:t>3-2。</w:t>
            </w:r>
          </w:p>
          <w:p w14:paraId="3DB4C065">
            <w:pPr>
              <w:pStyle w:val="12"/>
              <w:rPr>
                <w:rFonts w:hint="eastAsia"/>
                <w:color w:val="auto"/>
                <w:kern w:val="0"/>
                <w:sz w:val="24"/>
                <w:szCs w:val="20"/>
              </w:rPr>
            </w:pPr>
            <w:r>
              <w:rPr>
                <w:color w:val="auto"/>
                <w:sz w:val="32"/>
              </w:rPr>
              <mc:AlternateContent>
                <mc:Choice Requires="wps">
                  <w:drawing>
                    <wp:anchor distT="0" distB="0" distL="114300" distR="114300" simplePos="0" relativeHeight="251683840" behindDoc="0" locked="0" layoutInCell="1" allowOverlap="1">
                      <wp:simplePos x="0" y="0"/>
                      <wp:positionH relativeFrom="column">
                        <wp:posOffset>2186305</wp:posOffset>
                      </wp:positionH>
                      <wp:positionV relativeFrom="paragraph">
                        <wp:posOffset>2055495</wp:posOffset>
                      </wp:positionV>
                      <wp:extent cx="409575" cy="379730"/>
                      <wp:effectExtent l="0" t="0" r="0" b="0"/>
                      <wp:wrapNone/>
                      <wp:docPr id="190" name="文本框 190"/>
                      <wp:cNvGraphicFramePr/>
                      <a:graphic xmlns:a="http://schemas.openxmlformats.org/drawingml/2006/main">
                        <a:graphicData uri="http://schemas.microsoft.com/office/word/2010/wordprocessingShape">
                          <wps:wsp>
                            <wps:cNvSpPr txBox="1"/>
                            <wps:spPr>
                              <a:xfrm>
                                <a:off x="0" y="0"/>
                                <a:ext cx="409575" cy="3797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719507">
                                  <w:pPr>
                                    <w:rPr>
                                      <w:rFonts w:hint="default" w:eastAsia="宋体"/>
                                      <w:color w:val="FF0000"/>
                                      <w:sz w:val="24"/>
                                      <w:szCs w:val="32"/>
                                      <w:lang w:val="en-US" w:eastAsia="zh-CN"/>
                                    </w:rPr>
                                  </w:pPr>
                                  <w:r>
                                    <w:rPr>
                                      <w:rFonts w:hint="eastAsia"/>
                                      <w:color w:val="FF0000"/>
                                      <w:sz w:val="24"/>
                                      <w:szCs w:val="32"/>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2.15pt;margin-top:161.85pt;height:29.9pt;width:32.25pt;z-index:251683840;mso-width-relative:page;mso-height-relative:page;" filled="f" stroked="f" coordsize="21600,21600" o:gfxdata="UEsDBAoAAAAAAIdO4kAAAAAAAAAAAAAAAAAEAAAAZHJzL1BLAwQUAAAACACHTuJA2hPmMNwAAAAL&#10;AQAADwAAAGRycy9kb3ducmV2LnhtbE2PzU7DMBCE70i8g7VI3KjdJIUojVOhSBUSgkNLL705sZtE&#10;2OsQuz/w9CynctvdGc1+U64uzrKTmcLgUcJ8JoAZbL0esJOw+1g/5MBCVKiV9WgkfJsAq+r2plSF&#10;9mfcmNM2doxCMBRKQh/jWHAe2t44FWZ+NEjawU9ORVqnjutJnSncWZ4I8cidGpA+9Go0dW/az+3R&#10;SXit1+9q0yQu/7H1y9vhefza7RdS3t/NxRJYNJd4NcMfPqFDRUyNP6IOzEpIsywlKw1J+gSMHJnI&#10;qUxDlzxdAK9K/r9D9QtQSwMEFAAAAAgAh07iQFBIJq49AgAAaQQAAA4AAABkcnMvZTJvRG9jLnht&#10;bK1UwW4TMRC9I/EPlu90kzYhJOqmCq2KkCpaqSDOjtfbXcn2GNvpbvkA+ANOXLjzXf0Onr1JWhUO&#10;PXDxjmfGb/zejPf4pDea3SofWrIlHx+MOFNWUtXam5J/+nj+6g1nIQpbCU1WlfxOBX6yfPniuHML&#10;dUgN6Up5BhAbFp0reROjWxRFkI0yIhyQUxbBmrwREVt/U1RedEA3ujgcjV4XHfnKeZIqBHjPhiDf&#10;IvrnAFJdt1KdkdwYZeOA6pUWEZRC07rAl/m2da1kvKzroCLTJQfTmFcUgb1Oa7E8FosbL1zTyu0V&#10;xHOu8ISTEa1F0T3UmYiCbXz7F5RppadAdTyQZIqBSFYELMajJ9pcN8KpzAVSB7cXPfw/WPnh9sqz&#10;tsIkzKGJFQYtv//x/f7n7/tf31hyQqLOhQUyrx1yY/+WeqTv/AHOxLyvvUlfcGKIA+xuL7DqI5Nw&#10;Tkbz6WzKmUToaDafHWX04uGw8yG+U2RYMkru0b8sq7i9CBEXQeouJdWydN5qnXuoLetK/vpoOsoH&#10;9hGc0BYHE4XhqsmK/brf8lpTdQdanobZCE6etyh+IUK8Eh7DACZ4LvESS60JRWhrcdaQ//ovf8pH&#10;jxDlrMNwlTx82QivONPvLbo3H08mgI15M5nODrHxjyPrxxG7MaeE+R3jYTqZzZQf9c6sPZnPeFWr&#10;VBUhYSVqlzzuzNM4jDxepVSrVU7C/DkRL+y1kwl6kHO1iVS3Wekk06DNVj1MYG7A9rWkEX+8z1kP&#10;f4jl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NoT5jDcAAAACwEAAA8AAAAAAAAAAQAgAAAAIgAA&#10;AGRycy9kb3ducmV2LnhtbFBLAQIUABQAAAAIAIdO4kBQSCauPQIAAGkEAAAOAAAAAAAAAAEAIAAA&#10;ACsBAABkcnMvZTJvRG9jLnhtbFBLBQYAAAAABgAGAFkBAADaBQAAAAA=&#10;">
                      <v:fill on="f" focussize="0,0"/>
                      <v:stroke on="f" weight="0.5pt"/>
                      <v:imagedata o:title=""/>
                      <o:lock v:ext="edit" aspectratio="f"/>
                      <v:textbox>
                        <w:txbxContent>
                          <w:p w14:paraId="19719507">
                            <w:pPr>
                              <w:rPr>
                                <w:rFonts w:hint="default" w:eastAsia="宋体"/>
                                <w:color w:val="FF0000"/>
                                <w:sz w:val="24"/>
                                <w:szCs w:val="32"/>
                                <w:lang w:val="en-US" w:eastAsia="zh-CN"/>
                              </w:rPr>
                            </w:pPr>
                            <w:r>
                              <w:rPr>
                                <w:rFonts w:hint="eastAsia"/>
                                <w:color w:val="FF0000"/>
                                <w:sz w:val="24"/>
                                <w:szCs w:val="32"/>
                                <w:lang w:val="en-US" w:eastAsia="zh-CN"/>
                              </w:rPr>
                              <w:t>2#</w:t>
                            </w:r>
                          </w:p>
                        </w:txbxContent>
                      </v:textbox>
                    </v:shape>
                  </w:pict>
                </mc:Fallback>
              </mc:AlternateContent>
            </w:r>
            <w:r>
              <w:rPr>
                <w:color w:val="auto"/>
                <w:sz w:val="32"/>
              </w:rPr>
              <mc:AlternateContent>
                <mc:Choice Requires="wps">
                  <w:drawing>
                    <wp:anchor distT="0" distB="0" distL="114300" distR="114300" simplePos="0" relativeHeight="251682816" behindDoc="0" locked="0" layoutInCell="1" allowOverlap="1">
                      <wp:simplePos x="0" y="0"/>
                      <wp:positionH relativeFrom="column">
                        <wp:posOffset>3520440</wp:posOffset>
                      </wp:positionH>
                      <wp:positionV relativeFrom="paragraph">
                        <wp:posOffset>563245</wp:posOffset>
                      </wp:positionV>
                      <wp:extent cx="409575" cy="379730"/>
                      <wp:effectExtent l="0" t="0" r="0" b="0"/>
                      <wp:wrapNone/>
                      <wp:docPr id="189" name="文本框 189"/>
                      <wp:cNvGraphicFramePr/>
                      <a:graphic xmlns:a="http://schemas.openxmlformats.org/drawingml/2006/main">
                        <a:graphicData uri="http://schemas.microsoft.com/office/word/2010/wordprocessingShape">
                          <wps:wsp>
                            <wps:cNvSpPr txBox="1"/>
                            <wps:spPr>
                              <a:xfrm>
                                <a:off x="0" y="0"/>
                                <a:ext cx="409575" cy="3797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E2FB88">
                                  <w:pPr>
                                    <w:rPr>
                                      <w:rFonts w:hint="default" w:eastAsia="宋体"/>
                                      <w:color w:val="FF0000"/>
                                      <w:sz w:val="24"/>
                                      <w:szCs w:val="32"/>
                                      <w:lang w:val="en-US" w:eastAsia="zh-CN"/>
                                    </w:rPr>
                                  </w:pPr>
                                  <w:r>
                                    <w:rPr>
                                      <w:rFonts w:hint="eastAsia"/>
                                      <w:color w:val="FF0000"/>
                                      <w:sz w:val="24"/>
                                      <w:szCs w:val="32"/>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7.2pt;margin-top:44.35pt;height:29.9pt;width:32.25pt;z-index:251682816;mso-width-relative:page;mso-height-relative:page;" filled="f" stroked="f" coordsize="21600,21600" o:gfxdata="UEsDBAoAAAAAAIdO4kAAAAAAAAAAAAAAAAAEAAAAZHJzL1BLAwQUAAAACACHTuJA/FfkXNsAAAAK&#10;AQAADwAAAGRycy9kb3ducmV2LnhtbE2Py07DMBBF90j8gzVI7KiTKiluGqdCkSokBIuWbtg5sZtE&#10;2OMQuw/4eoZVWY7u0b1nyvXFWXYyUxg8SkhnCTCDrdcDdhL275sHASxEhVpZj0bCtwmwrm5vSlVo&#10;f8atOe1ix6gEQ6Ek9DGOBeeh7Y1TYeZHg5Qd/ORUpHPquJ7Umcqd5fMkWXCnBqSFXo2m7k37uTs6&#10;CS/15k1tm7kTP7Z+fj08jV/7j1zK+7s0WQGL5hKvMPzpkzpU5NT4I+rArIQ8zzJCJQjxCIyARSqW&#10;wBoiM5EDr0r+/4XqF1BLAwQUAAAACACHTuJAZtqwYD4CAABpBAAADgAAAGRycy9lMm9Eb2MueG1s&#10;rVTNjtMwEL4j8Q6W7zT93W6rpquyVRFSxa5UEGfXcZpItsfYbpPyAPAGnLhw57n6HIydtFstHPbA&#10;xRnPjGfm+2Yms7taSXIQ1pWgU9rrdCkRmkNW6l1KP31cvbmlxHmmMyZBi5QehaN389evZpWZij4U&#10;IDNhCQbRblqZlBbem2mSOF4IxVwHjNBozMEq5vFqd0lmWYXRlUz63e5NUoHNjAUunEPtsjHSNqJ9&#10;SUDI85KLJfC9Eto3Ua2QzCMkV5TG0XmsNs8F9w957oQnMqWI1McTk6C8DWcyn7HpzjJTlLwtgb2k&#10;hGeYFCs1Jr2EWjLPyN6Wf4VSJbfgIPcdDippgERGEEWv+4ybTcGMiFiQamcupLv/F5Z/ODxaUmY4&#10;CbcTSjRT2PLTj++nn79Pv76RoESKKuOm6Lkx6Ovrt1Cj+1nvUBmQ17lV4YuYCNqR4OOFYFF7wlE5&#10;7E5G4xElHE2D8WQ8iA1Inh4b6/w7AYoEIaUW+xdpZYe181gIup5dQi4Nq1LK2EOpSZXSm8GoGx9c&#10;LPhCanwYIDSlBsnX27rFtYXsiLAsNLPhDF+VmHzNnH9kFocBkeC6+Ac8cgmYBFqJkgLs13/pgz/2&#10;CK2UVDhcKXVf9swKSuR7jd2b9IbDMI3xMhyN+3ix15bttUXv1T3g/PZwMQ2PYvD38izmFtRn3KpF&#10;yIompjnmTqk/i/e+GXncSi4Wi+iE82eYX+uN4SF0Q+di7yEvI9OBpoablj2cwNiAdlvCiF/fo9fT&#10;H2L+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xX5FzbAAAACgEAAA8AAAAAAAAAAQAgAAAAIgAA&#10;AGRycy9kb3ducmV2LnhtbFBLAQIUABQAAAAIAIdO4kBm2rBgPgIAAGkEAAAOAAAAAAAAAAEAIAAA&#10;ACoBAABkcnMvZTJvRG9jLnhtbFBLBQYAAAAABgAGAFkBAADaBQAAAAA=&#10;">
                      <v:fill on="f" focussize="0,0"/>
                      <v:stroke on="f" weight="0.5pt"/>
                      <v:imagedata o:title=""/>
                      <o:lock v:ext="edit" aspectratio="f"/>
                      <v:textbox>
                        <w:txbxContent>
                          <w:p w14:paraId="11E2FB88">
                            <w:pPr>
                              <w:rPr>
                                <w:rFonts w:hint="default" w:eastAsia="宋体"/>
                                <w:color w:val="FF0000"/>
                                <w:sz w:val="24"/>
                                <w:szCs w:val="32"/>
                                <w:lang w:val="en-US" w:eastAsia="zh-CN"/>
                              </w:rPr>
                            </w:pPr>
                            <w:r>
                              <w:rPr>
                                <w:rFonts w:hint="eastAsia"/>
                                <w:color w:val="FF0000"/>
                                <w:sz w:val="24"/>
                                <w:szCs w:val="32"/>
                                <w:lang w:val="en-US" w:eastAsia="zh-CN"/>
                              </w:rPr>
                              <w:t>1#</w:t>
                            </w:r>
                          </w:p>
                        </w:txbxContent>
                      </v:textbox>
                    </v:shape>
                  </w:pict>
                </mc:Fallback>
              </mc:AlternateContent>
            </w:r>
            <w:r>
              <w:rPr>
                <w:color w:val="auto"/>
                <w:sz w:val="24"/>
              </w:rPr>
              <mc:AlternateContent>
                <mc:Choice Requires="wps">
                  <w:drawing>
                    <wp:anchor distT="0" distB="0" distL="114300" distR="114300" simplePos="0" relativeHeight="251676672" behindDoc="0" locked="0" layoutInCell="1" allowOverlap="1">
                      <wp:simplePos x="0" y="0"/>
                      <wp:positionH relativeFrom="column">
                        <wp:posOffset>2221230</wp:posOffset>
                      </wp:positionH>
                      <wp:positionV relativeFrom="paragraph">
                        <wp:posOffset>1932305</wp:posOffset>
                      </wp:positionV>
                      <wp:extent cx="123825" cy="142875"/>
                      <wp:effectExtent l="0" t="0" r="9525" b="9525"/>
                      <wp:wrapNone/>
                      <wp:docPr id="38" name="椭圆 38"/>
                      <wp:cNvGraphicFramePr/>
                      <a:graphic xmlns:a="http://schemas.openxmlformats.org/drawingml/2006/main">
                        <a:graphicData uri="http://schemas.microsoft.com/office/word/2010/wordprocessingShape">
                          <wps:wsp>
                            <wps:cNvSpPr/>
                            <wps:spPr>
                              <a:xfrm>
                                <a:off x="0" y="0"/>
                                <a:ext cx="123825" cy="142875"/>
                              </a:xfrm>
                              <a:prstGeom prst="ellipse">
                                <a:avLst/>
                              </a:prstGeom>
                              <a:solidFill>
                                <a:srgbClr val="FF0000"/>
                              </a:solidFill>
                              <a:ln>
                                <a:noFill/>
                              </a:ln>
                            </wps:spPr>
                            <wps:bodyPr upright="1"/>
                          </wps:wsp>
                        </a:graphicData>
                      </a:graphic>
                    </wp:anchor>
                  </w:drawing>
                </mc:Choice>
                <mc:Fallback>
                  <w:pict>
                    <v:shape id="_x0000_s1026" o:spid="_x0000_s1026" o:spt="3" type="#_x0000_t3" style="position:absolute;left:0pt;margin-left:174.9pt;margin-top:152.15pt;height:11.25pt;width:9.75pt;z-index:251676672;mso-width-relative:page;mso-height-relative:page;" fillcolor="#FF0000" filled="t" stroked="f" coordsize="21600,21600" o:gfxdata="UEsDBAoAAAAAAIdO4kAAAAAAAAAAAAAAAAAEAAAAZHJzL1BLAwQUAAAACACHTuJA+S887dkAAAAL&#10;AQAADwAAAGRycy9kb3ducmV2LnhtbE2PwU7DMAyG70i8Q2QkLogla0dZS9MJgdCOwLYDx6w1bUXj&#10;lCRbB0+POcHts/zr9+dydbKDOKIPvSMN85kCgVS7pqdWw277dL0EEaKhxgyOUMMXBlhV52elKRo3&#10;0SseN7EVXEKhMBq6GMdCylB3aE2YuRGJd+/OWxN59K1svJm43A4yUSqT1vTEFzoz4kOH9cfmYDW8&#10;vIUbqvPHb0zW9+vp80pKf/us9eXFXN2BiHiKf2H41Wd1qNhp7w7UBDFoSBc5q0cGtUhBcCLNcoY9&#10;Q5ItQVal/P9D9QNQSwMEFAAAAAgAh07iQBdYQra0AQAAYwMAAA4AAABkcnMvZTJvRG9jLnhtbK1T&#10;S27bMBDdF+gdCO5rfZK0hmA5ixjOpmgDpDkATVESAf4wQ1v2BXqKLrvtsdpzdCgpTppusogW1Pz4&#10;Zt4baXV9tIYdFKD2rubFIudMOekb7bqaP3zbflhyhlG4RhjvVM1PCvn1+v271RAqVfrem0YBIxCH&#10;1RBq3scYqixD2SsrcOGDcpRsPVgRyYUua0AMhG5NVub5x2zw0ATwUiFSdDMl+YwIrwH0baul2ni5&#10;t8rFCRWUEZEoYa8D8vU4bdsqGb+2LarITM2JaRxPakL2Lp3ZeiWqDkTotZxHEK8Z4QUnK7Sjpmeo&#10;jYiC7UH/B2W1BI++jQvpbTYRGRUhFkX+Qpv7XgQ1ciGpMZxFx7eDlV8Od8B0U/ML2rsTljb+5+ev&#10;3z++MwqQOkPAioruwx3MHpKZqB5bsOlNJNhxVPR0VlQdI5MULMqLZXnFmaRUcVkuP10lzOzpcgCM&#10;t8pbloyaK2NofYmzqMThM8ap+rEqhdEb3Wy1MaMD3e7GADsI2u92m9MzN/inzLhU7Hy6NiGmSJa4&#10;TWyStfPNibTYB9BdT7MUI1LKkPbj0PN3kpb73B+Rnv6N9V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D5Lzzt2QAAAAsBAAAPAAAAAAAAAAEAIAAAACIAAABkcnMvZG93bnJldi54bWxQSwECFAAUAAAA&#10;CACHTuJAF1hCtrQBAABjAwAADgAAAAAAAAABACAAAAAoAQAAZHJzL2Uyb0RvYy54bWxQSwUGAAAA&#10;AAYABgBZAQAATgUAAAAA&#10;">
                      <v:fill on="t" focussize="0,0"/>
                      <v:stroke on="f"/>
                      <v:imagedata o:title=""/>
                      <o:lock v:ext="edit" aspectratio="f"/>
                    </v:shape>
                  </w:pict>
                </mc:Fallback>
              </mc:AlternateContent>
            </w:r>
            <w:r>
              <w:rPr>
                <w:color w:val="auto"/>
                <w:sz w:val="24"/>
              </w:rPr>
              <mc:AlternateContent>
                <mc:Choice Requires="wps">
                  <w:drawing>
                    <wp:anchor distT="0" distB="0" distL="114300" distR="114300" simplePos="0" relativeHeight="251681792" behindDoc="0" locked="0" layoutInCell="1" allowOverlap="1">
                      <wp:simplePos x="0" y="0"/>
                      <wp:positionH relativeFrom="column">
                        <wp:posOffset>3382010</wp:posOffset>
                      </wp:positionH>
                      <wp:positionV relativeFrom="paragraph">
                        <wp:posOffset>655955</wp:posOffset>
                      </wp:positionV>
                      <wp:extent cx="123825" cy="142875"/>
                      <wp:effectExtent l="0" t="0" r="9525" b="9525"/>
                      <wp:wrapNone/>
                      <wp:docPr id="188" name="椭圆 188"/>
                      <wp:cNvGraphicFramePr/>
                      <a:graphic xmlns:a="http://schemas.openxmlformats.org/drawingml/2006/main">
                        <a:graphicData uri="http://schemas.microsoft.com/office/word/2010/wordprocessingShape">
                          <wps:wsp>
                            <wps:cNvSpPr/>
                            <wps:spPr>
                              <a:xfrm>
                                <a:off x="0" y="0"/>
                                <a:ext cx="123825" cy="142875"/>
                              </a:xfrm>
                              <a:prstGeom prst="ellipse">
                                <a:avLst/>
                              </a:prstGeom>
                              <a:solidFill>
                                <a:srgbClr val="FF0000"/>
                              </a:solidFill>
                              <a:ln>
                                <a:noFill/>
                              </a:ln>
                            </wps:spPr>
                            <wps:bodyPr upright="1"/>
                          </wps:wsp>
                        </a:graphicData>
                      </a:graphic>
                    </wp:anchor>
                  </w:drawing>
                </mc:Choice>
                <mc:Fallback>
                  <w:pict>
                    <v:shape id="_x0000_s1026" o:spid="_x0000_s1026" o:spt="3" type="#_x0000_t3" style="position:absolute;left:0pt;margin-left:266.3pt;margin-top:51.65pt;height:11.25pt;width:9.75pt;z-index:251681792;mso-width-relative:page;mso-height-relative:page;" fillcolor="#FF0000" filled="t" stroked="f" coordsize="21600,21600" o:gfxdata="UEsDBAoAAAAAAIdO4kAAAAAAAAAAAAAAAAAEAAAAZHJzL1BLAwQUAAAACACHTuJAktrHZdkAAAAL&#10;AQAADwAAAGRycy9kb3ducmV2LnhtbE2PwU7DMAyG70i8Q2QkLoglTdUxStMJgdCOwODAMWtMW9E4&#10;pcnWwdNjTnC0/0+/P1frox/EAafYBzKQLRQIpCa4nloDry8PlysQMVlydgiEBr4wwro+Pals6cJM&#10;z3jYplZwCcXSGuhSGkspY9Oht3ERRiTO3sPkbeJxaqWb7MzlfpBaqaX0tie+0NkR7zpsPrZ7b+Dp&#10;LRbUXN9/o97cbubPCymnq0djzs8ydQMi4TH9wfCrz+pQs9Mu7MlFMRgocr1klAOV5yCYKAqdgdjx&#10;RhcrkHUl//9Q/wBQSwMEFAAAAAgAh07iQHpZh860AQAAZQMAAA4AAABkcnMvZTJvRG9jLnhtbK1T&#10;S47UMBDdI3EHy3s6HxhoRZ2eBa1mg2CkgQO4HSex5J+q3J3uC3AKlmw5FpyDshN6YNjMgiyc+vm5&#10;3it7c3u2hp0UoPau5dWq5Ew56TvthpZ//rR/seYMo3CdMN6pll8U8tvt82ebKTSq9qM3nQJGIA6b&#10;KbR8jDE0RYFyVFbgygflKNl7sCKSC0PRgZgI3ZqiLsvXxeShC+ClQqTobk7yBRGeAuj7Xku18/Jo&#10;lYszKigjIlHCUQfk29xt3ysZP/Y9qshMy4lpzCsdQvYhrcV2I5oBRBi1XFoQT2nhEScrtKNDr1A7&#10;EQU7gv4HymoJHn0fV9LbYiaSFSEWVflIm/tRBJW5kNQYrqLj/4OVH053wHRHN2FNg3fC0sh/fvv+&#10;4+sXliKkzxSwobL7cAeLh2QmsucebPoTDXbOml6umqpzZJKCVf1yXd9wJilVvarXb24SZvGwOQDG&#10;d8pbloyWK2NogIm1aMTpPca5+ndVCqM3uttrY7IDw+GtAXYSNOH9vqRvOeCvMuNSsfNp24yYIkXi&#10;NrNJ1sF3F1LjGEAPI/VSZaSUIfVz08tNSeP9089ID69j+w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S2sdl2QAAAAsBAAAPAAAAAAAAAAEAIAAAACIAAABkcnMvZG93bnJldi54bWxQSwECFAAUAAAA&#10;CACHTuJAelmHzrQBAABlAwAADgAAAAAAAAABACAAAAAoAQAAZHJzL2Uyb0RvYy54bWxQSwUGAAAA&#10;AAYABgBZAQAATgUAAAAA&#10;">
                      <v:fill on="t" focussize="0,0"/>
                      <v:stroke on="f"/>
                      <v:imagedata o:title=""/>
                      <o:lock v:ext="edit" aspectratio="f"/>
                    </v:shape>
                  </w:pict>
                </mc:Fallback>
              </mc:AlternateContent>
            </w:r>
            <w:r>
              <w:rPr>
                <w:color w:val="auto"/>
                <w:sz w:val="24"/>
              </w:rPr>
              <mc:AlternateContent>
                <mc:Choice Requires="wps">
                  <w:drawing>
                    <wp:anchor distT="0" distB="0" distL="114300" distR="114300" simplePos="0" relativeHeight="251675648" behindDoc="0" locked="0" layoutInCell="1" allowOverlap="1">
                      <wp:simplePos x="0" y="0"/>
                      <wp:positionH relativeFrom="column">
                        <wp:posOffset>4178300</wp:posOffset>
                      </wp:positionH>
                      <wp:positionV relativeFrom="paragraph">
                        <wp:posOffset>3424555</wp:posOffset>
                      </wp:positionV>
                      <wp:extent cx="123825" cy="142875"/>
                      <wp:effectExtent l="0" t="0" r="9525" b="9525"/>
                      <wp:wrapNone/>
                      <wp:docPr id="36" name="椭圆 36"/>
                      <wp:cNvGraphicFramePr/>
                      <a:graphic xmlns:a="http://schemas.openxmlformats.org/drawingml/2006/main">
                        <a:graphicData uri="http://schemas.microsoft.com/office/word/2010/wordprocessingShape">
                          <wps:wsp>
                            <wps:cNvSpPr/>
                            <wps:spPr>
                              <a:xfrm>
                                <a:off x="0" y="0"/>
                                <a:ext cx="123825" cy="142875"/>
                              </a:xfrm>
                              <a:prstGeom prst="ellipse">
                                <a:avLst/>
                              </a:prstGeom>
                              <a:solidFill>
                                <a:srgbClr val="FF0000"/>
                              </a:solidFill>
                              <a:ln>
                                <a:noFill/>
                              </a:ln>
                            </wps:spPr>
                            <wps:bodyPr upright="1"/>
                          </wps:wsp>
                        </a:graphicData>
                      </a:graphic>
                    </wp:anchor>
                  </w:drawing>
                </mc:Choice>
                <mc:Fallback>
                  <w:pict>
                    <v:shape id="_x0000_s1026" o:spid="_x0000_s1026" o:spt="3" type="#_x0000_t3" style="position:absolute;left:0pt;margin-left:329pt;margin-top:269.65pt;height:11.25pt;width:9.75pt;z-index:251675648;mso-width-relative:page;mso-height-relative:page;" fillcolor="#FF0000" filled="t" stroked="f" coordsize="21600,21600" o:gfxdata="UEsDBAoAAAAAAIdO4kAAAAAAAAAAAAAAAAAEAAAAZHJzL1BLAwQUAAAACACHTuJAUk0fe9oAAAAL&#10;AQAADwAAAGRycy9kb3ducmV2LnhtbE2PzU7DMBCE70i8g7VIXBB10io/DXEqBEI9AoUDRzdekoh4&#10;HWy3KTw9ywmOszOa/abenOwojujD4EhBukhAILXODNQpeH15uC5BhKjJ6NERKvjCAJvm/KzWlXEz&#10;PeNxFzvBJRQqraCPcaqkDG2PVoeFm5DYe3fe6sjSd9J4PXO5HeUySXJp9UD8odcT3vXYfuwOVsHT&#10;W8ioXd9/43J7u50/r6T0xaNSlxdpcgMi4in+heEXn9GhYaa9O5AJYlSQZyVviQqy1XoFghN5UWQg&#10;9nzJ0xJkU8v/G5ofUEsDBBQAAAAIAIdO4kAhJVjItQEAAGMDAAAOAAAAZHJzL2Uyb0RvYy54bWyt&#10;U0tu2zAQ3RfoHQjua33SpIZgOYsa7qZoAyQ9AE1REgH+MENb9gV6iiyz7bHac2QoqU6bbLKIFtT8&#10;+GbeG2l1fbSGHRSg9q7mxSLnTDnpG+26mv+4235YcoZRuEYY71TNTwr59fr9u9UQKlX63ptGASMQ&#10;h9UQat7HGKosQ9krK3Dhg3KUbD1YEcmFLmtADIRuTVbm+VU2eGgCeKkQKbqZknxGhNcA+rbVUm28&#10;3Fvl4oQKyohIlLDXAfl6nLZtlYzf2xZVZKbmxDSOJzUhe5fObL0SVQci9FrOI4jXjPCMkxXaUdMz&#10;1EZEwfagX0BZLcGjb+NCeptNREZFiEWRP9PmthdBjVxIagxn0fHtYOW3ww0w3dT84oozJyxt/M/D&#10;r9/3PxkFSJ0hYEVFt+EGZg/JTFSPLdj0JhLsOCp6OiuqjpFJChblxbK85ExSqvhYLj9dJszs6XIA&#10;jF+UtywZNVfG0PoSZ1GJw1eMU/XfqhRGb3Sz1caMDnS7zwbYQdB+t9ucnrnBf2XGpWLn07UJMUWy&#10;xG1ik6ydb06kxT6A7nqapRiRUoa0H4eev5O03H/9Eenp31g/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FJNH3vaAAAACwEAAA8AAAAAAAAAAQAgAAAAIgAAAGRycy9kb3ducmV2LnhtbFBLAQIUABQA&#10;AAAIAIdO4kAhJVjItQEAAGMDAAAOAAAAAAAAAAEAIAAAACkBAABkcnMvZTJvRG9jLnhtbFBLBQYA&#10;AAAABgAGAFkBAABQBQAAAAA=&#10;">
                      <v:fill on="t" focussize="0,0"/>
                      <v:stroke on="f"/>
                      <v:imagedata o:title=""/>
                      <o:lock v:ext="edit" aspectratio="f"/>
                    </v:shape>
                  </w:pict>
                </mc:Fallback>
              </mc:AlternateContent>
            </w:r>
            <w:r>
              <w:rPr>
                <w:color w:val="auto"/>
                <w:sz w:val="24"/>
              </w:rPr>
              <mc:AlternateContent>
                <mc:Choice Requires="wps">
                  <w:drawing>
                    <wp:anchor distT="0" distB="0" distL="114300" distR="114300" simplePos="0" relativeHeight="251674624" behindDoc="0" locked="0" layoutInCell="1" allowOverlap="1">
                      <wp:simplePos x="0" y="0"/>
                      <wp:positionH relativeFrom="column">
                        <wp:posOffset>3932555</wp:posOffset>
                      </wp:positionH>
                      <wp:positionV relativeFrom="paragraph">
                        <wp:posOffset>3049270</wp:posOffset>
                      </wp:positionV>
                      <wp:extent cx="1151890" cy="591185"/>
                      <wp:effectExtent l="5080" t="5080" r="5080" b="13335"/>
                      <wp:wrapNone/>
                      <wp:docPr id="35" name="文本框 35"/>
                      <wp:cNvGraphicFramePr/>
                      <a:graphic xmlns:a="http://schemas.openxmlformats.org/drawingml/2006/main">
                        <a:graphicData uri="http://schemas.microsoft.com/office/word/2010/wordprocessingShape">
                          <wps:wsp>
                            <wps:cNvSpPr txBox="1"/>
                            <wps:spPr>
                              <a:xfrm>
                                <a:off x="0" y="0"/>
                                <a:ext cx="1151890" cy="59118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44B5DEA">
                                  <w:pPr>
                                    <w:jc w:val="center"/>
                                    <w:rPr>
                                      <w:rFonts w:hint="eastAsia"/>
                                      <w:b/>
                                      <w:bCs/>
                                      <w:sz w:val="22"/>
                                      <w:szCs w:val="28"/>
                                      <w:lang w:eastAsia="zh-CN"/>
                                    </w:rPr>
                                  </w:pPr>
                                  <w:r>
                                    <w:rPr>
                                      <w:rFonts w:hint="eastAsia"/>
                                      <w:b/>
                                      <w:bCs/>
                                      <w:sz w:val="22"/>
                                      <w:szCs w:val="28"/>
                                      <w:lang w:eastAsia="zh-CN"/>
                                    </w:rPr>
                                    <w:t>图</w:t>
                                  </w:r>
                                  <w:r>
                                    <w:rPr>
                                      <w:rFonts w:hint="eastAsia"/>
                                      <w:b/>
                                      <w:bCs/>
                                      <w:sz w:val="22"/>
                                      <w:szCs w:val="28"/>
                                      <w:lang w:val="en-US" w:eastAsia="zh-CN"/>
                                    </w:rPr>
                                    <w:t xml:space="preserve">  </w:t>
                                  </w:r>
                                  <w:r>
                                    <w:rPr>
                                      <w:rFonts w:hint="eastAsia"/>
                                      <w:b/>
                                      <w:bCs/>
                                      <w:sz w:val="22"/>
                                      <w:szCs w:val="28"/>
                                      <w:lang w:eastAsia="zh-CN"/>
                                    </w:rPr>
                                    <w:t>例</w:t>
                                  </w:r>
                                </w:p>
                                <w:p w14:paraId="1E594F88">
                                  <w:pPr>
                                    <w:pStyle w:val="14"/>
                                    <w:jc w:val="center"/>
                                    <w:rPr>
                                      <w:rFonts w:hint="eastAsia"/>
                                      <w:lang w:eastAsia="zh-CN"/>
                                    </w:rPr>
                                  </w:pPr>
                                  <w:r>
                                    <w:rPr>
                                      <w:rFonts w:hint="eastAsia"/>
                                      <w:b/>
                                      <w:bCs/>
                                      <w:sz w:val="22"/>
                                      <w:szCs w:val="28"/>
                                      <w:lang w:eastAsia="zh-CN"/>
                                    </w:rPr>
                                    <w:t>监测点位</w:t>
                                  </w:r>
                                </w:p>
                              </w:txbxContent>
                            </wps:txbx>
                            <wps:bodyPr upright="1"/>
                          </wps:wsp>
                        </a:graphicData>
                      </a:graphic>
                    </wp:anchor>
                  </w:drawing>
                </mc:Choice>
                <mc:Fallback>
                  <w:pict>
                    <v:shape id="_x0000_s1026" o:spid="_x0000_s1026" o:spt="202" type="#_x0000_t202" style="position:absolute;left:0pt;margin-left:309.65pt;margin-top:240.1pt;height:46.55pt;width:90.7pt;z-index:251674624;mso-width-relative:page;mso-height-relative:page;" fillcolor="#FFFFFF" filled="t" stroked="t" coordsize="21600,21600" o:gfxdata="UEsDBAoAAAAAAIdO4kAAAAAAAAAAAAAAAAAEAAAAZHJzL1BLAwQUAAAACACHTuJA52PD89oAAAAL&#10;AQAADwAAAGRycy9kb3ducmV2LnhtbE2Py07DMBBF90j8gzVIbBC105QkDZl0gQSCHRQEWzeeJhF+&#10;BNtNy99jVrAc3aN7zzSbk9FsJh9GZxGyhQBGtnNqtD3C2+v9dQUsRGmV1M4SwjcF2LTnZ42slTva&#10;F5q3sWepxIZaIgwxTjXnoRvIyLBwE9mU7Z03MqbT91x5eUzlRvOlEAU3crRpYZAT3Q3UfW4PBqFa&#10;Pc4f4Sl/fu+KvV7Hq3J++PKIlxeZuAUW6RT/YPjVT+rQJqedO1gVmEYosnWeUIRVJZbAElEJUQLb&#10;IdyUeQ68bfj/H9ofUEsDBBQAAAAIAIdO4kBnCkUMDAIAADgEAAAOAAAAZHJzL2Uyb0RvYy54bWyt&#10;U02u0zAQ3iNxB8t7mqSoqI2aPglK2SBAeo8DuLaTWPKfPG6TXgBuwIoNe87VczB2+/p+YNEFWThj&#10;z8zn+b4ZL29Go8leBlDONrSalJRIy51Qtmvo17vNqzklEJkVTDsrG3qQQG9WL18sB1/LqeudFjIQ&#10;BLFQD76hfYy+LgrgvTQMJs5Li87WBcMibkNXiMAGRDe6mJblm2JwQfjguATA0/XJSc+I4RpA17aK&#10;y7XjOyNtPKEGqVlEStArD3SVq21byePntgUZiW4oMo15xUvQ3qa1WC1Z3QXme8XPJbBrSnjGyTBl&#10;8dIL1JpFRnZB/QVlFA8OXBsn3JniRCQrgiyq8pk2tz3zMnNBqcFfRIf/B8s/7b8EokRDX88oscxg&#10;x48/vh9//j7++kbwDAUaPNQYd+sxMo5v3Yhjc38OeJh4j20w6Y+MCPpR3sNFXjlGwlNSNavmC3Rx&#10;9M0WVTXP8MVDtg8QP0hnSDIaGrB9WVW2/wgRK8HQ+5B0GTitxEZpnTeh277TgewZtnqTv1QkpjwJ&#10;05YMDV3MpkiXM5zfFucGTeNRA7Bdvu9JBjwGLvP3L+BU2JpBfyogI6QwVhsVZchWL5l4bwWJB48y&#10;W3xeNBVjpKBES3yNycqRkSl9TSSy0xZJphadWpGsOG5HhEnm1okDtm3ng+p6lDQ3LofjQGV1zsOf&#10;JvbxPoM+PPjV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djw/PaAAAACwEAAA8AAAAAAAAAAQAg&#10;AAAAIgAAAGRycy9kb3ducmV2LnhtbFBLAQIUABQAAAAIAIdO4kBnCkUMDAIAADgEAAAOAAAAAAAA&#10;AAEAIAAAACkBAABkcnMvZTJvRG9jLnhtbFBLBQYAAAAABgAGAFkBAACnBQAAAAA=&#10;">
                      <v:fill on="t" focussize="0,0"/>
                      <v:stroke color="#000000" joinstyle="miter"/>
                      <v:imagedata o:title=""/>
                      <o:lock v:ext="edit" aspectratio="f"/>
                      <v:textbox>
                        <w:txbxContent>
                          <w:p w14:paraId="744B5DEA">
                            <w:pPr>
                              <w:jc w:val="center"/>
                              <w:rPr>
                                <w:rFonts w:hint="eastAsia"/>
                                <w:b/>
                                <w:bCs/>
                                <w:sz w:val="22"/>
                                <w:szCs w:val="28"/>
                                <w:lang w:eastAsia="zh-CN"/>
                              </w:rPr>
                            </w:pPr>
                            <w:r>
                              <w:rPr>
                                <w:rFonts w:hint="eastAsia"/>
                                <w:b/>
                                <w:bCs/>
                                <w:sz w:val="22"/>
                                <w:szCs w:val="28"/>
                                <w:lang w:eastAsia="zh-CN"/>
                              </w:rPr>
                              <w:t>图</w:t>
                            </w:r>
                            <w:r>
                              <w:rPr>
                                <w:rFonts w:hint="eastAsia"/>
                                <w:b/>
                                <w:bCs/>
                                <w:sz w:val="22"/>
                                <w:szCs w:val="28"/>
                                <w:lang w:val="en-US" w:eastAsia="zh-CN"/>
                              </w:rPr>
                              <w:t xml:space="preserve">  </w:t>
                            </w:r>
                            <w:r>
                              <w:rPr>
                                <w:rFonts w:hint="eastAsia"/>
                                <w:b/>
                                <w:bCs/>
                                <w:sz w:val="22"/>
                                <w:szCs w:val="28"/>
                                <w:lang w:eastAsia="zh-CN"/>
                              </w:rPr>
                              <w:t>例</w:t>
                            </w:r>
                          </w:p>
                          <w:p w14:paraId="1E594F88">
                            <w:pPr>
                              <w:pStyle w:val="14"/>
                              <w:jc w:val="center"/>
                              <w:rPr>
                                <w:rFonts w:hint="eastAsia"/>
                                <w:lang w:eastAsia="zh-CN"/>
                              </w:rPr>
                            </w:pPr>
                            <w:r>
                              <w:rPr>
                                <w:rFonts w:hint="eastAsia"/>
                                <w:b/>
                                <w:bCs/>
                                <w:sz w:val="22"/>
                                <w:szCs w:val="28"/>
                                <w:lang w:eastAsia="zh-CN"/>
                              </w:rPr>
                              <w:t>监测点位</w:t>
                            </w:r>
                          </w:p>
                        </w:txbxContent>
                      </v:textbox>
                    </v:shape>
                  </w:pict>
                </mc:Fallback>
              </mc:AlternateContent>
            </w:r>
            <w:r>
              <w:rPr>
                <w:rFonts w:hint="eastAsia" w:eastAsia="宋体"/>
                <w:color w:val="auto"/>
                <w:lang w:eastAsia="zh-CN"/>
              </w:rPr>
              <w:drawing>
                <wp:anchor distT="0" distB="0" distL="114300" distR="114300" simplePos="0" relativeHeight="251680768" behindDoc="0" locked="0" layoutInCell="1" allowOverlap="1">
                  <wp:simplePos x="0" y="0"/>
                  <wp:positionH relativeFrom="column">
                    <wp:posOffset>17145</wp:posOffset>
                  </wp:positionH>
                  <wp:positionV relativeFrom="paragraph">
                    <wp:posOffset>62865</wp:posOffset>
                  </wp:positionV>
                  <wp:extent cx="849630" cy="806450"/>
                  <wp:effectExtent l="0" t="0" r="7620" b="12700"/>
                  <wp:wrapNone/>
                  <wp:docPr id="187" name="图片 187"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图片1"/>
                          <pic:cNvPicPr>
                            <a:picLocks noChangeAspect="1"/>
                          </pic:cNvPicPr>
                        </pic:nvPicPr>
                        <pic:blipFill>
                          <a:blip r:embed="rId13"/>
                          <a:stretch>
                            <a:fillRect/>
                          </a:stretch>
                        </pic:blipFill>
                        <pic:spPr>
                          <a:xfrm>
                            <a:off x="0" y="0"/>
                            <a:ext cx="849630" cy="806450"/>
                          </a:xfrm>
                          <a:prstGeom prst="rect">
                            <a:avLst/>
                          </a:prstGeom>
                        </pic:spPr>
                      </pic:pic>
                    </a:graphicData>
                  </a:graphic>
                </wp:anchor>
              </w:drawing>
            </w:r>
            <w:r>
              <w:rPr>
                <w:color w:val="auto"/>
              </w:rPr>
              <w:drawing>
                <wp:inline distT="0" distB="0" distL="114300" distR="114300">
                  <wp:extent cx="5102860" cy="3631565"/>
                  <wp:effectExtent l="0" t="0" r="2540" b="6985"/>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14"/>
                          <a:stretch>
                            <a:fillRect/>
                          </a:stretch>
                        </pic:blipFill>
                        <pic:spPr>
                          <a:xfrm>
                            <a:off x="0" y="0"/>
                            <a:ext cx="5102860" cy="3631565"/>
                          </a:xfrm>
                          <a:prstGeom prst="rect">
                            <a:avLst/>
                          </a:prstGeom>
                          <a:noFill/>
                          <a:ln>
                            <a:noFill/>
                          </a:ln>
                        </pic:spPr>
                      </pic:pic>
                    </a:graphicData>
                  </a:graphic>
                </wp:inline>
              </w:drawing>
            </w:r>
          </w:p>
          <w:p w14:paraId="4FC67625">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422" w:firstLineChars="200"/>
              <w:jc w:val="center"/>
              <w:textAlignment w:val="auto"/>
              <w:rPr>
                <w:color w:val="auto"/>
              </w:rPr>
            </w:pPr>
            <w:r>
              <w:rPr>
                <w:rFonts w:hint="eastAsia" w:ascii="Times New Roman" w:hAnsi="Times New Roman" w:eastAsia="宋体" w:cs="Times New Roman"/>
                <w:b/>
                <w:bCs/>
                <w:color w:val="auto"/>
                <w:kern w:val="0"/>
                <w:sz w:val="21"/>
                <w:szCs w:val="24"/>
                <w:highlight w:val="none"/>
                <w:lang w:val="en-US" w:eastAsia="zh-CN" w:bidi="ar-SA"/>
              </w:rPr>
              <w:t>图3-</w:t>
            </w:r>
            <w:r>
              <w:rPr>
                <w:rFonts w:hint="eastAsia" w:cs="Times New Roman"/>
                <w:b/>
                <w:bCs/>
                <w:color w:val="auto"/>
                <w:kern w:val="0"/>
                <w:sz w:val="21"/>
                <w:szCs w:val="24"/>
                <w:highlight w:val="none"/>
                <w:lang w:val="en-US" w:eastAsia="zh-CN" w:bidi="ar-SA"/>
              </w:rPr>
              <w:t>2</w:t>
            </w:r>
            <w:r>
              <w:rPr>
                <w:rFonts w:hint="eastAsia" w:ascii="Times New Roman" w:hAnsi="Times New Roman" w:eastAsia="宋体" w:cs="Times New Roman"/>
                <w:b/>
                <w:bCs/>
                <w:color w:val="auto"/>
                <w:kern w:val="0"/>
                <w:sz w:val="21"/>
                <w:szCs w:val="24"/>
                <w:highlight w:val="none"/>
                <w:lang w:val="en-US" w:eastAsia="zh-CN" w:bidi="ar-SA"/>
              </w:rPr>
              <w:t xml:space="preserve">  噪声监测示意图</w:t>
            </w:r>
          </w:p>
          <w:p w14:paraId="62BA59F3">
            <w:pPr>
              <w:keepNext w:val="0"/>
              <w:keepLines w:val="0"/>
              <w:pageBreakBefore w:val="0"/>
              <w:widowControl w:val="0"/>
              <w:kinsoku/>
              <w:wordWrap/>
              <w:overflowPunct/>
              <w:topLinePunct w:val="0"/>
              <w:autoSpaceDE/>
              <w:autoSpaceDN/>
              <w:bidi w:val="0"/>
              <w:adjustRightInd w:val="0"/>
              <w:snapToGrid/>
              <w:spacing w:beforeAutospacing="0" w:afterAutospacing="0" w:line="360" w:lineRule="auto"/>
              <w:ind w:right="0" w:rightChars="0" w:firstLine="480" w:firstLineChars="200"/>
              <w:textAlignment w:val="auto"/>
              <w:rPr>
                <w:rFonts w:hint="default" w:ascii="Times New Roman" w:hAnsi="Times New Roman" w:eastAsia="宋体" w:cs="Times New Roman"/>
                <w:b/>
                <w:bCs/>
                <w:color w:val="auto"/>
                <w:kern w:val="0"/>
                <w:sz w:val="21"/>
                <w:szCs w:val="24"/>
                <w:highlight w:val="none"/>
                <w:lang w:val="en-US" w:eastAsia="zh-CN" w:bidi="ar-SA"/>
              </w:rPr>
            </w:pPr>
            <w:r>
              <w:rPr>
                <w:rFonts w:hint="eastAsia" w:ascii="Times New Roman" w:hAnsi="Times New Roman" w:eastAsia="宋体" w:cs="Times New Roman"/>
                <w:snapToGrid w:val="0"/>
                <w:color w:val="auto"/>
                <w:sz w:val="24"/>
                <w:szCs w:val="24"/>
                <w:highlight w:val="none"/>
                <w:lang w:val="en-US" w:eastAsia="zh-CN"/>
              </w:rPr>
              <w:t>噪声检测结果见表3-</w:t>
            </w:r>
            <w:r>
              <w:rPr>
                <w:rFonts w:hint="eastAsia" w:cs="Times New Roman"/>
                <w:snapToGrid w:val="0"/>
                <w:color w:val="auto"/>
                <w:sz w:val="24"/>
                <w:szCs w:val="24"/>
                <w:highlight w:val="none"/>
                <w:lang w:val="en-US" w:eastAsia="zh-CN"/>
              </w:rPr>
              <w:t>5</w:t>
            </w:r>
            <w:r>
              <w:rPr>
                <w:rFonts w:hint="eastAsia" w:ascii="Times New Roman" w:hAnsi="Times New Roman" w:eastAsia="宋体" w:cs="Times New Roman"/>
                <w:snapToGrid w:val="0"/>
                <w:color w:val="auto"/>
                <w:sz w:val="24"/>
                <w:szCs w:val="24"/>
                <w:highlight w:val="none"/>
                <w:lang w:val="en-US" w:eastAsia="zh-CN"/>
              </w:rPr>
              <w:t>。</w:t>
            </w:r>
          </w:p>
          <w:p w14:paraId="6B30328A">
            <w:pPr>
              <w:keepLines w:val="0"/>
              <w:pageBreakBefore w:val="0"/>
              <w:topLinePunct w:val="0"/>
              <w:bidi w:val="0"/>
              <w:adjustRightInd w:val="0"/>
              <w:snapToGrid w:val="0"/>
              <w:spacing w:beforeAutospacing="0" w:afterAutospacing="0" w:line="240" w:lineRule="auto"/>
              <w:ind w:left="0" w:leftChars="0" w:right="0" w:rightChars="0" w:firstLine="422" w:firstLineChars="200"/>
              <w:jc w:val="center"/>
              <w:rPr>
                <w:color w:val="auto"/>
              </w:rPr>
            </w:pPr>
            <w:r>
              <w:rPr>
                <w:rFonts w:hint="default" w:ascii="Times New Roman" w:hAnsi="Times New Roman" w:eastAsia="宋体" w:cs="Times New Roman"/>
                <w:b/>
                <w:bCs/>
                <w:color w:val="auto"/>
                <w:kern w:val="0"/>
                <w:sz w:val="21"/>
                <w:szCs w:val="24"/>
                <w:highlight w:val="none"/>
                <w:lang w:val="en-US" w:eastAsia="zh-CN" w:bidi="ar-SA"/>
              </w:rPr>
              <w:t>表3-</w:t>
            </w:r>
            <w:r>
              <w:rPr>
                <w:rFonts w:hint="eastAsia" w:cs="Times New Roman"/>
                <w:b/>
                <w:bCs/>
                <w:color w:val="auto"/>
                <w:kern w:val="0"/>
                <w:sz w:val="21"/>
                <w:szCs w:val="24"/>
                <w:highlight w:val="none"/>
                <w:lang w:val="en-US" w:eastAsia="zh-CN" w:bidi="ar-SA"/>
              </w:rPr>
              <w:t xml:space="preserve">5 </w:t>
            </w:r>
            <w:r>
              <w:rPr>
                <w:rFonts w:hint="default" w:ascii="Times New Roman" w:hAnsi="Times New Roman" w:eastAsia="宋体" w:cs="Times New Roman"/>
                <w:b/>
                <w:bCs/>
                <w:color w:val="auto"/>
                <w:kern w:val="0"/>
                <w:sz w:val="21"/>
                <w:szCs w:val="24"/>
                <w:highlight w:val="none"/>
                <w:lang w:val="en-US" w:eastAsia="zh-CN" w:bidi="ar-SA"/>
              </w:rPr>
              <w:t xml:space="preserve"> 噪声监测结果</w:t>
            </w:r>
            <w:r>
              <w:rPr>
                <w:rFonts w:hint="eastAsia" w:cs="Times New Roman"/>
                <w:b/>
                <w:bCs/>
                <w:color w:val="auto"/>
                <w:kern w:val="0"/>
                <w:sz w:val="21"/>
                <w:szCs w:val="24"/>
                <w:highlight w:val="none"/>
                <w:lang w:val="en-US" w:eastAsia="zh-CN" w:bidi="ar-SA"/>
              </w:rPr>
              <w:t xml:space="preserve">  </w:t>
            </w:r>
            <w:r>
              <w:rPr>
                <w:rFonts w:hint="eastAsia" w:ascii="Times New Roman" w:hAnsi="Times New Roman" w:eastAsia="宋体" w:cs="Times New Roman"/>
                <w:b/>
                <w:bCs/>
                <w:color w:val="auto"/>
                <w:kern w:val="0"/>
                <w:sz w:val="21"/>
                <w:szCs w:val="24"/>
                <w:highlight w:val="none"/>
                <w:lang w:val="en-US" w:eastAsia="zh-CN" w:bidi="ar-SA"/>
              </w:rPr>
              <w:t>单位：</w:t>
            </w:r>
            <w:r>
              <w:rPr>
                <w:rFonts w:hint="default" w:ascii="Times New Roman" w:hAnsi="Times New Roman" w:eastAsia="宋体" w:cs="Times New Roman"/>
                <w:b/>
                <w:bCs/>
                <w:color w:val="auto"/>
                <w:kern w:val="0"/>
                <w:sz w:val="21"/>
                <w:szCs w:val="24"/>
                <w:highlight w:val="none"/>
                <w:lang w:val="en-US" w:eastAsia="zh-CN" w:bidi="ar-SA"/>
              </w:rPr>
              <w:t>dB（A）</w:t>
            </w:r>
          </w:p>
          <w:tbl>
            <w:tblPr>
              <w:tblStyle w:val="31"/>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52"/>
              <w:gridCol w:w="1369"/>
              <w:gridCol w:w="1371"/>
              <w:gridCol w:w="1369"/>
              <w:gridCol w:w="1373"/>
            </w:tblGrid>
            <w:tr w14:paraId="49F27A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tblHeader/>
                <w:jc w:val="center"/>
              </w:trPr>
              <w:tc>
                <w:tcPr>
                  <w:tcW w:w="1588" w:type="pct"/>
                  <w:vMerge w:val="restart"/>
                  <w:vAlign w:val="center"/>
                </w:tcPr>
                <w:p w14:paraId="61E0711B">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firstLine="420" w:firstLineChars="200"/>
                    <w:jc w:val="center"/>
                    <w:textAlignment w:val="auto"/>
                    <w:rPr>
                      <w:rFonts w:hint="eastAsia" w:ascii="Times New Roman" w:hAnsi="Times New Roman"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监测地点</w:t>
                  </w:r>
                </w:p>
              </w:tc>
              <w:tc>
                <w:tcPr>
                  <w:tcW w:w="1705" w:type="pct"/>
                  <w:gridSpan w:val="2"/>
                  <w:vAlign w:val="center"/>
                </w:tcPr>
                <w:p w14:paraId="18CE2C88">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202</w:t>
                  </w:r>
                  <w:r>
                    <w:rPr>
                      <w:rFonts w:hint="eastAsia" w:ascii="Times New Roman" w:hAnsi="Times New Roman" w:eastAsia="宋体" w:cs="Times New Roman"/>
                      <w:color w:val="auto"/>
                      <w:kern w:val="0"/>
                      <w:sz w:val="21"/>
                      <w:szCs w:val="21"/>
                      <w:highlight w:val="none"/>
                      <w:lang w:val="en-US" w:eastAsia="zh-CN"/>
                    </w:rPr>
                    <w:t>4</w:t>
                  </w:r>
                  <w:r>
                    <w:rPr>
                      <w:rFonts w:hint="eastAsia" w:ascii="Times New Roman" w:hAnsi="Times New Roman" w:eastAsia="宋体" w:cs="Times New Roman"/>
                      <w:color w:val="auto"/>
                      <w:kern w:val="0"/>
                      <w:sz w:val="21"/>
                      <w:szCs w:val="21"/>
                      <w:highlight w:val="none"/>
                    </w:rPr>
                    <w:t>年</w:t>
                  </w:r>
                  <w:r>
                    <w:rPr>
                      <w:rFonts w:hint="eastAsia" w:cs="Times New Roman"/>
                      <w:color w:val="auto"/>
                      <w:kern w:val="0"/>
                      <w:sz w:val="21"/>
                      <w:szCs w:val="21"/>
                      <w:highlight w:val="none"/>
                      <w:lang w:val="en-US" w:eastAsia="zh-CN"/>
                    </w:rPr>
                    <w:t>10</w:t>
                  </w:r>
                  <w:r>
                    <w:rPr>
                      <w:rFonts w:hint="eastAsia" w:ascii="Times New Roman" w:hAnsi="Times New Roman" w:eastAsia="宋体" w:cs="Times New Roman"/>
                      <w:color w:val="auto"/>
                      <w:kern w:val="0"/>
                      <w:sz w:val="21"/>
                      <w:szCs w:val="21"/>
                      <w:highlight w:val="none"/>
                    </w:rPr>
                    <w:t>月</w:t>
                  </w:r>
                  <w:r>
                    <w:rPr>
                      <w:rFonts w:hint="eastAsia" w:cs="Times New Roman"/>
                      <w:color w:val="auto"/>
                      <w:kern w:val="0"/>
                      <w:sz w:val="21"/>
                      <w:szCs w:val="21"/>
                      <w:highlight w:val="none"/>
                      <w:lang w:val="en-US" w:eastAsia="zh-CN"/>
                    </w:rPr>
                    <w:t>29</w:t>
                  </w:r>
                  <w:r>
                    <w:rPr>
                      <w:rFonts w:hint="eastAsia" w:ascii="Times New Roman" w:hAnsi="Times New Roman" w:eastAsia="宋体" w:cs="Times New Roman"/>
                      <w:color w:val="auto"/>
                      <w:kern w:val="0"/>
                      <w:sz w:val="21"/>
                      <w:szCs w:val="21"/>
                      <w:highlight w:val="none"/>
                    </w:rPr>
                    <w:t>日</w:t>
                  </w:r>
                </w:p>
              </w:tc>
              <w:tc>
                <w:tcPr>
                  <w:tcW w:w="1706" w:type="pct"/>
                  <w:gridSpan w:val="2"/>
                  <w:vAlign w:val="center"/>
                </w:tcPr>
                <w:p w14:paraId="7201D66C">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2024年</w:t>
                  </w:r>
                  <w:r>
                    <w:rPr>
                      <w:rFonts w:hint="eastAsia" w:cs="Times New Roman"/>
                      <w:color w:val="auto"/>
                      <w:kern w:val="0"/>
                      <w:sz w:val="21"/>
                      <w:szCs w:val="21"/>
                      <w:highlight w:val="none"/>
                      <w:lang w:val="en-US" w:eastAsia="zh-CN"/>
                    </w:rPr>
                    <w:t>10</w:t>
                  </w:r>
                  <w:r>
                    <w:rPr>
                      <w:rFonts w:hint="eastAsia" w:ascii="Times New Roman" w:hAnsi="Times New Roman" w:eastAsia="宋体" w:cs="Times New Roman"/>
                      <w:color w:val="auto"/>
                      <w:kern w:val="0"/>
                      <w:sz w:val="21"/>
                      <w:szCs w:val="21"/>
                      <w:highlight w:val="none"/>
                      <w:lang w:val="en-US" w:eastAsia="zh-CN"/>
                    </w:rPr>
                    <w:t>月</w:t>
                  </w:r>
                  <w:r>
                    <w:rPr>
                      <w:rFonts w:hint="eastAsia" w:cs="Times New Roman"/>
                      <w:color w:val="auto"/>
                      <w:kern w:val="0"/>
                      <w:sz w:val="21"/>
                      <w:szCs w:val="21"/>
                      <w:highlight w:val="none"/>
                      <w:lang w:val="en-US" w:eastAsia="zh-CN"/>
                    </w:rPr>
                    <w:t>30</w:t>
                  </w:r>
                  <w:r>
                    <w:rPr>
                      <w:rFonts w:hint="eastAsia" w:ascii="Times New Roman" w:hAnsi="Times New Roman" w:eastAsia="宋体" w:cs="Times New Roman"/>
                      <w:color w:val="auto"/>
                      <w:kern w:val="0"/>
                      <w:sz w:val="21"/>
                      <w:szCs w:val="21"/>
                      <w:highlight w:val="none"/>
                      <w:lang w:val="en-US" w:eastAsia="zh-CN"/>
                    </w:rPr>
                    <w:t>日</w:t>
                  </w:r>
                </w:p>
              </w:tc>
            </w:tr>
            <w:tr w14:paraId="2685AF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588" w:type="pct"/>
                  <w:vMerge w:val="continue"/>
                  <w:vAlign w:val="center"/>
                </w:tcPr>
                <w:p w14:paraId="68E711F1">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firstLine="420" w:firstLineChars="200"/>
                    <w:jc w:val="center"/>
                    <w:textAlignment w:val="auto"/>
                    <w:rPr>
                      <w:rFonts w:hint="default" w:ascii="Times New Roman" w:hAnsi="Times New Roman" w:eastAsia="宋体" w:cs="Times New Roman"/>
                      <w:color w:val="auto"/>
                      <w:kern w:val="0"/>
                      <w:sz w:val="21"/>
                      <w:szCs w:val="21"/>
                      <w:highlight w:val="none"/>
                    </w:rPr>
                  </w:pPr>
                </w:p>
              </w:tc>
              <w:tc>
                <w:tcPr>
                  <w:tcW w:w="852" w:type="pct"/>
                  <w:vAlign w:val="center"/>
                </w:tcPr>
                <w:p w14:paraId="2CA5127D">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昼间</w:t>
                  </w:r>
                </w:p>
              </w:tc>
              <w:tc>
                <w:tcPr>
                  <w:tcW w:w="853" w:type="pct"/>
                  <w:vAlign w:val="center"/>
                </w:tcPr>
                <w:p w14:paraId="76C18CB4">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夜间</w:t>
                  </w:r>
                </w:p>
              </w:tc>
              <w:tc>
                <w:tcPr>
                  <w:tcW w:w="852" w:type="pct"/>
                  <w:vAlign w:val="center"/>
                </w:tcPr>
                <w:p w14:paraId="3F912BD6">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昼间</w:t>
                  </w:r>
                </w:p>
              </w:tc>
              <w:tc>
                <w:tcPr>
                  <w:tcW w:w="854" w:type="pct"/>
                  <w:vAlign w:val="center"/>
                </w:tcPr>
                <w:p w14:paraId="3C353EDB">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夜间</w:t>
                  </w:r>
                </w:p>
              </w:tc>
            </w:tr>
            <w:tr w14:paraId="434E93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8" w:type="pct"/>
                  <w:vAlign w:val="center"/>
                </w:tcPr>
                <w:p w14:paraId="38295C49">
                  <w:pPr>
                    <w:jc w:val="center"/>
                    <w:rPr>
                      <w:rFonts w:hint="default" w:ascii="Times New Roman" w:hAnsi="Times New Roman" w:eastAsia="宋体" w:cs="Times New Roman"/>
                      <w:color w:val="auto"/>
                      <w:kern w:val="0"/>
                      <w:sz w:val="21"/>
                      <w:szCs w:val="21"/>
                      <w:highlight w:val="none"/>
                      <w:lang w:val="en-US" w:eastAsia="zh-CN"/>
                    </w:rPr>
                  </w:pPr>
                  <w:r>
                    <w:rPr>
                      <w:rFonts w:hint="eastAsia"/>
                      <w:color w:val="auto"/>
                      <w:szCs w:val="21"/>
                      <w:lang w:val="en-US" w:eastAsia="zh-CN"/>
                    </w:rPr>
                    <w:t>北侧民房</w:t>
                  </w:r>
                  <w:r>
                    <w:rPr>
                      <w:rFonts w:hint="eastAsia" w:ascii="Times New Roman" w:hAnsi="Times New Roman"/>
                      <w:color w:val="auto"/>
                      <w:szCs w:val="21"/>
                    </w:rPr>
                    <w:t>前1m处</w:t>
                  </w:r>
                </w:p>
              </w:tc>
              <w:tc>
                <w:tcPr>
                  <w:tcW w:w="852" w:type="pct"/>
                  <w:vAlign w:val="center"/>
                </w:tcPr>
                <w:p w14:paraId="50DE8102">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53</w:t>
                  </w:r>
                </w:p>
              </w:tc>
              <w:tc>
                <w:tcPr>
                  <w:tcW w:w="853" w:type="pct"/>
                  <w:vAlign w:val="center"/>
                </w:tcPr>
                <w:p w14:paraId="7E31A682">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44</w:t>
                  </w:r>
                </w:p>
              </w:tc>
              <w:tc>
                <w:tcPr>
                  <w:tcW w:w="852" w:type="pct"/>
                  <w:vAlign w:val="center"/>
                </w:tcPr>
                <w:p w14:paraId="695D8B71">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54</w:t>
                  </w:r>
                </w:p>
              </w:tc>
              <w:tc>
                <w:tcPr>
                  <w:tcW w:w="854" w:type="pct"/>
                  <w:vAlign w:val="center"/>
                </w:tcPr>
                <w:p w14:paraId="6E1EC4CD">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42</w:t>
                  </w:r>
                </w:p>
              </w:tc>
            </w:tr>
            <w:tr w14:paraId="1109C6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8" w:type="pct"/>
                  <w:vAlign w:val="center"/>
                </w:tcPr>
                <w:p w14:paraId="63DA425B">
                  <w:pPr>
                    <w:jc w:val="center"/>
                    <w:rPr>
                      <w:rFonts w:hint="eastAsia"/>
                      <w:color w:val="auto"/>
                      <w:szCs w:val="21"/>
                      <w:lang w:val="en-US" w:eastAsia="zh-CN"/>
                    </w:rPr>
                  </w:pPr>
                  <w:r>
                    <w:rPr>
                      <w:rFonts w:hint="eastAsia"/>
                      <w:color w:val="auto"/>
                      <w:szCs w:val="21"/>
                      <w:lang w:val="en-US" w:eastAsia="zh-CN"/>
                    </w:rPr>
                    <w:t>西侧民房</w:t>
                  </w:r>
                  <w:r>
                    <w:rPr>
                      <w:rFonts w:hint="eastAsia" w:ascii="Times New Roman" w:hAnsi="Times New Roman"/>
                      <w:color w:val="auto"/>
                      <w:szCs w:val="21"/>
                    </w:rPr>
                    <w:t>前1m处</w:t>
                  </w:r>
                </w:p>
              </w:tc>
              <w:tc>
                <w:tcPr>
                  <w:tcW w:w="852" w:type="pct"/>
                  <w:vAlign w:val="center"/>
                </w:tcPr>
                <w:p w14:paraId="0FC8506E">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51</w:t>
                  </w:r>
                </w:p>
              </w:tc>
              <w:tc>
                <w:tcPr>
                  <w:tcW w:w="853" w:type="pct"/>
                  <w:vAlign w:val="center"/>
                </w:tcPr>
                <w:p w14:paraId="437E08D3">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43</w:t>
                  </w:r>
                </w:p>
              </w:tc>
              <w:tc>
                <w:tcPr>
                  <w:tcW w:w="852" w:type="pct"/>
                  <w:vAlign w:val="center"/>
                </w:tcPr>
                <w:p w14:paraId="25E378B1">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50</w:t>
                  </w:r>
                </w:p>
              </w:tc>
              <w:tc>
                <w:tcPr>
                  <w:tcW w:w="854" w:type="pct"/>
                  <w:vAlign w:val="center"/>
                </w:tcPr>
                <w:p w14:paraId="6F6D2073">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40</w:t>
                  </w:r>
                </w:p>
              </w:tc>
            </w:tr>
          </w:tbl>
          <w:p w14:paraId="65ED713B">
            <w:pPr>
              <w:widowControl/>
              <w:adjustRightInd w:val="0"/>
              <w:snapToGrid w:val="0"/>
              <w:spacing w:line="360" w:lineRule="auto"/>
              <w:ind w:firstLine="480" w:firstLineChars="200"/>
              <w:jc w:val="left"/>
              <w:rPr>
                <w:rFonts w:hint="eastAsia" w:ascii="Times New Roman" w:hAnsi="Times New Roman" w:eastAsia="宋体" w:cs="Times New Roman"/>
                <w:color w:val="auto"/>
                <w:kern w:val="0"/>
                <w:sz w:val="24"/>
                <w:szCs w:val="28"/>
                <w:lang w:val="en-US" w:eastAsia="zh-CN" w:bidi="ar-SA"/>
              </w:rPr>
            </w:pPr>
            <w:r>
              <w:rPr>
                <w:rFonts w:hint="default" w:ascii="Times New Roman" w:hAnsi="Times New Roman" w:eastAsia="宋体" w:cs="Times New Roman"/>
                <w:snapToGrid w:val="0"/>
                <w:color w:val="auto"/>
                <w:sz w:val="24"/>
                <w:szCs w:val="24"/>
                <w:highlight w:val="none"/>
                <w:lang w:val="en-GB"/>
              </w:rPr>
              <w:t>根据监测报告的数据显示，监测期间厂界周边50m范围内昼间噪声值满足声环境质量满足《声环境质量标准》（GB3096-2008）表1中</w:t>
            </w:r>
            <w:r>
              <w:rPr>
                <w:rFonts w:hint="eastAsia" w:cs="Times New Roman"/>
                <w:snapToGrid w:val="0"/>
                <w:color w:val="auto"/>
                <w:sz w:val="24"/>
                <w:szCs w:val="24"/>
                <w:highlight w:val="none"/>
                <w:lang w:val="en-US" w:eastAsia="zh-CN"/>
              </w:rPr>
              <w:t>2</w:t>
            </w:r>
            <w:r>
              <w:rPr>
                <w:rFonts w:hint="default" w:ascii="Times New Roman" w:hAnsi="Times New Roman" w:eastAsia="宋体" w:cs="Times New Roman"/>
                <w:snapToGrid w:val="0"/>
                <w:color w:val="auto"/>
                <w:sz w:val="24"/>
                <w:szCs w:val="24"/>
                <w:highlight w:val="none"/>
                <w:lang w:val="en-GB"/>
              </w:rPr>
              <w:t>类声环境功能区标准要求</w:t>
            </w:r>
            <w:r>
              <w:rPr>
                <w:rFonts w:hint="default" w:ascii="Times New Roman" w:hAnsi="Times New Roman" w:eastAsia="宋体" w:cs="Times New Roman"/>
                <w:snapToGrid w:val="0"/>
                <w:color w:val="auto"/>
                <w:sz w:val="24"/>
                <w:szCs w:val="24"/>
                <w:highlight w:val="none"/>
                <w:lang w:val="en-GB" w:eastAsia="zh-CN"/>
              </w:rPr>
              <w:t>。</w:t>
            </w:r>
          </w:p>
          <w:p w14:paraId="501AFD19">
            <w:pPr>
              <w:keepNext w:val="0"/>
              <w:keepLines w:val="0"/>
              <w:suppressLineNumbers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kern w:val="0"/>
                <w:sz w:val="24"/>
                <w:szCs w:val="28"/>
                <w:lang w:val="en-US" w:eastAsia="zh-CN" w:bidi="ar-SA"/>
              </w:rPr>
            </w:pPr>
            <w:r>
              <w:rPr>
                <w:rFonts w:hint="eastAsia" w:ascii="Times New Roman" w:hAnsi="Times New Roman" w:eastAsia="宋体" w:cs="Times New Roman"/>
                <w:color w:val="auto"/>
                <w:kern w:val="0"/>
                <w:sz w:val="24"/>
                <w:szCs w:val="28"/>
                <w:lang w:val="en-US" w:eastAsia="zh-CN" w:bidi="ar-SA"/>
              </w:rPr>
              <w:t>4、生态环境质量</w:t>
            </w:r>
          </w:p>
          <w:p w14:paraId="6130FD37">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kern w:val="0"/>
                <w:sz w:val="24"/>
                <w:szCs w:val="28"/>
                <w:lang w:val="en-US" w:eastAsia="zh-CN" w:bidi="ar-SA"/>
              </w:rPr>
            </w:pPr>
            <w:r>
              <w:rPr>
                <w:rFonts w:hint="eastAsia" w:ascii="Times New Roman" w:hAnsi="Times New Roman" w:eastAsia="宋体" w:cs="Times New Roman"/>
                <w:color w:val="auto"/>
                <w:kern w:val="0"/>
                <w:sz w:val="24"/>
                <w:szCs w:val="28"/>
                <w:lang w:val="en-US" w:eastAsia="zh-CN" w:bidi="ar-SA"/>
              </w:rPr>
              <w:t>本项目用地</w:t>
            </w:r>
            <w:r>
              <w:rPr>
                <w:rFonts w:hint="eastAsia" w:cs="Times New Roman"/>
                <w:color w:val="auto"/>
                <w:spacing w:val="4"/>
                <w:sz w:val="24"/>
                <w:highlight w:val="none"/>
                <w:lang w:val="en-US" w:eastAsia="zh-CN"/>
              </w:rPr>
              <w:t>5100</w:t>
            </w:r>
            <w:r>
              <w:rPr>
                <w:rFonts w:hint="default" w:ascii="Times New Roman" w:hAnsi="Times New Roman" w:eastAsia="宋体" w:cs="Times New Roman"/>
                <w:color w:val="auto"/>
                <w:spacing w:val="4"/>
                <w:sz w:val="24"/>
                <w:highlight w:val="none"/>
              </w:rPr>
              <w:t>m</w:t>
            </w:r>
            <w:r>
              <w:rPr>
                <w:rFonts w:hint="default" w:ascii="Times New Roman" w:hAnsi="Times New Roman" w:eastAsia="宋体" w:cs="Times New Roman"/>
                <w:color w:val="auto"/>
                <w:spacing w:val="4"/>
                <w:sz w:val="24"/>
                <w:highlight w:val="none"/>
                <w:vertAlign w:val="superscript"/>
              </w:rPr>
              <w:t>2</w:t>
            </w:r>
            <w:r>
              <w:rPr>
                <w:rFonts w:hint="eastAsia" w:ascii="Times New Roman" w:hAnsi="Times New Roman" w:eastAsia="宋体" w:cs="Times New Roman"/>
                <w:color w:val="auto"/>
                <w:kern w:val="0"/>
                <w:sz w:val="24"/>
                <w:szCs w:val="28"/>
                <w:lang w:val="en-US" w:eastAsia="zh-CN" w:bidi="ar-SA"/>
              </w:rPr>
              <w:t>，用地类型为</w:t>
            </w:r>
            <w:r>
              <w:rPr>
                <w:rFonts w:hint="eastAsia" w:cs="Times New Roman"/>
                <w:color w:val="auto"/>
                <w:kern w:val="0"/>
                <w:sz w:val="24"/>
                <w:szCs w:val="24"/>
                <w:highlight w:val="none"/>
                <w:lang w:val="en-US" w:eastAsia="zh-CN" w:bidi="ar-SA"/>
              </w:rPr>
              <w:t>集体建设用地</w:t>
            </w:r>
            <w:r>
              <w:rPr>
                <w:rFonts w:hint="eastAsia" w:ascii="Times New Roman" w:hAnsi="Times New Roman" w:eastAsia="宋体" w:cs="Times New Roman"/>
                <w:color w:val="auto"/>
                <w:kern w:val="0"/>
                <w:sz w:val="24"/>
                <w:szCs w:val="28"/>
                <w:lang w:val="en-US" w:eastAsia="zh-CN" w:bidi="ar-SA"/>
              </w:rPr>
              <w:t>，地表无植被覆盖，本项目周边无国家级、省级、市级名胜古迹、自然保护区，生态敏感、脆弱区，故本项目不开展生态环境现状调查。</w:t>
            </w:r>
          </w:p>
          <w:p w14:paraId="14D7D2DD">
            <w:pPr>
              <w:keepNext w:val="0"/>
              <w:keepLines w:val="0"/>
              <w:suppressLineNumbers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kern w:val="0"/>
                <w:sz w:val="24"/>
                <w:szCs w:val="28"/>
                <w:lang w:val="en-US" w:eastAsia="zh-CN" w:bidi="ar-SA"/>
              </w:rPr>
            </w:pPr>
            <w:r>
              <w:rPr>
                <w:rFonts w:hint="eastAsia" w:ascii="Times New Roman" w:hAnsi="Times New Roman" w:eastAsia="宋体" w:cs="Times New Roman"/>
                <w:color w:val="auto"/>
                <w:kern w:val="0"/>
                <w:sz w:val="24"/>
                <w:szCs w:val="28"/>
                <w:lang w:val="en-US" w:eastAsia="zh-CN" w:bidi="ar-SA"/>
              </w:rPr>
              <w:t>5、地下水和土壤环境质量</w:t>
            </w:r>
          </w:p>
          <w:p w14:paraId="0B516195">
            <w:pPr>
              <w:keepNext w:val="0"/>
              <w:keepLines w:val="0"/>
              <w:suppressLineNumbers w:val="0"/>
              <w:snapToGrid w:val="0"/>
              <w:spacing w:before="0" w:beforeAutospacing="0" w:after="0" w:afterAutospacing="0" w:line="360" w:lineRule="auto"/>
              <w:ind w:left="0" w:right="0" w:firstLine="480" w:firstLineChars="200"/>
              <w:rPr>
                <w:color w:val="auto"/>
              </w:rPr>
            </w:pPr>
            <w:r>
              <w:rPr>
                <w:rFonts w:hint="eastAsia" w:cs="Times New Roman"/>
                <w:color w:val="auto"/>
                <w:kern w:val="0"/>
                <w:sz w:val="24"/>
                <w:szCs w:val="24"/>
                <w:highlight w:val="none"/>
                <w:lang w:val="en-US" w:eastAsia="zh-CN" w:bidi="ar-SA"/>
              </w:rPr>
              <w:t>本项目厂区路面全部硬化，</w:t>
            </w:r>
            <w:r>
              <w:rPr>
                <w:color w:val="auto"/>
                <w:kern w:val="0"/>
                <w:sz w:val="24"/>
              </w:rPr>
              <w:t>不会对地下水产生影响。本项目废气不涉及重金属、持久性有机污染物，</w:t>
            </w:r>
            <w:r>
              <w:rPr>
                <w:rFonts w:hint="eastAsia"/>
                <w:color w:val="auto"/>
                <w:kern w:val="0"/>
                <w:sz w:val="24"/>
                <w:lang w:val="en-US" w:eastAsia="zh-CN"/>
              </w:rPr>
              <w:t>厂区路面全部水泥硬化，</w:t>
            </w:r>
            <w:r>
              <w:rPr>
                <w:color w:val="auto"/>
                <w:kern w:val="0"/>
                <w:sz w:val="24"/>
              </w:rPr>
              <w:t>无土壤污染途径</w:t>
            </w:r>
            <w:r>
              <w:rPr>
                <w:rFonts w:hint="eastAsia"/>
                <w:color w:val="auto"/>
                <w:kern w:val="0"/>
                <w:sz w:val="24"/>
                <w:lang w:eastAsia="zh-CN"/>
              </w:rPr>
              <w:t>。</w:t>
            </w:r>
            <w:r>
              <w:rPr>
                <w:rFonts w:hint="eastAsia" w:ascii="Times New Roman" w:hAnsi="Times New Roman" w:eastAsia="宋体" w:cs="Times New Roman"/>
                <w:color w:val="auto"/>
                <w:kern w:val="0"/>
                <w:sz w:val="24"/>
                <w:szCs w:val="28"/>
                <w:lang w:val="en-US" w:eastAsia="zh-CN" w:bidi="ar-SA"/>
              </w:rPr>
              <w:t>综合分析对土壤和地下水影响较小。根据《建设项目环境影响报告表编制技术指南（污染影响类）（试行）》中的相关要求，本项目不需开展环境质量现状调查。</w:t>
            </w:r>
          </w:p>
        </w:tc>
      </w:tr>
      <w:tr w14:paraId="1BE102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5" w:type="pct"/>
            <w:vAlign w:val="center"/>
          </w:tcPr>
          <w:p w14:paraId="5E530D0D">
            <w:pPr>
              <w:adjustRightInd w:val="0"/>
              <w:snapToGrid w:val="0"/>
              <w:jc w:val="center"/>
              <w:rPr>
                <w:b/>
                <w:bCs/>
                <w:color w:val="auto"/>
                <w:kern w:val="0"/>
                <w:szCs w:val="21"/>
              </w:rPr>
            </w:pPr>
            <w:r>
              <w:rPr>
                <w:b/>
                <w:bCs/>
                <w:color w:val="auto"/>
                <w:kern w:val="0"/>
                <w:szCs w:val="21"/>
              </w:rPr>
              <w:t>环境</w:t>
            </w:r>
          </w:p>
          <w:p w14:paraId="064566E9">
            <w:pPr>
              <w:adjustRightInd w:val="0"/>
              <w:snapToGrid w:val="0"/>
              <w:jc w:val="center"/>
              <w:rPr>
                <w:b/>
                <w:bCs/>
                <w:color w:val="auto"/>
                <w:kern w:val="0"/>
                <w:szCs w:val="21"/>
              </w:rPr>
            </w:pPr>
            <w:r>
              <w:rPr>
                <w:b/>
                <w:bCs/>
                <w:color w:val="auto"/>
                <w:kern w:val="0"/>
                <w:szCs w:val="21"/>
              </w:rPr>
              <w:t>保护</w:t>
            </w:r>
          </w:p>
          <w:p w14:paraId="11E2421C">
            <w:pPr>
              <w:adjustRightInd w:val="0"/>
              <w:snapToGrid w:val="0"/>
              <w:jc w:val="center"/>
              <w:rPr>
                <w:b/>
                <w:bCs/>
                <w:color w:val="auto"/>
                <w:kern w:val="0"/>
                <w:szCs w:val="21"/>
              </w:rPr>
            </w:pPr>
            <w:r>
              <w:rPr>
                <w:b/>
                <w:bCs/>
                <w:color w:val="auto"/>
                <w:kern w:val="0"/>
                <w:szCs w:val="21"/>
              </w:rPr>
              <w:t>目标</w:t>
            </w:r>
          </w:p>
        </w:tc>
        <w:tc>
          <w:tcPr>
            <w:tcW w:w="4554" w:type="pct"/>
            <w:vAlign w:val="center"/>
          </w:tcPr>
          <w:p w14:paraId="6E66E976">
            <w:pPr>
              <w:pStyle w:val="81"/>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0" w:leftChars="0" w:firstLine="480" w:firstLineChars="200"/>
              <w:textAlignment w:val="auto"/>
              <w:rPr>
                <w:rFonts w:hint="default" w:ascii="Times New Roman" w:hAnsi="Times New Roman" w:eastAsia="宋体" w:cs="Times New Roman"/>
                <w:snapToGrid w:val="0"/>
                <w:color w:val="auto"/>
                <w:kern w:val="2"/>
                <w:sz w:val="24"/>
                <w:szCs w:val="24"/>
                <w:highlight w:val="none"/>
                <w:lang w:val="en-US" w:eastAsia="zh-CN" w:bidi="ar-SA"/>
              </w:rPr>
            </w:pPr>
            <w:r>
              <w:rPr>
                <w:rFonts w:hint="eastAsia" w:ascii="Times New Roman" w:hAnsi="Times New Roman" w:eastAsia="宋体" w:cs="Times New Roman"/>
                <w:snapToGrid w:val="0"/>
                <w:color w:val="auto"/>
                <w:kern w:val="2"/>
                <w:sz w:val="24"/>
                <w:szCs w:val="24"/>
                <w:highlight w:val="none"/>
                <w:lang w:val="en-US" w:eastAsia="zh-CN" w:bidi="ar-SA"/>
              </w:rPr>
              <w:t>1、</w:t>
            </w:r>
            <w:r>
              <w:rPr>
                <w:rFonts w:hint="default" w:ascii="Times New Roman" w:hAnsi="Times New Roman" w:eastAsia="宋体" w:cs="Times New Roman"/>
                <w:snapToGrid w:val="0"/>
                <w:color w:val="auto"/>
                <w:kern w:val="2"/>
                <w:sz w:val="24"/>
                <w:szCs w:val="24"/>
                <w:highlight w:val="none"/>
                <w:lang w:val="en-US" w:eastAsia="zh-CN" w:bidi="ar-SA"/>
              </w:rPr>
              <w:t>大气环境保护目标</w:t>
            </w:r>
          </w:p>
          <w:p w14:paraId="5A9E61D8">
            <w:pPr>
              <w:keepLines w:val="0"/>
              <w:pageBreakBefore w:val="0"/>
              <w:topLinePunct w:val="0"/>
              <w:bidi w:val="0"/>
              <w:spacing w:beforeAutospacing="0" w:afterAutospacing="0" w:line="360" w:lineRule="auto"/>
              <w:ind w:left="0" w:leftChars="0" w:right="0" w:rightChars="0" w:firstLine="480" w:firstLineChars="200"/>
              <w:rPr>
                <w:rFonts w:hint="default" w:ascii="Times New Roman" w:hAnsi="Times New Roman" w:cs="Times New Roman" w:eastAsiaTheme="minorEastAsia"/>
                <w:color w:val="auto"/>
                <w:sz w:val="24"/>
                <w:lang w:val="en-US" w:eastAsia="zh-CN"/>
              </w:rPr>
            </w:pPr>
            <w:r>
              <w:rPr>
                <w:rFonts w:hint="default" w:ascii="Times New Roman" w:hAnsi="Times New Roman" w:cs="Times New Roman" w:eastAsiaTheme="minorEastAsia"/>
                <w:color w:val="auto"/>
                <w:sz w:val="24"/>
                <w:lang w:val="en-US" w:eastAsia="zh-CN"/>
              </w:rPr>
              <w:t>本项目评价范围内无自然保护区、风景名胜区等保护目标，根据项目特点及周边环境状况，确定大气环境保护目标，详见表3-</w:t>
            </w:r>
            <w:r>
              <w:rPr>
                <w:rFonts w:hint="eastAsia" w:cs="Times New Roman" w:eastAsiaTheme="minorEastAsia"/>
                <w:color w:val="auto"/>
                <w:sz w:val="24"/>
                <w:lang w:val="en-US" w:eastAsia="zh-CN"/>
              </w:rPr>
              <w:t>6</w:t>
            </w:r>
            <w:r>
              <w:rPr>
                <w:rFonts w:hint="default" w:ascii="Times New Roman" w:hAnsi="Times New Roman" w:cs="Times New Roman" w:eastAsiaTheme="minorEastAsia"/>
                <w:color w:val="auto"/>
                <w:sz w:val="24"/>
                <w:lang w:val="en-US" w:eastAsia="zh-CN"/>
              </w:rPr>
              <w:t>。</w:t>
            </w:r>
          </w:p>
          <w:p w14:paraId="13BAB281">
            <w:pPr>
              <w:pStyle w:val="1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cs="Times New Roman" w:eastAsiaTheme="minorEastAsia"/>
                <w:b/>
                <w:bCs/>
                <w:color w:val="auto"/>
                <w:kern w:val="2"/>
                <w:sz w:val="21"/>
                <w:szCs w:val="24"/>
                <w:lang w:val="en-US" w:eastAsia="zh-CN" w:bidi="ar-SA"/>
              </w:rPr>
            </w:pPr>
            <w:r>
              <w:rPr>
                <w:rFonts w:hint="default" w:ascii="Times New Roman" w:hAnsi="Times New Roman" w:cs="Times New Roman" w:eastAsiaTheme="minorEastAsia"/>
                <w:b/>
                <w:bCs/>
                <w:color w:val="auto"/>
                <w:kern w:val="2"/>
                <w:sz w:val="21"/>
                <w:szCs w:val="24"/>
                <w:lang w:val="en-US" w:eastAsia="zh-CN" w:bidi="ar-SA"/>
              </w:rPr>
              <w:t>表3-</w:t>
            </w:r>
            <w:r>
              <w:rPr>
                <w:rFonts w:hint="eastAsia" w:cs="Times New Roman" w:eastAsiaTheme="minorEastAsia"/>
                <w:b/>
                <w:bCs/>
                <w:color w:val="auto"/>
                <w:kern w:val="2"/>
                <w:sz w:val="21"/>
                <w:szCs w:val="24"/>
                <w:lang w:val="en-US" w:eastAsia="zh-CN" w:bidi="ar-SA"/>
              </w:rPr>
              <w:t>6</w:t>
            </w:r>
            <w:r>
              <w:rPr>
                <w:rFonts w:hint="default" w:ascii="Times New Roman" w:hAnsi="Times New Roman" w:cs="Times New Roman" w:eastAsiaTheme="minorEastAsia"/>
                <w:b/>
                <w:bCs/>
                <w:color w:val="auto"/>
                <w:kern w:val="2"/>
                <w:sz w:val="21"/>
                <w:szCs w:val="24"/>
                <w:lang w:val="en-US" w:eastAsia="zh-CN" w:bidi="ar-SA"/>
              </w:rPr>
              <w:t xml:space="preserve">  环境空气保护目标一览表</w:t>
            </w:r>
          </w:p>
          <w:tbl>
            <w:tblPr>
              <w:tblStyle w:val="32"/>
              <w:tblW w:w="814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
              <w:gridCol w:w="672"/>
              <w:gridCol w:w="1199"/>
              <w:gridCol w:w="1288"/>
              <w:gridCol w:w="851"/>
              <w:gridCol w:w="611"/>
              <w:gridCol w:w="1496"/>
              <w:gridCol w:w="861"/>
              <w:gridCol w:w="738"/>
            </w:tblGrid>
            <w:tr w14:paraId="69CB41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6" w:type="dxa"/>
                  <w:vMerge w:val="restart"/>
                  <w:tcBorders>
                    <w:tl2br w:val="nil"/>
                    <w:tr2bl w:val="nil"/>
                  </w:tcBorders>
                  <w:vAlign w:val="center"/>
                </w:tcPr>
                <w:p w14:paraId="6F46E469">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SA"/>
                    </w:rPr>
                    <w:t>环境要素</w:t>
                  </w:r>
                </w:p>
              </w:tc>
              <w:tc>
                <w:tcPr>
                  <w:tcW w:w="672" w:type="dxa"/>
                  <w:vMerge w:val="restart"/>
                  <w:tcBorders>
                    <w:tl2br w:val="nil"/>
                    <w:tr2bl w:val="nil"/>
                  </w:tcBorders>
                  <w:vAlign w:val="center"/>
                </w:tcPr>
                <w:p w14:paraId="00B541A2">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SA"/>
                    </w:rPr>
                    <w:t>名称</w:t>
                  </w:r>
                </w:p>
              </w:tc>
              <w:tc>
                <w:tcPr>
                  <w:tcW w:w="2487" w:type="dxa"/>
                  <w:gridSpan w:val="2"/>
                  <w:tcBorders>
                    <w:tl2br w:val="nil"/>
                    <w:tr2bl w:val="nil"/>
                  </w:tcBorders>
                  <w:vAlign w:val="center"/>
                </w:tcPr>
                <w:p w14:paraId="1D208CE9">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坐标（°）</w:t>
                  </w:r>
                </w:p>
              </w:tc>
              <w:tc>
                <w:tcPr>
                  <w:tcW w:w="851" w:type="dxa"/>
                  <w:vMerge w:val="restart"/>
                  <w:tcBorders>
                    <w:tl2br w:val="nil"/>
                    <w:tr2bl w:val="nil"/>
                  </w:tcBorders>
                  <w:vAlign w:val="center"/>
                </w:tcPr>
                <w:p w14:paraId="1F3CDCFE">
                  <w:pPr>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保护</w:t>
                  </w:r>
                </w:p>
                <w:p w14:paraId="79EEBE2D">
                  <w:pPr>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kern w:val="0"/>
                      <w:sz w:val="21"/>
                      <w:szCs w:val="21"/>
                    </w:rPr>
                    <w:t>对象</w:t>
                  </w:r>
                </w:p>
              </w:tc>
              <w:tc>
                <w:tcPr>
                  <w:tcW w:w="611" w:type="dxa"/>
                  <w:vMerge w:val="restart"/>
                  <w:tcBorders>
                    <w:tl2br w:val="nil"/>
                    <w:tr2bl w:val="nil"/>
                  </w:tcBorders>
                  <w:vAlign w:val="center"/>
                </w:tcPr>
                <w:p w14:paraId="08A56761">
                  <w:pPr>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kern w:val="0"/>
                      <w:sz w:val="21"/>
                      <w:szCs w:val="21"/>
                    </w:rPr>
                    <w:t>保护内容</w:t>
                  </w:r>
                </w:p>
              </w:tc>
              <w:tc>
                <w:tcPr>
                  <w:tcW w:w="1496" w:type="dxa"/>
                  <w:vMerge w:val="restart"/>
                  <w:tcBorders>
                    <w:tl2br w:val="nil"/>
                    <w:tr2bl w:val="nil"/>
                  </w:tcBorders>
                  <w:vAlign w:val="center"/>
                </w:tcPr>
                <w:p w14:paraId="75BB36B3">
                  <w:pPr>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kern w:val="0"/>
                      <w:sz w:val="21"/>
                      <w:szCs w:val="21"/>
                    </w:rPr>
                    <w:t>环境功能区</w:t>
                  </w:r>
                </w:p>
              </w:tc>
              <w:tc>
                <w:tcPr>
                  <w:tcW w:w="861" w:type="dxa"/>
                  <w:vMerge w:val="restart"/>
                  <w:tcBorders>
                    <w:tl2br w:val="nil"/>
                    <w:tr2bl w:val="nil"/>
                  </w:tcBorders>
                  <w:vAlign w:val="center"/>
                </w:tcPr>
                <w:p w14:paraId="7B4384FB">
                  <w:pPr>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kern w:val="0"/>
                      <w:sz w:val="21"/>
                      <w:szCs w:val="21"/>
                    </w:rPr>
                    <w:t>相对厂址方位</w:t>
                  </w:r>
                </w:p>
              </w:tc>
              <w:tc>
                <w:tcPr>
                  <w:tcW w:w="738" w:type="dxa"/>
                  <w:vMerge w:val="restart"/>
                  <w:tcBorders>
                    <w:tl2br w:val="nil"/>
                    <w:tr2bl w:val="nil"/>
                  </w:tcBorders>
                  <w:vAlign w:val="center"/>
                </w:tcPr>
                <w:p w14:paraId="639CB2B6">
                  <w:pPr>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kern w:val="0"/>
                      <w:sz w:val="21"/>
                      <w:szCs w:val="21"/>
                    </w:rPr>
                    <w:t>相对</w:t>
                  </w:r>
                  <w:r>
                    <w:rPr>
                      <w:rFonts w:hint="default" w:ascii="Times New Roman" w:hAnsi="Times New Roman" w:cs="Times New Roman"/>
                      <w:color w:val="auto"/>
                      <w:kern w:val="0"/>
                      <w:sz w:val="21"/>
                      <w:szCs w:val="21"/>
                      <w:lang w:eastAsia="zh-CN"/>
                    </w:rPr>
                    <w:t>厂界</w:t>
                  </w:r>
                  <w:r>
                    <w:rPr>
                      <w:rFonts w:hint="default" w:ascii="Times New Roman" w:hAnsi="Times New Roman" w:cs="Times New Roman"/>
                      <w:color w:val="auto"/>
                      <w:kern w:val="0"/>
                      <w:sz w:val="21"/>
                      <w:szCs w:val="21"/>
                    </w:rPr>
                    <w:t>距离/m</w:t>
                  </w:r>
                </w:p>
              </w:tc>
            </w:tr>
            <w:tr w14:paraId="77E1C6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6" w:type="dxa"/>
                  <w:vMerge w:val="continue"/>
                  <w:tcBorders>
                    <w:tl2br w:val="nil"/>
                    <w:tr2bl w:val="nil"/>
                  </w:tcBorders>
                  <w:vAlign w:val="center"/>
                </w:tcPr>
                <w:p w14:paraId="2FA51002">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672" w:type="dxa"/>
                  <w:vMerge w:val="continue"/>
                  <w:tcBorders>
                    <w:tl2br w:val="nil"/>
                    <w:tr2bl w:val="nil"/>
                  </w:tcBorders>
                  <w:vAlign w:val="center"/>
                </w:tcPr>
                <w:p w14:paraId="3D38B5DE">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99" w:type="dxa"/>
                  <w:tcBorders>
                    <w:tl2br w:val="nil"/>
                    <w:tr2bl w:val="nil"/>
                  </w:tcBorders>
                  <w:vAlign w:val="center"/>
                </w:tcPr>
                <w:p w14:paraId="276AC349">
                  <w:pPr>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iCs/>
                      <w:color w:val="auto"/>
                      <w:kern w:val="0"/>
                      <w:sz w:val="21"/>
                      <w:szCs w:val="21"/>
                    </w:rPr>
                    <w:t>经度</w:t>
                  </w:r>
                </w:p>
              </w:tc>
              <w:tc>
                <w:tcPr>
                  <w:tcW w:w="1288" w:type="dxa"/>
                  <w:tcBorders>
                    <w:tl2br w:val="nil"/>
                    <w:tr2bl w:val="nil"/>
                  </w:tcBorders>
                  <w:vAlign w:val="center"/>
                </w:tcPr>
                <w:p w14:paraId="1F0CF5CE">
                  <w:pPr>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iCs/>
                      <w:color w:val="auto"/>
                      <w:kern w:val="0"/>
                      <w:sz w:val="21"/>
                      <w:szCs w:val="21"/>
                    </w:rPr>
                    <w:t>纬度</w:t>
                  </w:r>
                </w:p>
              </w:tc>
              <w:tc>
                <w:tcPr>
                  <w:tcW w:w="851" w:type="dxa"/>
                  <w:vMerge w:val="continue"/>
                  <w:tcBorders>
                    <w:tl2br w:val="nil"/>
                    <w:tr2bl w:val="nil"/>
                  </w:tcBorders>
                  <w:vAlign w:val="center"/>
                </w:tcPr>
                <w:p w14:paraId="38B9F952">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611" w:type="dxa"/>
                  <w:vMerge w:val="continue"/>
                  <w:tcBorders>
                    <w:tl2br w:val="nil"/>
                    <w:tr2bl w:val="nil"/>
                  </w:tcBorders>
                  <w:vAlign w:val="center"/>
                </w:tcPr>
                <w:p w14:paraId="7E9CD293">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496" w:type="dxa"/>
                  <w:vMerge w:val="continue"/>
                  <w:tcBorders>
                    <w:tl2br w:val="nil"/>
                    <w:tr2bl w:val="nil"/>
                  </w:tcBorders>
                  <w:vAlign w:val="center"/>
                </w:tcPr>
                <w:p w14:paraId="1CD4DC21">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861" w:type="dxa"/>
                  <w:vMerge w:val="continue"/>
                  <w:tcBorders>
                    <w:tl2br w:val="nil"/>
                    <w:tr2bl w:val="nil"/>
                  </w:tcBorders>
                  <w:vAlign w:val="center"/>
                </w:tcPr>
                <w:p w14:paraId="15AE0C5C">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738" w:type="dxa"/>
                  <w:vMerge w:val="continue"/>
                  <w:tcBorders>
                    <w:tl2br w:val="nil"/>
                    <w:tr2bl w:val="nil"/>
                  </w:tcBorders>
                  <w:vAlign w:val="center"/>
                </w:tcPr>
                <w:p w14:paraId="6421EE69">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vertAlign w:val="baseline"/>
                      <w:lang w:val="en-US" w:eastAsia="zh-CN"/>
                    </w:rPr>
                  </w:pPr>
                </w:p>
              </w:tc>
            </w:tr>
            <w:tr w14:paraId="5DDAD1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6" w:type="dxa"/>
                  <w:vMerge w:val="restart"/>
                  <w:tcBorders>
                    <w:tl2br w:val="nil"/>
                    <w:tr2bl w:val="nil"/>
                  </w:tcBorders>
                  <w:vAlign w:val="center"/>
                </w:tcPr>
                <w:p w14:paraId="2B8CC7EE">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环境空气</w:t>
                  </w:r>
                </w:p>
              </w:tc>
              <w:tc>
                <w:tcPr>
                  <w:tcW w:w="672" w:type="dxa"/>
                  <w:tcBorders>
                    <w:tl2br w:val="nil"/>
                    <w:tr2bl w:val="nil"/>
                  </w:tcBorders>
                  <w:vAlign w:val="center"/>
                </w:tcPr>
                <w:p w14:paraId="30D20054">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cs="Times New Roman"/>
                      <w:color w:val="auto"/>
                      <w:kern w:val="0"/>
                      <w:sz w:val="21"/>
                      <w:szCs w:val="21"/>
                      <w:lang w:val="en-US" w:eastAsia="zh-CN" w:bidi="ar-SA"/>
                    </w:rPr>
                    <w:t>梁家村</w:t>
                  </w:r>
                </w:p>
              </w:tc>
              <w:tc>
                <w:tcPr>
                  <w:tcW w:w="1199" w:type="dxa"/>
                  <w:tcBorders>
                    <w:tl2br w:val="nil"/>
                    <w:tr2bl w:val="nil"/>
                  </w:tcBorders>
                  <w:vAlign w:val="center"/>
                </w:tcPr>
                <w:p w14:paraId="63D32C66">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130.91447116</w:t>
                  </w:r>
                </w:p>
              </w:tc>
              <w:tc>
                <w:tcPr>
                  <w:tcW w:w="1288" w:type="dxa"/>
                  <w:tcBorders>
                    <w:tl2br w:val="nil"/>
                    <w:tr2bl w:val="nil"/>
                  </w:tcBorders>
                  <w:vAlign w:val="center"/>
                </w:tcPr>
                <w:p w14:paraId="2CD4ED39">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45.31729793</w:t>
                  </w:r>
                </w:p>
              </w:tc>
              <w:tc>
                <w:tcPr>
                  <w:tcW w:w="851" w:type="dxa"/>
                  <w:tcBorders>
                    <w:tl2br w:val="nil"/>
                    <w:tr2bl w:val="nil"/>
                  </w:tcBorders>
                  <w:vAlign w:val="center"/>
                </w:tcPr>
                <w:p w14:paraId="7AFCB4E4">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cs="Times New Roman"/>
                      <w:color w:val="auto"/>
                      <w:kern w:val="0"/>
                      <w:sz w:val="21"/>
                      <w:szCs w:val="21"/>
                      <w:lang w:val="en-US" w:eastAsia="zh-CN" w:bidi="ar-SA"/>
                    </w:rPr>
                    <w:t>居民</w:t>
                  </w:r>
                  <w:r>
                    <w:rPr>
                      <w:rFonts w:hint="default" w:ascii="Times New Roman" w:hAnsi="Times New Roman" w:eastAsia="宋体" w:cs="Times New Roman"/>
                      <w:color w:val="auto"/>
                      <w:kern w:val="0"/>
                      <w:sz w:val="21"/>
                      <w:szCs w:val="21"/>
                      <w:lang w:val="en-US" w:eastAsia="zh-CN" w:bidi="ar-SA"/>
                    </w:rPr>
                    <w:t>区</w:t>
                  </w:r>
                </w:p>
              </w:tc>
              <w:tc>
                <w:tcPr>
                  <w:tcW w:w="611" w:type="dxa"/>
                  <w:tcBorders>
                    <w:tl2br w:val="nil"/>
                    <w:tr2bl w:val="nil"/>
                  </w:tcBorders>
                  <w:vAlign w:val="center"/>
                </w:tcPr>
                <w:p w14:paraId="69981BAC">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人群</w:t>
                  </w:r>
                </w:p>
              </w:tc>
              <w:tc>
                <w:tcPr>
                  <w:tcW w:w="1496" w:type="dxa"/>
                  <w:vMerge w:val="restart"/>
                  <w:tcBorders>
                    <w:tl2br w:val="nil"/>
                    <w:tr2bl w:val="nil"/>
                  </w:tcBorders>
                  <w:vAlign w:val="center"/>
                </w:tcPr>
                <w:p w14:paraId="71404AD6">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《环境空气质量标准》</w:t>
                  </w:r>
                  <w:r>
                    <w:rPr>
                      <w:rFonts w:hint="eastAsia" w:ascii="Times New Roman" w:cs="Times New Roman"/>
                      <w:color w:val="auto"/>
                      <w:kern w:val="0"/>
                      <w:sz w:val="21"/>
                      <w:szCs w:val="21"/>
                      <w:lang w:val="en-US" w:eastAsia="zh-CN" w:bidi="ar-SA"/>
                    </w:rPr>
                    <w:t>（</w:t>
                  </w:r>
                  <w:r>
                    <w:rPr>
                      <w:rFonts w:hint="default" w:ascii="Times New Roman" w:hAnsi="Times New Roman" w:eastAsia="宋体" w:cs="Times New Roman"/>
                      <w:color w:val="auto"/>
                      <w:kern w:val="0"/>
                      <w:sz w:val="21"/>
                      <w:szCs w:val="21"/>
                      <w:lang w:val="en-US" w:eastAsia="zh-CN" w:bidi="ar-SA"/>
                    </w:rPr>
                    <w:t>GB3095-2012</w:t>
                  </w:r>
                  <w:r>
                    <w:rPr>
                      <w:rFonts w:hint="eastAsia" w:ascii="Times New Roman" w:cs="Times New Roman"/>
                      <w:color w:val="auto"/>
                      <w:kern w:val="0"/>
                      <w:sz w:val="21"/>
                      <w:szCs w:val="21"/>
                      <w:lang w:val="en-US" w:eastAsia="zh-CN" w:bidi="ar-SA"/>
                    </w:rPr>
                    <w:t>）</w:t>
                  </w:r>
                  <w:r>
                    <w:rPr>
                      <w:rFonts w:hint="default" w:ascii="Times New Roman" w:hAnsi="Times New Roman" w:eastAsia="宋体" w:cs="Times New Roman"/>
                      <w:color w:val="auto"/>
                      <w:kern w:val="0"/>
                      <w:sz w:val="21"/>
                      <w:szCs w:val="21"/>
                      <w:lang w:val="en-US" w:eastAsia="zh-CN" w:bidi="ar-SA"/>
                    </w:rPr>
                    <w:t>及其修改单二类标准</w:t>
                  </w:r>
                </w:p>
              </w:tc>
              <w:tc>
                <w:tcPr>
                  <w:tcW w:w="861" w:type="dxa"/>
                  <w:tcBorders>
                    <w:tl2br w:val="nil"/>
                    <w:tr2bl w:val="nil"/>
                  </w:tcBorders>
                  <w:vAlign w:val="center"/>
                </w:tcPr>
                <w:p w14:paraId="5920082F">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cs="Times New Roman"/>
                      <w:color w:val="auto"/>
                      <w:kern w:val="0"/>
                      <w:sz w:val="21"/>
                      <w:szCs w:val="21"/>
                      <w:lang w:val="en-US" w:eastAsia="zh-CN" w:bidi="ar-SA"/>
                    </w:rPr>
                    <w:t>E</w:t>
                  </w:r>
                </w:p>
              </w:tc>
              <w:tc>
                <w:tcPr>
                  <w:tcW w:w="738" w:type="dxa"/>
                  <w:tcBorders>
                    <w:tl2br w:val="nil"/>
                    <w:tr2bl w:val="nil"/>
                  </w:tcBorders>
                  <w:vAlign w:val="center"/>
                </w:tcPr>
                <w:p w14:paraId="2E722848">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cs="Times New Roman"/>
                      <w:color w:val="auto"/>
                      <w:kern w:val="0"/>
                      <w:sz w:val="21"/>
                      <w:szCs w:val="21"/>
                      <w:lang w:val="en-US" w:eastAsia="zh-CN" w:bidi="ar-SA"/>
                    </w:rPr>
                    <w:t>300</w:t>
                  </w:r>
                </w:p>
              </w:tc>
            </w:tr>
            <w:tr w14:paraId="0D663E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6" w:type="dxa"/>
                  <w:vMerge w:val="continue"/>
                  <w:tcBorders>
                    <w:tl2br w:val="nil"/>
                    <w:tr2bl w:val="nil"/>
                  </w:tcBorders>
                  <w:vAlign w:val="center"/>
                </w:tcPr>
                <w:p w14:paraId="7A35D37D">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672" w:type="dxa"/>
                  <w:tcBorders>
                    <w:tl2br w:val="nil"/>
                    <w:tr2bl w:val="nil"/>
                  </w:tcBorders>
                  <w:vAlign w:val="center"/>
                </w:tcPr>
                <w:p w14:paraId="59E1D35F">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cs="Times New Roman"/>
                      <w:color w:val="auto"/>
                      <w:kern w:val="0"/>
                      <w:sz w:val="21"/>
                      <w:szCs w:val="21"/>
                      <w:lang w:val="en-US" w:eastAsia="zh-CN" w:bidi="ar-SA"/>
                    </w:rPr>
                  </w:pPr>
                  <w:r>
                    <w:rPr>
                      <w:rFonts w:hint="eastAsia" w:ascii="Times New Roman" w:cs="Times New Roman"/>
                      <w:color w:val="auto"/>
                      <w:kern w:val="0"/>
                      <w:sz w:val="21"/>
                      <w:szCs w:val="21"/>
                      <w:lang w:val="en-US" w:eastAsia="zh-CN" w:bidi="ar-SA"/>
                    </w:rPr>
                    <w:t>新发村</w:t>
                  </w:r>
                </w:p>
              </w:tc>
              <w:tc>
                <w:tcPr>
                  <w:tcW w:w="1199" w:type="dxa"/>
                  <w:tcBorders>
                    <w:tl2br w:val="nil"/>
                    <w:tr2bl w:val="nil"/>
                  </w:tcBorders>
                  <w:vAlign w:val="center"/>
                </w:tcPr>
                <w:p w14:paraId="1B891B87">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130.90909705</w:t>
                  </w:r>
                </w:p>
              </w:tc>
              <w:tc>
                <w:tcPr>
                  <w:tcW w:w="1288" w:type="dxa"/>
                  <w:tcBorders>
                    <w:tl2br w:val="nil"/>
                    <w:tr2bl w:val="nil"/>
                  </w:tcBorders>
                  <w:vAlign w:val="center"/>
                </w:tcPr>
                <w:p w14:paraId="510B301C">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45.32020092</w:t>
                  </w:r>
                </w:p>
              </w:tc>
              <w:tc>
                <w:tcPr>
                  <w:tcW w:w="851" w:type="dxa"/>
                  <w:tcBorders>
                    <w:tl2br w:val="nil"/>
                    <w:tr2bl w:val="nil"/>
                  </w:tcBorders>
                  <w:vAlign w:val="center"/>
                </w:tcPr>
                <w:p w14:paraId="3CAD210A">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cs="Times New Roman"/>
                      <w:color w:val="auto"/>
                      <w:kern w:val="0"/>
                      <w:sz w:val="21"/>
                      <w:szCs w:val="21"/>
                      <w:lang w:val="en-US" w:eastAsia="zh-CN" w:bidi="ar-SA"/>
                    </w:rPr>
                    <w:t>居民</w:t>
                  </w:r>
                  <w:r>
                    <w:rPr>
                      <w:rFonts w:hint="default" w:ascii="Times New Roman" w:hAnsi="Times New Roman" w:eastAsia="宋体" w:cs="Times New Roman"/>
                      <w:color w:val="auto"/>
                      <w:kern w:val="0"/>
                      <w:sz w:val="21"/>
                      <w:szCs w:val="21"/>
                      <w:lang w:val="en-US" w:eastAsia="zh-CN" w:bidi="ar-SA"/>
                    </w:rPr>
                    <w:t>区</w:t>
                  </w:r>
                </w:p>
              </w:tc>
              <w:tc>
                <w:tcPr>
                  <w:tcW w:w="611" w:type="dxa"/>
                  <w:tcBorders>
                    <w:tl2br w:val="nil"/>
                    <w:tr2bl w:val="nil"/>
                  </w:tcBorders>
                  <w:vAlign w:val="center"/>
                </w:tcPr>
                <w:p w14:paraId="41302E3D">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人群</w:t>
                  </w:r>
                </w:p>
              </w:tc>
              <w:tc>
                <w:tcPr>
                  <w:tcW w:w="1496" w:type="dxa"/>
                  <w:vMerge w:val="continue"/>
                  <w:tcBorders>
                    <w:tl2br w:val="nil"/>
                    <w:tr2bl w:val="nil"/>
                  </w:tcBorders>
                  <w:vAlign w:val="center"/>
                </w:tcPr>
                <w:p w14:paraId="47970287">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861" w:type="dxa"/>
                  <w:tcBorders>
                    <w:tl2br w:val="nil"/>
                    <w:tr2bl w:val="nil"/>
                  </w:tcBorders>
                  <w:vAlign w:val="center"/>
                </w:tcPr>
                <w:p w14:paraId="7F6EB125">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cs="Times New Roman"/>
                      <w:color w:val="auto"/>
                      <w:kern w:val="0"/>
                      <w:sz w:val="21"/>
                      <w:szCs w:val="21"/>
                      <w:lang w:val="en-US" w:eastAsia="zh-CN" w:bidi="ar-SA"/>
                    </w:rPr>
                  </w:pPr>
                  <w:r>
                    <w:rPr>
                      <w:rFonts w:hint="eastAsia" w:ascii="Times New Roman" w:cs="Times New Roman"/>
                      <w:color w:val="auto"/>
                      <w:kern w:val="0"/>
                      <w:sz w:val="21"/>
                      <w:szCs w:val="21"/>
                      <w:lang w:val="en-US" w:eastAsia="zh-CN" w:bidi="ar-SA"/>
                    </w:rPr>
                    <w:t>N</w:t>
                  </w:r>
                </w:p>
              </w:tc>
              <w:tc>
                <w:tcPr>
                  <w:tcW w:w="738" w:type="dxa"/>
                  <w:tcBorders>
                    <w:tl2br w:val="nil"/>
                    <w:tr2bl w:val="nil"/>
                  </w:tcBorders>
                  <w:vAlign w:val="center"/>
                </w:tcPr>
                <w:p w14:paraId="1F90A40E">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cs="Times New Roman"/>
                      <w:color w:val="auto"/>
                      <w:kern w:val="0"/>
                      <w:sz w:val="21"/>
                      <w:szCs w:val="21"/>
                      <w:lang w:val="en-US" w:eastAsia="zh-CN" w:bidi="ar-SA"/>
                    </w:rPr>
                  </w:pPr>
                  <w:r>
                    <w:rPr>
                      <w:rFonts w:hint="eastAsia" w:ascii="Times New Roman" w:cs="Times New Roman"/>
                      <w:color w:val="auto"/>
                      <w:kern w:val="0"/>
                      <w:sz w:val="21"/>
                      <w:szCs w:val="21"/>
                      <w:lang w:val="en-US" w:eastAsia="zh-CN" w:bidi="ar-SA"/>
                    </w:rPr>
                    <w:t>20</w:t>
                  </w:r>
                </w:p>
              </w:tc>
            </w:tr>
            <w:tr w14:paraId="3DD26B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6" w:type="dxa"/>
                  <w:vMerge w:val="continue"/>
                  <w:tcBorders>
                    <w:tl2br w:val="nil"/>
                    <w:tr2bl w:val="nil"/>
                  </w:tcBorders>
                  <w:vAlign w:val="center"/>
                </w:tcPr>
                <w:p w14:paraId="003D6F4B">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672" w:type="dxa"/>
                  <w:tcBorders>
                    <w:tl2br w:val="nil"/>
                    <w:tr2bl w:val="nil"/>
                  </w:tcBorders>
                  <w:vAlign w:val="center"/>
                </w:tcPr>
                <w:p w14:paraId="7F266990">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eastAsia" w:ascii="Times New Roman" w:cs="Times New Roman"/>
                      <w:color w:val="auto"/>
                      <w:kern w:val="0"/>
                      <w:sz w:val="21"/>
                      <w:szCs w:val="21"/>
                      <w:lang w:val="en-US" w:eastAsia="zh-CN" w:bidi="ar-SA"/>
                    </w:rPr>
                  </w:pPr>
                  <w:r>
                    <w:rPr>
                      <w:rFonts w:hint="eastAsia" w:ascii="Times New Roman" w:cs="Times New Roman"/>
                      <w:color w:val="auto"/>
                      <w:kern w:val="0"/>
                      <w:sz w:val="21"/>
                      <w:szCs w:val="21"/>
                      <w:lang w:val="en-US" w:eastAsia="zh-CN" w:bidi="ar-SA"/>
                    </w:rPr>
                    <w:t>新发村</w:t>
                  </w:r>
                </w:p>
              </w:tc>
              <w:tc>
                <w:tcPr>
                  <w:tcW w:w="1199" w:type="dxa"/>
                  <w:tcBorders>
                    <w:tl2br w:val="nil"/>
                    <w:tr2bl w:val="nil"/>
                  </w:tcBorders>
                  <w:vAlign w:val="center"/>
                </w:tcPr>
                <w:p w14:paraId="3159E4EF">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130.90763978</w:t>
                  </w:r>
                </w:p>
              </w:tc>
              <w:tc>
                <w:tcPr>
                  <w:tcW w:w="1288" w:type="dxa"/>
                  <w:tcBorders>
                    <w:tl2br w:val="nil"/>
                    <w:tr2bl w:val="nil"/>
                  </w:tcBorders>
                  <w:vAlign w:val="center"/>
                </w:tcPr>
                <w:p w14:paraId="08774699">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45.31908382</w:t>
                  </w:r>
                </w:p>
              </w:tc>
              <w:tc>
                <w:tcPr>
                  <w:tcW w:w="851" w:type="dxa"/>
                  <w:tcBorders>
                    <w:tl2br w:val="nil"/>
                    <w:tr2bl w:val="nil"/>
                  </w:tcBorders>
                  <w:vAlign w:val="center"/>
                </w:tcPr>
                <w:p w14:paraId="02921C18">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eastAsia" w:ascii="Times New Roman" w:cs="Times New Roman"/>
                      <w:color w:val="auto"/>
                      <w:kern w:val="0"/>
                      <w:sz w:val="21"/>
                      <w:szCs w:val="21"/>
                      <w:lang w:val="en-US" w:eastAsia="zh-CN" w:bidi="ar-SA"/>
                    </w:rPr>
                  </w:pPr>
                  <w:r>
                    <w:rPr>
                      <w:rFonts w:hint="eastAsia" w:ascii="Times New Roman" w:cs="Times New Roman"/>
                      <w:color w:val="auto"/>
                      <w:kern w:val="0"/>
                      <w:sz w:val="21"/>
                      <w:szCs w:val="21"/>
                      <w:lang w:val="en-US" w:eastAsia="zh-CN" w:bidi="ar-SA"/>
                    </w:rPr>
                    <w:t>居民</w:t>
                  </w:r>
                  <w:r>
                    <w:rPr>
                      <w:rFonts w:hint="default" w:ascii="Times New Roman" w:hAnsi="Times New Roman" w:eastAsia="宋体" w:cs="Times New Roman"/>
                      <w:color w:val="auto"/>
                      <w:kern w:val="0"/>
                      <w:sz w:val="21"/>
                      <w:szCs w:val="21"/>
                      <w:lang w:val="en-US" w:eastAsia="zh-CN" w:bidi="ar-SA"/>
                    </w:rPr>
                    <w:t>区</w:t>
                  </w:r>
                </w:p>
              </w:tc>
              <w:tc>
                <w:tcPr>
                  <w:tcW w:w="611" w:type="dxa"/>
                  <w:tcBorders>
                    <w:tl2br w:val="nil"/>
                    <w:tr2bl w:val="nil"/>
                  </w:tcBorders>
                  <w:vAlign w:val="center"/>
                </w:tcPr>
                <w:p w14:paraId="5F0E933D">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人群</w:t>
                  </w:r>
                </w:p>
              </w:tc>
              <w:tc>
                <w:tcPr>
                  <w:tcW w:w="1496" w:type="dxa"/>
                  <w:vMerge w:val="continue"/>
                  <w:tcBorders>
                    <w:tl2br w:val="nil"/>
                    <w:tr2bl w:val="nil"/>
                  </w:tcBorders>
                  <w:vAlign w:val="center"/>
                </w:tcPr>
                <w:p w14:paraId="3F65C56A">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p>
              </w:tc>
              <w:tc>
                <w:tcPr>
                  <w:tcW w:w="861" w:type="dxa"/>
                  <w:tcBorders>
                    <w:tl2br w:val="nil"/>
                    <w:tr2bl w:val="nil"/>
                  </w:tcBorders>
                  <w:vAlign w:val="center"/>
                </w:tcPr>
                <w:p w14:paraId="0D5742ED">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cs="Times New Roman"/>
                      <w:color w:val="auto"/>
                      <w:kern w:val="0"/>
                      <w:sz w:val="21"/>
                      <w:szCs w:val="21"/>
                      <w:lang w:val="en-US" w:eastAsia="zh-CN" w:bidi="ar-SA"/>
                    </w:rPr>
                  </w:pPr>
                  <w:r>
                    <w:rPr>
                      <w:rFonts w:hint="eastAsia" w:ascii="Times New Roman" w:cs="Times New Roman"/>
                      <w:color w:val="auto"/>
                      <w:kern w:val="0"/>
                      <w:sz w:val="21"/>
                      <w:szCs w:val="21"/>
                      <w:lang w:val="en-US" w:eastAsia="zh-CN" w:bidi="ar-SA"/>
                    </w:rPr>
                    <w:t>W</w:t>
                  </w:r>
                </w:p>
              </w:tc>
              <w:tc>
                <w:tcPr>
                  <w:tcW w:w="738" w:type="dxa"/>
                  <w:tcBorders>
                    <w:tl2br w:val="nil"/>
                    <w:tr2bl w:val="nil"/>
                  </w:tcBorders>
                  <w:vAlign w:val="center"/>
                </w:tcPr>
                <w:p w14:paraId="3C41B0CE">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cs="Times New Roman"/>
                      <w:color w:val="auto"/>
                      <w:kern w:val="0"/>
                      <w:sz w:val="21"/>
                      <w:szCs w:val="21"/>
                      <w:lang w:val="en-US" w:eastAsia="zh-CN" w:bidi="ar-SA"/>
                    </w:rPr>
                  </w:pPr>
                  <w:r>
                    <w:rPr>
                      <w:rFonts w:hint="eastAsia" w:ascii="Times New Roman" w:cs="Times New Roman"/>
                      <w:color w:val="auto"/>
                      <w:kern w:val="0"/>
                      <w:sz w:val="21"/>
                      <w:szCs w:val="21"/>
                      <w:lang w:val="en-US" w:eastAsia="zh-CN" w:bidi="ar-SA"/>
                    </w:rPr>
                    <w:t>10</w:t>
                  </w:r>
                </w:p>
              </w:tc>
            </w:tr>
          </w:tbl>
          <w:p w14:paraId="392B95C1">
            <w:pPr>
              <w:pStyle w:val="81"/>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0" w:leftChars="0" w:firstLine="480" w:firstLineChars="200"/>
              <w:textAlignment w:val="auto"/>
              <w:rPr>
                <w:rFonts w:hint="default" w:ascii="Times New Roman" w:hAnsi="Times New Roman" w:eastAsia="宋体" w:cs="Times New Roman"/>
                <w:snapToGrid w:val="0"/>
                <w:color w:val="auto"/>
                <w:kern w:val="2"/>
                <w:sz w:val="24"/>
                <w:szCs w:val="24"/>
                <w:highlight w:val="none"/>
                <w:lang w:val="en-US" w:eastAsia="zh-CN" w:bidi="ar-SA"/>
              </w:rPr>
            </w:pPr>
            <w:r>
              <w:rPr>
                <w:rFonts w:hint="eastAsia" w:ascii="Times New Roman" w:hAnsi="Times New Roman" w:eastAsia="宋体" w:cs="Times New Roman"/>
                <w:snapToGrid w:val="0"/>
                <w:color w:val="auto"/>
                <w:kern w:val="2"/>
                <w:sz w:val="24"/>
                <w:szCs w:val="24"/>
                <w:highlight w:val="none"/>
                <w:lang w:val="en-US" w:eastAsia="zh-CN" w:bidi="ar-SA"/>
              </w:rPr>
              <w:t>2、</w:t>
            </w:r>
            <w:r>
              <w:rPr>
                <w:rFonts w:hint="default" w:ascii="Times New Roman" w:hAnsi="Times New Roman" w:eastAsia="宋体" w:cs="Times New Roman"/>
                <w:snapToGrid w:val="0"/>
                <w:color w:val="auto"/>
                <w:kern w:val="2"/>
                <w:sz w:val="24"/>
                <w:szCs w:val="24"/>
                <w:highlight w:val="none"/>
                <w:lang w:val="en-US" w:eastAsia="zh-CN" w:bidi="ar-SA"/>
              </w:rPr>
              <w:t>声环境保护目标</w:t>
            </w:r>
          </w:p>
          <w:p w14:paraId="7FF371C4">
            <w:pPr>
              <w:spacing w:line="360" w:lineRule="auto"/>
              <w:ind w:firstLine="480" w:firstLineChars="200"/>
              <w:rPr>
                <w:rFonts w:eastAsiaTheme="minorEastAsia"/>
                <w:color w:val="auto"/>
                <w:sz w:val="24"/>
              </w:rPr>
            </w:pPr>
            <w:r>
              <w:rPr>
                <w:rFonts w:hint="eastAsia" w:cs="Times New Roman" w:eastAsiaTheme="minorEastAsia"/>
                <w:color w:val="auto"/>
                <w:sz w:val="24"/>
                <w:lang w:val="en-US" w:eastAsia="zh-CN"/>
              </w:rPr>
              <w:t>新发村</w:t>
            </w:r>
            <w:r>
              <w:rPr>
                <w:rFonts w:ascii="Times New Roman" w:hAnsi="Times New Roman" w:cs="Times New Roman" w:eastAsiaTheme="minorEastAsia"/>
                <w:color w:val="auto"/>
                <w:sz w:val="24"/>
              </w:rPr>
              <w:t>位</w:t>
            </w:r>
            <w:r>
              <w:rPr>
                <w:rFonts w:eastAsiaTheme="minorEastAsia"/>
                <w:color w:val="auto"/>
                <w:sz w:val="24"/>
              </w:rPr>
              <w:t>于厂界外50m范围内为声环境保护目标</w:t>
            </w:r>
            <w:r>
              <w:rPr>
                <w:rFonts w:hint="eastAsia" w:eastAsiaTheme="minorEastAsia"/>
                <w:color w:val="auto"/>
                <w:sz w:val="24"/>
              </w:rPr>
              <w:t>，</w:t>
            </w:r>
            <w:r>
              <w:rPr>
                <w:rFonts w:eastAsiaTheme="minorEastAsia"/>
                <w:color w:val="auto"/>
                <w:sz w:val="24"/>
              </w:rPr>
              <w:t>详见表3-</w:t>
            </w:r>
            <w:r>
              <w:rPr>
                <w:rFonts w:hint="eastAsia" w:eastAsiaTheme="minorEastAsia"/>
                <w:color w:val="auto"/>
                <w:sz w:val="24"/>
                <w:lang w:val="en-US" w:eastAsia="zh-CN"/>
              </w:rPr>
              <w:t>7</w:t>
            </w:r>
            <w:r>
              <w:rPr>
                <w:rFonts w:eastAsiaTheme="minorEastAsia"/>
                <w:color w:val="auto"/>
                <w:sz w:val="24"/>
              </w:rPr>
              <w:t>。</w:t>
            </w:r>
          </w:p>
          <w:p w14:paraId="251F647A">
            <w:pPr>
              <w:pStyle w:val="1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rPr>
                <w:rFonts w:hint="default" w:ascii="Times New Roman" w:hAnsi="Times New Roman" w:cs="Times New Roman" w:eastAsiaTheme="minorEastAsia"/>
                <w:b/>
                <w:bCs/>
                <w:color w:val="auto"/>
                <w:kern w:val="2"/>
                <w:sz w:val="21"/>
                <w:szCs w:val="24"/>
                <w:lang w:val="en-US" w:eastAsia="zh-CN" w:bidi="ar-SA"/>
              </w:rPr>
            </w:pPr>
            <w:r>
              <w:rPr>
                <w:rFonts w:hint="default" w:ascii="Times New Roman" w:hAnsi="Times New Roman" w:cs="Times New Roman" w:eastAsiaTheme="minorEastAsia"/>
                <w:b/>
                <w:bCs/>
                <w:color w:val="auto"/>
                <w:kern w:val="2"/>
                <w:sz w:val="21"/>
                <w:szCs w:val="24"/>
                <w:lang w:val="en-US" w:eastAsia="zh-CN" w:bidi="ar-SA"/>
              </w:rPr>
              <w:t>表3</w:t>
            </w:r>
            <w:r>
              <w:rPr>
                <w:rFonts w:hint="eastAsia" w:ascii="Times New Roman" w:hAnsi="Times New Roman" w:cs="Times New Roman" w:eastAsiaTheme="minorEastAsia"/>
                <w:b/>
                <w:bCs/>
                <w:color w:val="auto"/>
                <w:kern w:val="2"/>
                <w:sz w:val="21"/>
                <w:szCs w:val="24"/>
                <w:lang w:val="en-US" w:eastAsia="zh-CN" w:bidi="ar-SA"/>
              </w:rPr>
              <w:t>-</w:t>
            </w:r>
            <w:r>
              <w:rPr>
                <w:rFonts w:hint="eastAsia" w:cs="Times New Roman" w:eastAsiaTheme="minorEastAsia"/>
                <w:b/>
                <w:bCs/>
                <w:color w:val="auto"/>
                <w:kern w:val="2"/>
                <w:sz w:val="21"/>
                <w:szCs w:val="24"/>
                <w:lang w:val="en-US" w:eastAsia="zh-CN" w:bidi="ar-SA"/>
              </w:rPr>
              <w:t>7</w:t>
            </w:r>
            <w:r>
              <w:rPr>
                <w:rFonts w:hint="default" w:ascii="Times New Roman" w:hAnsi="Times New Roman" w:cs="Times New Roman" w:eastAsiaTheme="minorEastAsia"/>
                <w:b/>
                <w:bCs/>
                <w:color w:val="auto"/>
                <w:kern w:val="2"/>
                <w:sz w:val="21"/>
                <w:szCs w:val="24"/>
                <w:lang w:val="en-US" w:eastAsia="zh-CN" w:bidi="ar-SA"/>
              </w:rPr>
              <w:t xml:space="preserve">  声环境保护目标一览表</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9"/>
              <w:gridCol w:w="920"/>
              <w:gridCol w:w="707"/>
              <w:gridCol w:w="707"/>
              <w:gridCol w:w="707"/>
              <w:gridCol w:w="695"/>
              <w:gridCol w:w="687"/>
              <w:gridCol w:w="1285"/>
              <w:gridCol w:w="1859"/>
            </w:tblGrid>
            <w:tr w14:paraId="163ACC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1" w:type="pct"/>
                  <w:vMerge w:val="restart"/>
                  <w:tcBorders>
                    <w:tl2br w:val="nil"/>
                    <w:tr2bl w:val="nil"/>
                  </w:tcBorders>
                  <w:vAlign w:val="center"/>
                </w:tcPr>
                <w:p w14:paraId="2C454087">
                  <w:pPr>
                    <w:pStyle w:val="40"/>
                    <w:jc w:val="center"/>
                    <w:rPr>
                      <w:rFonts w:hint="eastAsia" w:ascii="Times New Roman" w:eastAsia="宋体"/>
                      <w:color w:val="auto"/>
                      <w:sz w:val="21"/>
                      <w:lang w:val="en-US" w:eastAsia="zh-CN"/>
                    </w:rPr>
                  </w:pPr>
                  <w:r>
                    <w:rPr>
                      <w:rFonts w:hint="eastAsia" w:ascii="Times New Roman"/>
                      <w:color w:val="auto"/>
                      <w:sz w:val="21"/>
                      <w:lang w:val="en-US" w:eastAsia="zh-CN"/>
                    </w:rPr>
                    <w:t>序号</w:t>
                  </w:r>
                </w:p>
              </w:tc>
              <w:tc>
                <w:tcPr>
                  <w:tcW w:w="572" w:type="pct"/>
                  <w:vMerge w:val="restart"/>
                  <w:tcBorders>
                    <w:tl2br w:val="nil"/>
                    <w:tr2bl w:val="nil"/>
                  </w:tcBorders>
                  <w:vAlign w:val="center"/>
                </w:tcPr>
                <w:p w14:paraId="73AA52F6">
                  <w:pPr>
                    <w:pStyle w:val="40"/>
                    <w:jc w:val="center"/>
                    <w:rPr>
                      <w:rFonts w:hint="default" w:ascii="Times New Roman" w:eastAsia="宋体"/>
                      <w:color w:val="auto"/>
                      <w:sz w:val="21"/>
                      <w:lang w:val="en-US" w:eastAsia="zh-CN"/>
                    </w:rPr>
                  </w:pPr>
                  <w:r>
                    <w:rPr>
                      <w:rFonts w:hint="eastAsia" w:ascii="Times New Roman"/>
                      <w:color w:val="auto"/>
                      <w:sz w:val="21"/>
                      <w:lang w:val="en-US" w:eastAsia="zh-CN"/>
                    </w:rPr>
                    <w:t>声环境保护目标名称</w:t>
                  </w:r>
                </w:p>
              </w:tc>
              <w:tc>
                <w:tcPr>
                  <w:tcW w:w="1319" w:type="pct"/>
                  <w:gridSpan w:val="3"/>
                  <w:tcBorders>
                    <w:tl2br w:val="nil"/>
                    <w:tr2bl w:val="nil"/>
                  </w:tcBorders>
                  <w:vAlign w:val="center"/>
                </w:tcPr>
                <w:p w14:paraId="54DBB39F">
                  <w:pPr>
                    <w:pStyle w:val="40"/>
                    <w:jc w:val="center"/>
                    <w:rPr>
                      <w:rFonts w:hint="default" w:ascii="Times New Roman" w:eastAsia="宋体"/>
                      <w:color w:val="auto"/>
                      <w:sz w:val="21"/>
                      <w:lang w:val="en-US" w:eastAsia="zh-CN"/>
                    </w:rPr>
                  </w:pPr>
                  <w:r>
                    <w:rPr>
                      <w:rFonts w:hint="eastAsia" w:ascii="Times New Roman"/>
                      <w:color w:val="auto"/>
                      <w:sz w:val="21"/>
                      <w:lang w:val="en-US" w:eastAsia="zh-CN"/>
                    </w:rPr>
                    <w:t>空间相对位置/m</w:t>
                  </w:r>
                </w:p>
              </w:tc>
              <w:tc>
                <w:tcPr>
                  <w:tcW w:w="432" w:type="pct"/>
                  <w:vMerge w:val="restart"/>
                  <w:tcBorders>
                    <w:tl2br w:val="nil"/>
                    <w:tr2bl w:val="nil"/>
                  </w:tcBorders>
                  <w:vAlign w:val="center"/>
                </w:tcPr>
                <w:p w14:paraId="0D95145A">
                  <w:pPr>
                    <w:widowControl/>
                    <w:jc w:val="center"/>
                    <w:rPr>
                      <w:color w:val="auto"/>
                      <w:kern w:val="0"/>
                      <w:szCs w:val="21"/>
                    </w:rPr>
                  </w:pPr>
                  <w:r>
                    <w:rPr>
                      <w:rFonts w:hint="eastAsia"/>
                      <w:color w:val="auto"/>
                      <w:kern w:val="0"/>
                      <w:szCs w:val="21"/>
                      <w:lang w:val="en-US" w:eastAsia="zh-CN"/>
                    </w:rPr>
                    <w:t>距厂界最近</w:t>
                  </w:r>
                  <w:r>
                    <w:rPr>
                      <w:color w:val="auto"/>
                      <w:kern w:val="0"/>
                      <w:szCs w:val="21"/>
                    </w:rPr>
                    <w:t>距离/m</w:t>
                  </w:r>
                </w:p>
              </w:tc>
              <w:tc>
                <w:tcPr>
                  <w:tcW w:w="427" w:type="pct"/>
                  <w:vMerge w:val="restart"/>
                  <w:tcBorders>
                    <w:tl2br w:val="nil"/>
                    <w:tr2bl w:val="nil"/>
                  </w:tcBorders>
                  <w:vAlign w:val="center"/>
                </w:tcPr>
                <w:p w14:paraId="1837711E">
                  <w:pPr>
                    <w:widowControl/>
                    <w:jc w:val="center"/>
                    <w:rPr>
                      <w:color w:val="auto"/>
                      <w:szCs w:val="21"/>
                    </w:rPr>
                  </w:pPr>
                  <w:r>
                    <w:rPr>
                      <w:color w:val="auto"/>
                      <w:kern w:val="0"/>
                      <w:szCs w:val="21"/>
                    </w:rPr>
                    <w:t>方位</w:t>
                  </w:r>
                </w:p>
              </w:tc>
              <w:tc>
                <w:tcPr>
                  <w:tcW w:w="799" w:type="pct"/>
                  <w:vMerge w:val="restart"/>
                  <w:tcBorders>
                    <w:tl2br w:val="nil"/>
                    <w:tr2bl w:val="nil"/>
                  </w:tcBorders>
                  <w:vAlign w:val="center"/>
                </w:tcPr>
                <w:p w14:paraId="6C62E69C">
                  <w:pPr>
                    <w:widowControl/>
                    <w:jc w:val="center"/>
                    <w:rPr>
                      <w:rFonts w:hint="default" w:eastAsia="宋体"/>
                      <w:color w:val="auto"/>
                      <w:kern w:val="0"/>
                      <w:szCs w:val="21"/>
                      <w:lang w:val="en-US" w:eastAsia="zh-CN"/>
                    </w:rPr>
                  </w:pPr>
                  <w:r>
                    <w:rPr>
                      <w:rFonts w:hint="eastAsia"/>
                      <w:color w:val="auto"/>
                      <w:kern w:val="0"/>
                      <w:szCs w:val="21"/>
                      <w:lang w:val="en-US" w:eastAsia="zh-CN"/>
                    </w:rPr>
                    <w:t>执行标准/功能区类别</w:t>
                  </w:r>
                </w:p>
              </w:tc>
              <w:tc>
                <w:tcPr>
                  <w:tcW w:w="1156" w:type="pct"/>
                  <w:vMerge w:val="restart"/>
                  <w:tcBorders>
                    <w:tl2br w:val="nil"/>
                    <w:tr2bl w:val="nil"/>
                  </w:tcBorders>
                  <w:vAlign w:val="center"/>
                </w:tcPr>
                <w:p w14:paraId="79C174B3">
                  <w:pPr>
                    <w:widowControl/>
                    <w:jc w:val="center"/>
                    <w:rPr>
                      <w:color w:val="auto"/>
                      <w:szCs w:val="21"/>
                    </w:rPr>
                  </w:pPr>
                  <w:r>
                    <w:rPr>
                      <w:rFonts w:hint="eastAsia"/>
                      <w:color w:val="auto"/>
                      <w:kern w:val="0"/>
                      <w:szCs w:val="21"/>
                    </w:rPr>
                    <w:t>声环境保护目标情况说明</w:t>
                  </w:r>
                </w:p>
              </w:tc>
            </w:tr>
            <w:tr w14:paraId="64870C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1" w:type="pct"/>
                  <w:vMerge w:val="continue"/>
                  <w:tcBorders>
                    <w:tl2br w:val="nil"/>
                    <w:tr2bl w:val="nil"/>
                  </w:tcBorders>
                  <w:vAlign w:val="center"/>
                </w:tcPr>
                <w:p w14:paraId="74949D3A">
                  <w:pPr>
                    <w:pStyle w:val="40"/>
                    <w:jc w:val="center"/>
                    <w:rPr>
                      <w:rFonts w:hint="eastAsia" w:ascii="Times New Roman" w:eastAsia="宋体"/>
                      <w:color w:val="auto"/>
                      <w:sz w:val="21"/>
                      <w:lang w:val="en-US" w:eastAsia="zh-CN"/>
                    </w:rPr>
                  </w:pPr>
                </w:p>
              </w:tc>
              <w:tc>
                <w:tcPr>
                  <w:tcW w:w="572" w:type="pct"/>
                  <w:vMerge w:val="continue"/>
                  <w:tcBorders>
                    <w:tl2br w:val="nil"/>
                    <w:tr2bl w:val="nil"/>
                  </w:tcBorders>
                  <w:vAlign w:val="center"/>
                </w:tcPr>
                <w:p w14:paraId="15784B4E">
                  <w:pPr>
                    <w:pStyle w:val="40"/>
                    <w:jc w:val="center"/>
                    <w:rPr>
                      <w:rFonts w:hint="default" w:ascii="Times New Roman" w:eastAsia="宋体"/>
                      <w:color w:val="auto"/>
                      <w:sz w:val="21"/>
                      <w:lang w:val="en-US" w:eastAsia="zh-CN"/>
                    </w:rPr>
                  </w:pPr>
                </w:p>
              </w:tc>
              <w:tc>
                <w:tcPr>
                  <w:tcW w:w="439" w:type="pct"/>
                  <w:tcBorders>
                    <w:tl2br w:val="nil"/>
                    <w:tr2bl w:val="nil"/>
                  </w:tcBorders>
                  <w:vAlign w:val="center"/>
                </w:tcPr>
                <w:p w14:paraId="5E363AC5">
                  <w:pPr>
                    <w:pStyle w:val="40"/>
                    <w:jc w:val="center"/>
                    <w:rPr>
                      <w:rFonts w:hint="eastAsia" w:ascii="Times New Roman" w:eastAsia="宋体"/>
                      <w:color w:val="auto"/>
                      <w:sz w:val="21"/>
                      <w:lang w:val="en-US" w:eastAsia="zh-CN"/>
                    </w:rPr>
                  </w:pPr>
                  <w:r>
                    <w:rPr>
                      <w:rFonts w:hint="eastAsia" w:ascii="Times New Roman"/>
                      <w:color w:val="auto"/>
                      <w:sz w:val="21"/>
                      <w:lang w:val="en-US" w:eastAsia="zh-CN"/>
                    </w:rPr>
                    <w:t>X</w:t>
                  </w:r>
                </w:p>
              </w:tc>
              <w:tc>
                <w:tcPr>
                  <w:tcW w:w="439" w:type="pct"/>
                  <w:tcBorders>
                    <w:tl2br w:val="nil"/>
                    <w:tr2bl w:val="nil"/>
                  </w:tcBorders>
                  <w:vAlign w:val="center"/>
                </w:tcPr>
                <w:p w14:paraId="6482A2D6">
                  <w:pPr>
                    <w:pStyle w:val="40"/>
                    <w:jc w:val="center"/>
                    <w:rPr>
                      <w:rFonts w:hint="eastAsia" w:ascii="Times New Roman" w:eastAsia="宋体"/>
                      <w:color w:val="auto"/>
                      <w:sz w:val="21"/>
                      <w:lang w:val="en-US" w:eastAsia="zh-CN"/>
                    </w:rPr>
                  </w:pPr>
                  <w:r>
                    <w:rPr>
                      <w:rFonts w:hint="eastAsia" w:ascii="Times New Roman"/>
                      <w:color w:val="auto"/>
                      <w:sz w:val="21"/>
                      <w:lang w:val="en-US" w:eastAsia="zh-CN"/>
                    </w:rPr>
                    <w:t>Y</w:t>
                  </w:r>
                </w:p>
              </w:tc>
              <w:tc>
                <w:tcPr>
                  <w:tcW w:w="439" w:type="pct"/>
                  <w:tcBorders>
                    <w:tl2br w:val="nil"/>
                    <w:tr2bl w:val="nil"/>
                  </w:tcBorders>
                  <w:vAlign w:val="center"/>
                </w:tcPr>
                <w:p w14:paraId="229ECE35">
                  <w:pPr>
                    <w:pStyle w:val="40"/>
                    <w:jc w:val="center"/>
                    <w:rPr>
                      <w:rFonts w:hint="eastAsia" w:ascii="Times New Roman" w:eastAsia="宋体"/>
                      <w:color w:val="auto"/>
                      <w:sz w:val="21"/>
                      <w:lang w:val="en-US" w:eastAsia="zh-CN"/>
                    </w:rPr>
                  </w:pPr>
                  <w:r>
                    <w:rPr>
                      <w:rFonts w:hint="eastAsia" w:ascii="Times New Roman"/>
                      <w:color w:val="auto"/>
                      <w:sz w:val="21"/>
                      <w:lang w:val="en-US" w:eastAsia="zh-CN"/>
                    </w:rPr>
                    <w:t>Z</w:t>
                  </w:r>
                </w:p>
              </w:tc>
              <w:tc>
                <w:tcPr>
                  <w:tcW w:w="432" w:type="pct"/>
                  <w:vMerge w:val="continue"/>
                  <w:tcBorders>
                    <w:tl2br w:val="nil"/>
                    <w:tr2bl w:val="nil"/>
                  </w:tcBorders>
                  <w:vAlign w:val="center"/>
                </w:tcPr>
                <w:p w14:paraId="4C28941A">
                  <w:pPr>
                    <w:widowControl/>
                    <w:jc w:val="center"/>
                    <w:rPr>
                      <w:color w:val="auto"/>
                      <w:kern w:val="0"/>
                      <w:szCs w:val="21"/>
                    </w:rPr>
                  </w:pPr>
                </w:p>
              </w:tc>
              <w:tc>
                <w:tcPr>
                  <w:tcW w:w="427" w:type="pct"/>
                  <w:vMerge w:val="continue"/>
                  <w:tcBorders>
                    <w:tl2br w:val="nil"/>
                    <w:tr2bl w:val="nil"/>
                  </w:tcBorders>
                  <w:vAlign w:val="center"/>
                </w:tcPr>
                <w:p w14:paraId="2E70850A">
                  <w:pPr>
                    <w:widowControl/>
                    <w:jc w:val="center"/>
                    <w:rPr>
                      <w:color w:val="auto"/>
                      <w:szCs w:val="21"/>
                    </w:rPr>
                  </w:pPr>
                </w:p>
              </w:tc>
              <w:tc>
                <w:tcPr>
                  <w:tcW w:w="799" w:type="pct"/>
                  <w:vMerge w:val="continue"/>
                  <w:tcBorders>
                    <w:tl2br w:val="nil"/>
                    <w:tr2bl w:val="nil"/>
                  </w:tcBorders>
                  <w:vAlign w:val="center"/>
                </w:tcPr>
                <w:p w14:paraId="35B47DE1">
                  <w:pPr>
                    <w:widowControl/>
                    <w:jc w:val="center"/>
                    <w:rPr>
                      <w:rFonts w:hint="default" w:eastAsia="宋体"/>
                      <w:color w:val="auto"/>
                      <w:kern w:val="0"/>
                      <w:szCs w:val="21"/>
                      <w:lang w:val="en-US" w:eastAsia="zh-CN"/>
                    </w:rPr>
                  </w:pPr>
                </w:p>
              </w:tc>
              <w:tc>
                <w:tcPr>
                  <w:tcW w:w="1156" w:type="pct"/>
                  <w:vMerge w:val="continue"/>
                  <w:tcBorders>
                    <w:tl2br w:val="nil"/>
                    <w:tr2bl w:val="nil"/>
                  </w:tcBorders>
                  <w:vAlign w:val="center"/>
                </w:tcPr>
                <w:p w14:paraId="2C62C95E">
                  <w:pPr>
                    <w:widowControl/>
                    <w:jc w:val="center"/>
                    <w:rPr>
                      <w:color w:val="auto"/>
                      <w:szCs w:val="21"/>
                    </w:rPr>
                  </w:pPr>
                </w:p>
              </w:tc>
            </w:tr>
            <w:tr w14:paraId="6A58FC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1" w:type="pct"/>
                  <w:tcBorders>
                    <w:tl2br w:val="nil"/>
                    <w:tr2bl w:val="nil"/>
                  </w:tcBorders>
                  <w:vAlign w:val="center"/>
                </w:tcPr>
                <w:p w14:paraId="0B8621EC">
                  <w:pPr>
                    <w:pStyle w:val="40"/>
                    <w:jc w:val="center"/>
                    <w:rPr>
                      <w:rFonts w:hint="eastAsia" w:ascii="Times New Roman" w:eastAsia="宋体"/>
                      <w:color w:val="auto"/>
                      <w:sz w:val="21"/>
                      <w:lang w:val="en-US" w:eastAsia="zh-CN"/>
                    </w:rPr>
                  </w:pPr>
                  <w:r>
                    <w:rPr>
                      <w:rFonts w:hint="eastAsia" w:ascii="Times New Roman"/>
                      <w:color w:val="auto"/>
                      <w:sz w:val="21"/>
                      <w:lang w:val="en-US" w:eastAsia="zh-CN"/>
                    </w:rPr>
                    <w:t>1</w:t>
                  </w:r>
                </w:p>
              </w:tc>
              <w:tc>
                <w:tcPr>
                  <w:tcW w:w="572" w:type="pct"/>
                  <w:tcBorders>
                    <w:tl2br w:val="nil"/>
                    <w:tr2bl w:val="nil"/>
                  </w:tcBorders>
                  <w:vAlign w:val="center"/>
                </w:tcPr>
                <w:p w14:paraId="1A3F4823">
                  <w:pPr>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新发村</w:t>
                  </w:r>
                </w:p>
              </w:tc>
              <w:tc>
                <w:tcPr>
                  <w:tcW w:w="439" w:type="pct"/>
                  <w:tcBorders>
                    <w:tl2br w:val="nil"/>
                    <w:tr2bl w:val="nil"/>
                  </w:tcBorders>
                  <w:vAlign w:val="center"/>
                </w:tcPr>
                <w:p w14:paraId="565FF761">
                  <w:pPr>
                    <w:jc w:val="center"/>
                    <w:rPr>
                      <w:rFonts w:hint="default" w:eastAsia="宋体"/>
                      <w:color w:val="auto"/>
                      <w:kern w:val="0"/>
                      <w:szCs w:val="21"/>
                      <w:lang w:val="en-US" w:eastAsia="zh-CN"/>
                    </w:rPr>
                  </w:pPr>
                  <w:r>
                    <w:rPr>
                      <w:rFonts w:hint="eastAsia"/>
                      <w:color w:val="auto"/>
                      <w:kern w:val="0"/>
                      <w:szCs w:val="21"/>
                      <w:lang w:val="en-US" w:eastAsia="zh-CN"/>
                    </w:rPr>
                    <w:t>0</w:t>
                  </w:r>
                </w:p>
              </w:tc>
              <w:tc>
                <w:tcPr>
                  <w:tcW w:w="439" w:type="pct"/>
                  <w:tcBorders>
                    <w:tl2br w:val="nil"/>
                    <w:tr2bl w:val="nil"/>
                  </w:tcBorders>
                  <w:vAlign w:val="center"/>
                </w:tcPr>
                <w:p w14:paraId="087CBB81">
                  <w:pPr>
                    <w:jc w:val="center"/>
                    <w:rPr>
                      <w:rFonts w:hint="default" w:eastAsia="宋体"/>
                      <w:color w:val="auto"/>
                      <w:kern w:val="0"/>
                      <w:szCs w:val="21"/>
                      <w:lang w:val="en-US" w:eastAsia="zh-CN"/>
                    </w:rPr>
                  </w:pPr>
                  <w:r>
                    <w:rPr>
                      <w:rFonts w:hint="eastAsia"/>
                      <w:color w:val="auto"/>
                      <w:kern w:val="0"/>
                      <w:szCs w:val="21"/>
                      <w:lang w:val="en-US" w:eastAsia="zh-CN"/>
                    </w:rPr>
                    <w:t>85</w:t>
                  </w:r>
                </w:p>
              </w:tc>
              <w:tc>
                <w:tcPr>
                  <w:tcW w:w="439" w:type="pct"/>
                  <w:tcBorders>
                    <w:tl2br w:val="nil"/>
                    <w:tr2bl w:val="nil"/>
                  </w:tcBorders>
                  <w:vAlign w:val="center"/>
                </w:tcPr>
                <w:p w14:paraId="77113B18">
                  <w:pPr>
                    <w:jc w:val="center"/>
                    <w:rPr>
                      <w:rFonts w:hint="default" w:eastAsia="宋体"/>
                      <w:color w:val="auto"/>
                      <w:szCs w:val="21"/>
                      <w:lang w:val="en-US" w:eastAsia="zh-CN"/>
                    </w:rPr>
                  </w:pPr>
                  <w:r>
                    <w:rPr>
                      <w:rFonts w:hint="eastAsia"/>
                      <w:color w:val="auto"/>
                      <w:szCs w:val="21"/>
                      <w:lang w:val="en-US" w:eastAsia="zh-CN"/>
                    </w:rPr>
                    <w:t>0</w:t>
                  </w:r>
                </w:p>
              </w:tc>
              <w:tc>
                <w:tcPr>
                  <w:tcW w:w="432" w:type="pct"/>
                  <w:tcBorders>
                    <w:tl2br w:val="nil"/>
                    <w:tr2bl w:val="nil"/>
                  </w:tcBorders>
                  <w:vAlign w:val="center"/>
                </w:tcPr>
                <w:p w14:paraId="73024602">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eastAsia="宋体"/>
                      <w:color w:val="auto"/>
                      <w:sz w:val="21"/>
                      <w:lang w:val="en-US" w:eastAsia="zh-CN"/>
                    </w:rPr>
                  </w:pPr>
                  <w:r>
                    <w:rPr>
                      <w:rFonts w:hint="eastAsia" w:ascii="Times New Roman"/>
                      <w:color w:val="auto"/>
                      <w:sz w:val="21"/>
                      <w:lang w:val="en-US" w:eastAsia="zh-CN"/>
                    </w:rPr>
                    <w:t>20</w:t>
                  </w:r>
                </w:p>
              </w:tc>
              <w:tc>
                <w:tcPr>
                  <w:tcW w:w="427" w:type="pct"/>
                  <w:tcBorders>
                    <w:tl2br w:val="nil"/>
                    <w:tr2bl w:val="nil"/>
                  </w:tcBorders>
                  <w:vAlign w:val="center"/>
                </w:tcPr>
                <w:p w14:paraId="401FAC6F">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cs="Times New Roman"/>
                      <w:color w:val="auto"/>
                      <w:kern w:val="0"/>
                      <w:sz w:val="21"/>
                      <w:szCs w:val="21"/>
                      <w:lang w:val="en-US" w:eastAsia="zh-CN" w:bidi="ar-SA"/>
                    </w:rPr>
                    <w:t>N</w:t>
                  </w:r>
                </w:p>
              </w:tc>
              <w:tc>
                <w:tcPr>
                  <w:tcW w:w="799" w:type="pct"/>
                  <w:vMerge w:val="restart"/>
                  <w:tcBorders>
                    <w:tl2br w:val="nil"/>
                    <w:tr2bl w:val="nil"/>
                  </w:tcBorders>
                  <w:vAlign w:val="center"/>
                </w:tcPr>
                <w:p w14:paraId="57E9CA74">
                  <w:pPr>
                    <w:pStyle w:val="40"/>
                    <w:jc w:val="center"/>
                    <w:rPr>
                      <w:rFonts w:ascii="Times New Roman" w:hAnsi="Times New Roman" w:eastAsia="宋体" w:cs="Times New Roman"/>
                      <w:color w:val="auto"/>
                      <w:kern w:val="0"/>
                      <w:sz w:val="21"/>
                      <w:szCs w:val="21"/>
                      <w:lang w:val="en-US" w:eastAsia="zh-CN" w:bidi="ar-SA"/>
                    </w:rPr>
                  </w:pPr>
                  <w:r>
                    <w:rPr>
                      <w:rFonts w:ascii="Times New Roman"/>
                      <w:color w:val="auto"/>
                      <w:sz w:val="21"/>
                    </w:rPr>
                    <w:t>《声环境质量标准》GB3096-2008</w:t>
                  </w:r>
                  <w:r>
                    <w:rPr>
                      <w:rFonts w:hint="eastAsia" w:ascii="Times New Roman"/>
                      <w:color w:val="auto"/>
                      <w:sz w:val="21"/>
                    </w:rPr>
                    <w:t>）</w:t>
                  </w:r>
                  <w:r>
                    <w:rPr>
                      <w:rFonts w:hint="eastAsia" w:ascii="Times New Roman"/>
                      <w:color w:val="auto"/>
                      <w:sz w:val="21"/>
                      <w:lang w:val="en-US" w:eastAsia="zh-CN"/>
                    </w:rPr>
                    <w:t>2</w:t>
                  </w:r>
                  <w:r>
                    <w:rPr>
                      <w:rFonts w:ascii="Times New Roman"/>
                      <w:color w:val="auto"/>
                      <w:sz w:val="21"/>
                    </w:rPr>
                    <w:t>类</w:t>
                  </w:r>
                </w:p>
              </w:tc>
              <w:tc>
                <w:tcPr>
                  <w:tcW w:w="1156" w:type="pct"/>
                  <w:tcBorders>
                    <w:tl2br w:val="nil"/>
                    <w:tr2bl w:val="nil"/>
                  </w:tcBorders>
                  <w:vAlign w:val="center"/>
                </w:tcPr>
                <w:p w14:paraId="53DAB826">
                  <w:pPr>
                    <w:pStyle w:val="40"/>
                    <w:jc w:val="center"/>
                    <w:rPr>
                      <w:rFonts w:hint="default" w:ascii="Times New Roman" w:eastAsia="宋体"/>
                      <w:color w:val="auto"/>
                      <w:sz w:val="21"/>
                      <w:lang w:val="en-US" w:eastAsia="zh-CN"/>
                    </w:rPr>
                  </w:pPr>
                  <w:r>
                    <w:rPr>
                      <w:rFonts w:hint="eastAsia" w:ascii="Times New Roman"/>
                      <w:color w:val="auto"/>
                      <w:sz w:val="21"/>
                      <w:lang w:val="en-US" w:eastAsia="zh-CN"/>
                    </w:rPr>
                    <w:t>混凝土结构，南北朝向</w:t>
                  </w:r>
                </w:p>
              </w:tc>
            </w:tr>
            <w:tr w14:paraId="1BEBD8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1" w:type="pct"/>
                  <w:tcBorders>
                    <w:tl2br w:val="nil"/>
                    <w:tr2bl w:val="nil"/>
                  </w:tcBorders>
                  <w:vAlign w:val="center"/>
                </w:tcPr>
                <w:p w14:paraId="716EFBD5">
                  <w:pPr>
                    <w:pStyle w:val="40"/>
                    <w:jc w:val="center"/>
                    <w:rPr>
                      <w:rFonts w:hint="default" w:ascii="Times New Roman"/>
                      <w:color w:val="auto"/>
                      <w:sz w:val="21"/>
                      <w:lang w:val="en-US" w:eastAsia="zh-CN"/>
                    </w:rPr>
                  </w:pPr>
                  <w:r>
                    <w:rPr>
                      <w:rFonts w:hint="eastAsia" w:ascii="Times New Roman"/>
                      <w:color w:val="auto"/>
                      <w:sz w:val="21"/>
                      <w:lang w:val="en-US" w:eastAsia="zh-CN"/>
                    </w:rPr>
                    <w:t>2</w:t>
                  </w:r>
                </w:p>
              </w:tc>
              <w:tc>
                <w:tcPr>
                  <w:tcW w:w="572" w:type="pct"/>
                  <w:tcBorders>
                    <w:tl2br w:val="nil"/>
                    <w:tr2bl w:val="nil"/>
                  </w:tcBorders>
                  <w:vAlign w:val="center"/>
                </w:tcPr>
                <w:p w14:paraId="03CDCA9C">
                  <w:pPr>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新发村</w:t>
                  </w:r>
                </w:p>
              </w:tc>
              <w:tc>
                <w:tcPr>
                  <w:tcW w:w="439" w:type="pct"/>
                  <w:tcBorders>
                    <w:tl2br w:val="nil"/>
                    <w:tr2bl w:val="nil"/>
                  </w:tcBorders>
                  <w:vAlign w:val="center"/>
                </w:tcPr>
                <w:p w14:paraId="49DFEE00">
                  <w:pPr>
                    <w:jc w:val="center"/>
                    <w:rPr>
                      <w:rFonts w:hint="default"/>
                      <w:color w:val="auto"/>
                      <w:kern w:val="0"/>
                      <w:szCs w:val="21"/>
                      <w:lang w:val="en-US" w:eastAsia="zh-CN"/>
                    </w:rPr>
                  </w:pPr>
                  <w:r>
                    <w:rPr>
                      <w:rFonts w:hint="eastAsia"/>
                      <w:color w:val="auto"/>
                      <w:kern w:val="0"/>
                      <w:szCs w:val="21"/>
                      <w:lang w:val="en-US" w:eastAsia="zh-CN"/>
                    </w:rPr>
                    <w:t>-50</w:t>
                  </w:r>
                </w:p>
              </w:tc>
              <w:tc>
                <w:tcPr>
                  <w:tcW w:w="439" w:type="pct"/>
                  <w:tcBorders>
                    <w:tl2br w:val="nil"/>
                    <w:tr2bl w:val="nil"/>
                  </w:tcBorders>
                  <w:vAlign w:val="center"/>
                </w:tcPr>
                <w:p w14:paraId="4352D2C0">
                  <w:pPr>
                    <w:jc w:val="center"/>
                    <w:rPr>
                      <w:rFonts w:hint="default"/>
                      <w:color w:val="auto"/>
                      <w:kern w:val="0"/>
                      <w:szCs w:val="21"/>
                      <w:lang w:val="en-US" w:eastAsia="zh-CN"/>
                    </w:rPr>
                  </w:pPr>
                  <w:r>
                    <w:rPr>
                      <w:rFonts w:hint="eastAsia"/>
                      <w:color w:val="auto"/>
                      <w:kern w:val="0"/>
                      <w:szCs w:val="21"/>
                      <w:lang w:val="en-US" w:eastAsia="zh-CN"/>
                    </w:rPr>
                    <w:t>0</w:t>
                  </w:r>
                </w:p>
              </w:tc>
              <w:tc>
                <w:tcPr>
                  <w:tcW w:w="439" w:type="pct"/>
                  <w:tcBorders>
                    <w:tl2br w:val="nil"/>
                    <w:tr2bl w:val="nil"/>
                  </w:tcBorders>
                  <w:vAlign w:val="center"/>
                </w:tcPr>
                <w:p w14:paraId="57A34E99">
                  <w:pPr>
                    <w:jc w:val="center"/>
                    <w:rPr>
                      <w:rFonts w:hint="default"/>
                      <w:color w:val="auto"/>
                      <w:szCs w:val="21"/>
                      <w:lang w:val="en-US" w:eastAsia="zh-CN"/>
                    </w:rPr>
                  </w:pPr>
                  <w:r>
                    <w:rPr>
                      <w:rFonts w:hint="eastAsia"/>
                      <w:color w:val="auto"/>
                      <w:szCs w:val="21"/>
                      <w:lang w:val="en-US" w:eastAsia="zh-CN"/>
                    </w:rPr>
                    <w:t>0</w:t>
                  </w:r>
                </w:p>
              </w:tc>
              <w:tc>
                <w:tcPr>
                  <w:tcW w:w="432" w:type="pct"/>
                  <w:tcBorders>
                    <w:tl2br w:val="nil"/>
                    <w:tr2bl w:val="nil"/>
                  </w:tcBorders>
                  <w:vAlign w:val="center"/>
                </w:tcPr>
                <w:p w14:paraId="3CF5F0C7">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cs="Times New Roman"/>
                      <w:color w:val="auto"/>
                      <w:kern w:val="0"/>
                      <w:sz w:val="21"/>
                      <w:szCs w:val="21"/>
                      <w:lang w:val="en-US" w:eastAsia="zh-CN" w:bidi="ar-SA"/>
                    </w:rPr>
                  </w:pPr>
                  <w:r>
                    <w:rPr>
                      <w:rFonts w:hint="eastAsia" w:ascii="Times New Roman" w:cs="Times New Roman"/>
                      <w:color w:val="auto"/>
                      <w:kern w:val="0"/>
                      <w:sz w:val="21"/>
                      <w:szCs w:val="21"/>
                      <w:lang w:val="en-US" w:eastAsia="zh-CN" w:bidi="ar-SA"/>
                    </w:rPr>
                    <w:t>10</w:t>
                  </w:r>
                </w:p>
              </w:tc>
              <w:tc>
                <w:tcPr>
                  <w:tcW w:w="427" w:type="pct"/>
                  <w:tcBorders>
                    <w:tl2br w:val="nil"/>
                    <w:tr2bl w:val="nil"/>
                  </w:tcBorders>
                  <w:vAlign w:val="center"/>
                </w:tcPr>
                <w:p w14:paraId="427FF6E8">
                  <w:pPr>
                    <w:pStyle w:val="40"/>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cs="Times New Roman"/>
                      <w:color w:val="auto"/>
                      <w:kern w:val="0"/>
                      <w:sz w:val="21"/>
                      <w:szCs w:val="21"/>
                      <w:lang w:val="en-US" w:eastAsia="zh-CN" w:bidi="ar-SA"/>
                    </w:rPr>
                  </w:pPr>
                  <w:r>
                    <w:rPr>
                      <w:rFonts w:hint="eastAsia" w:ascii="Times New Roman" w:cs="Times New Roman"/>
                      <w:color w:val="auto"/>
                      <w:kern w:val="0"/>
                      <w:sz w:val="21"/>
                      <w:szCs w:val="21"/>
                      <w:lang w:val="en-US" w:eastAsia="zh-CN" w:bidi="ar-SA"/>
                    </w:rPr>
                    <w:t>W</w:t>
                  </w:r>
                </w:p>
              </w:tc>
              <w:tc>
                <w:tcPr>
                  <w:tcW w:w="799" w:type="pct"/>
                  <w:vMerge w:val="continue"/>
                  <w:tcBorders>
                    <w:tl2br w:val="nil"/>
                    <w:tr2bl w:val="nil"/>
                  </w:tcBorders>
                  <w:vAlign w:val="center"/>
                </w:tcPr>
                <w:p w14:paraId="370C7394">
                  <w:pPr>
                    <w:pStyle w:val="40"/>
                    <w:jc w:val="center"/>
                    <w:rPr>
                      <w:rFonts w:ascii="Times New Roman"/>
                      <w:color w:val="auto"/>
                      <w:sz w:val="21"/>
                    </w:rPr>
                  </w:pPr>
                </w:p>
              </w:tc>
              <w:tc>
                <w:tcPr>
                  <w:tcW w:w="1156" w:type="pct"/>
                  <w:tcBorders>
                    <w:tl2br w:val="nil"/>
                    <w:tr2bl w:val="nil"/>
                  </w:tcBorders>
                  <w:vAlign w:val="center"/>
                </w:tcPr>
                <w:p w14:paraId="0B750EC5">
                  <w:pPr>
                    <w:pStyle w:val="40"/>
                    <w:jc w:val="center"/>
                    <w:rPr>
                      <w:rFonts w:hint="eastAsia" w:ascii="Times New Roman"/>
                      <w:color w:val="auto"/>
                      <w:sz w:val="21"/>
                      <w:lang w:val="en-US" w:eastAsia="zh-CN"/>
                    </w:rPr>
                  </w:pPr>
                  <w:r>
                    <w:rPr>
                      <w:rFonts w:hint="eastAsia" w:ascii="Times New Roman"/>
                      <w:color w:val="auto"/>
                      <w:sz w:val="21"/>
                      <w:lang w:val="en-US" w:eastAsia="zh-CN"/>
                    </w:rPr>
                    <w:t>混凝土结构，南北朝向</w:t>
                  </w:r>
                </w:p>
              </w:tc>
            </w:tr>
          </w:tbl>
          <w:p w14:paraId="2A5E919A">
            <w:pPr>
              <w:pStyle w:val="81"/>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0" w:leftChars="0" w:firstLine="480" w:firstLineChars="200"/>
              <w:textAlignment w:val="auto"/>
              <w:rPr>
                <w:rFonts w:hint="default" w:ascii="Times New Roman" w:hAnsi="Times New Roman" w:eastAsia="宋体" w:cs="Times New Roman"/>
                <w:snapToGrid w:val="0"/>
                <w:color w:val="auto"/>
                <w:kern w:val="2"/>
                <w:sz w:val="24"/>
                <w:szCs w:val="24"/>
                <w:highlight w:val="none"/>
                <w:lang w:val="en-US" w:eastAsia="zh-CN" w:bidi="ar-SA"/>
              </w:rPr>
            </w:pPr>
            <w:r>
              <w:rPr>
                <w:rFonts w:hint="eastAsia" w:ascii="Times New Roman" w:hAnsi="Times New Roman" w:eastAsia="宋体" w:cs="Times New Roman"/>
                <w:snapToGrid w:val="0"/>
                <w:color w:val="auto"/>
                <w:kern w:val="2"/>
                <w:sz w:val="24"/>
                <w:szCs w:val="24"/>
                <w:highlight w:val="none"/>
                <w:lang w:val="en-US" w:eastAsia="zh-CN" w:bidi="ar-SA"/>
              </w:rPr>
              <w:t>3</w:t>
            </w:r>
            <w:r>
              <w:rPr>
                <w:rFonts w:hint="default" w:ascii="Times New Roman" w:hAnsi="Times New Roman" w:eastAsia="宋体" w:cs="Times New Roman"/>
                <w:snapToGrid w:val="0"/>
                <w:color w:val="auto"/>
                <w:kern w:val="2"/>
                <w:sz w:val="24"/>
                <w:szCs w:val="24"/>
                <w:highlight w:val="none"/>
                <w:lang w:val="en-US" w:eastAsia="zh-CN" w:bidi="ar-SA"/>
              </w:rPr>
              <w:t>、地下水环境保护目标</w:t>
            </w:r>
          </w:p>
          <w:p w14:paraId="1A380507">
            <w:pPr>
              <w:pStyle w:val="81"/>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0" w:leftChars="0" w:firstLine="480" w:firstLineChars="200"/>
              <w:textAlignment w:val="auto"/>
              <w:rPr>
                <w:rFonts w:hint="eastAsia" w:ascii="Times New Roman" w:hAnsi="Times New Roman" w:eastAsia="宋体" w:cs="Times New Roman"/>
                <w:snapToGrid w:val="0"/>
                <w:color w:val="auto"/>
                <w:kern w:val="2"/>
                <w:sz w:val="24"/>
                <w:szCs w:val="24"/>
                <w:highlight w:val="none"/>
                <w:lang w:val="en-US" w:eastAsia="zh-CN" w:bidi="ar-SA"/>
              </w:rPr>
            </w:pPr>
            <w:r>
              <w:rPr>
                <w:rFonts w:hint="eastAsia" w:ascii="Times New Roman" w:hAnsi="Times New Roman" w:eastAsia="宋体" w:cs="Times New Roman"/>
                <w:color w:val="auto"/>
                <w:sz w:val="24"/>
                <w:szCs w:val="24"/>
                <w:lang w:val="en-US" w:eastAsia="zh-CN"/>
              </w:rPr>
              <w:t>梁家村和新发村供水水源由市政管网提供，本项目500m范围内无</w:t>
            </w:r>
            <w:r>
              <w:rPr>
                <w:rFonts w:hint="eastAsia" w:ascii="宋体" w:hAnsi="宋体" w:eastAsia="宋体" w:cs="宋体"/>
                <w:color w:val="auto"/>
                <w:sz w:val="24"/>
                <w:szCs w:val="24"/>
                <w:lang w:eastAsia="zh-CN"/>
              </w:rPr>
              <w:t>地下水环境保护目标。</w:t>
            </w:r>
          </w:p>
          <w:p w14:paraId="24D77DE3">
            <w:pPr>
              <w:pStyle w:val="81"/>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0" w:leftChars="0" w:firstLine="480" w:firstLineChars="200"/>
              <w:textAlignment w:val="auto"/>
              <w:rPr>
                <w:rFonts w:hint="default" w:ascii="Times New Roman" w:hAnsi="Times New Roman" w:eastAsia="宋体" w:cs="Times New Roman"/>
                <w:snapToGrid w:val="0"/>
                <w:color w:val="auto"/>
                <w:kern w:val="2"/>
                <w:sz w:val="24"/>
                <w:szCs w:val="24"/>
                <w:highlight w:val="none"/>
                <w:lang w:val="en-US" w:eastAsia="zh-CN" w:bidi="ar-SA"/>
              </w:rPr>
            </w:pPr>
            <w:r>
              <w:rPr>
                <w:rFonts w:hint="eastAsia" w:ascii="Times New Roman" w:hAnsi="Times New Roman" w:eastAsia="宋体" w:cs="Times New Roman"/>
                <w:snapToGrid w:val="0"/>
                <w:color w:val="auto"/>
                <w:kern w:val="2"/>
                <w:sz w:val="24"/>
                <w:szCs w:val="24"/>
                <w:highlight w:val="none"/>
                <w:lang w:val="en-US" w:eastAsia="zh-CN" w:bidi="ar-SA"/>
              </w:rPr>
              <w:t>4</w:t>
            </w:r>
            <w:r>
              <w:rPr>
                <w:rFonts w:hint="default" w:ascii="Times New Roman" w:hAnsi="Times New Roman" w:eastAsia="宋体" w:cs="Times New Roman"/>
                <w:snapToGrid w:val="0"/>
                <w:color w:val="auto"/>
                <w:kern w:val="2"/>
                <w:sz w:val="24"/>
                <w:szCs w:val="24"/>
                <w:highlight w:val="none"/>
                <w:lang w:val="en-US" w:eastAsia="zh-CN" w:bidi="ar-SA"/>
              </w:rPr>
              <w:t>、生态环境保护目标</w:t>
            </w:r>
          </w:p>
          <w:p w14:paraId="411CC053">
            <w:pPr>
              <w:pStyle w:val="81"/>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0" w:leftChars="0" w:firstLine="480" w:firstLineChars="200"/>
              <w:textAlignment w:val="auto"/>
              <w:rPr>
                <w:rFonts w:ascii="Times New Roman" w:hAnsi="Times New Roman" w:eastAsia="宋体" w:cs="Times New Roman"/>
                <w:color w:val="auto"/>
              </w:rPr>
            </w:pPr>
            <w:r>
              <w:rPr>
                <w:rFonts w:hint="default" w:ascii="Times New Roman" w:hAnsi="Times New Roman" w:eastAsia="宋体" w:cs="Times New Roman"/>
                <w:snapToGrid w:val="0"/>
                <w:color w:val="auto"/>
                <w:kern w:val="2"/>
                <w:sz w:val="24"/>
                <w:szCs w:val="24"/>
                <w:highlight w:val="none"/>
                <w:lang w:val="en-US" w:eastAsia="zh-CN" w:bidi="ar-SA"/>
              </w:rPr>
              <w:t>本项目占地范围内无特殊生态敏感区及重要生态敏感区等生态环境保护目标。</w:t>
            </w:r>
          </w:p>
        </w:tc>
      </w:tr>
      <w:tr w14:paraId="43617C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445" w:type="pct"/>
            <w:vAlign w:val="center"/>
          </w:tcPr>
          <w:p w14:paraId="3F001438">
            <w:pPr>
              <w:adjustRightInd w:val="0"/>
              <w:snapToGrid w:val="0"/>
              <w:jc w:val="center"/>
              <w:rPr>
                <w:b/>
                <w:bCs/>
                <w:color w:val="auto"/>
                <w:kern w:val="0"/>
                <w:szCs w:val="21"/>
              </w:rPr>
            </w:pPr>
            <w:r>
              <w:rPr>
                <w:rFonts w:hint="default" w:ascii="Times New Roman" w:hAnsi="Times New Roman" w:eastAsia="宋体" w:cs="Times New Roman"/>
                <w:b/>
                <w:bCs/>
                <w:color w:val="auto"/>
                <w:kern w:val="0"/>
                <w:szCs w:val="21"/>
              </w:rPr>
              <w:t>污染物排放控制标准</w:t>
            </w:r>
          </w:p>
        </w:tc>
        <w:tc>
          <w:tcPr>
            <w:tcW w:w="4554" w:type="pct"/>
            <w:vAlign w:val="center"/>
          </w:tcPr>
          <w:p w14:paraId="21D693DF">
            <w:pPr>
              <w:keepLines w:val="0"/>
              <w:pageBreakBefore w:val="0"/>
              <w:numPr>
                <w:ilvl w:val="0"/>
                <w:numId w:val="0"/>
              </w:numPr>
              <w:topLinePunct w:val="0"/>
              <w:bidi w:val="0"/>
              <w:spacing w:beforeAutospacing="0" w:afterAutospacing="0" w:line="360" w:lineRule="auto"/>
              <w:ind w:leftChars="200" w:right="0" w:rightChars="0"/>
              <w:rPr>
                <w:rFonts w:hint="default" w:ascii="Times New Roman" w:hAnsi="Times New Roman" w:cs="Times New Roman" w:eastAsiaTheme="minorEastAsia"/>
                <w:b w:val="0"/>
                <w:bCs w:val="0"/>
                <w:color w:val="auto"/>
                <w:sz w:val="24"/>
                <w:lang w:val="en-US" w:eastAsia="zh-CN"/>
              </w:rPr>
            </w:pPr>
            <w:r>
              <w:rPr>
                <w:rFonts w:hint="eastAsia" w:ascii="Times New Roman" w:hAnsi="Times New Roman" w:cs="Times New Roman" w:eastAsiaTheme="minorEastAsia"/>
                <w:b w:val="0"/>
                <w:bCs w:val="0"/>
                <w:color w:val="auto"/>
                <w:sz w:val="24"/>
                <w:lang w:val="en-US" w:eastAsia="zh-CN"/>
              </w:rPr>
              <w:t>1、</w:t>
            </w:r>
            <w:r>
              <w:rPr>
                <w:rFonts w:hint="default" w:ascii="Times New Roman" w:hAnsi="Times New Roman" w:cs="Times New Roman" w:eastAsiaTheme="minorEastAsia"/>
                <w:b w:val="0"/>
                <w:bCs w:val="0"/>
                <w:color w:val="auto"/>
                <w:sz w:val="24"/>
                <w:lang w:val="en-US" w:eastAsia="zh-CN"/>
              </w:rPr>
              <w:t>废气排放标准</w:t>
            </w:r>
          </w:p>
          <w:p w14:paraId="1CA4CD8E">
            <w:pPr>
              <w:spacing w:line="360" w:lineRule="auto"/>
              <w:ind w:firstLine="480" w:firstLineChars="200"/>
              <w:rPr>
                <w:bCs/>
                <w:color w:val="auto"/>
                <w:sz w:val="24"/>
              </w:rPr>
            </w:pPr>
            <w:bookmarkStart w:id="20" w:name="_Toc17923"/>
            <w:bookmarkStart w:id="21" w:name="_Toc27943530"/>
            <w:bookmarkStart w:id="22" w:name="_Toc10181"/>
            <w:bookmarkStart w:id="23" w:name="_Toc6193"/>
            <w:bookmarkStart w:id="24" w:name="_Toc513990587"/>
            <w:r>
              <w:rPr>
                <w:rFonts w:hint="eastAsia"/>
                <w:bCs/>
                <w:color w:val="auto"/>
                <w:sz w:val="24"/>
              </w:rPr>
              <w:t>本项目施工期颗粒物执行《大气污染物综合排放标准》（GB16297-1996）表2中无组织排放监控浓度限值</w:t>
            </w:r>
            <w:r>
              <w:rPr>
                <w:rFonts w:hint="eastAsia"/>
                <w:color w:val="auto"/>
                <w:sz w:val="24"/>
              </w:rPr>
              <w:t>要求。</w:t>
            </w:r>
          </w:p>
          <w:p w14:paraId="4C1FB2F8">
            <w:pPr>
              <w:spacing w:line="360" w:lineRule="auto"/>
              <w:ind w:firstLine="480" w:firstLineChars="200"/>
              <w:rPr>
                <w:color w:val="auto"/>
                <w:sz w:val="24"/>
              </w:rPr>
            </w:pPr>
            <w:r>
              <w:rPr>
                <w:rFonts w:hint="eastAsia"/>
                <w:bCs/>
                <w:color w:val="auto"/>
                <w:sz w:val="24"/>
              </w:rPr>
              <w:t>本项目运营期有组织颗粒物、非甲烷总烃排放执行《大气污染物综合排放标准》（GB16297-1996）表2中二级标准排放标准限值</w:t>
            </w:r>
            <w:r>
              <w:rPr>
                <w:rFonts w:hint="eastAsia"/>
                <w:color w:val="auto"/>
                <w:sz w:val="24"/>
              </w:rPr>
              <w:t>要求</w:t>
            </w:r>
            <w:r>
              <w:rPr>
                <w:rFonts w:hint="eastAsia"/>
                <w:bCs/>
                <w:color w:val="auto"/>
                <w:sz w:val="24"/>
              </w:rPr>
              <w:t>；厂界无组织颗粒物和非甲烷总烃执行《大气污染物综合排放标准》（GB16297-1996）中表2无组织排放监控浓度限值；</w:t>
            </w:r>
            <w:r>
              <w:rPr>
                <w:rFonts w:hint="eastAsia"/>
                <w:color w:val="auto"/>
                <w:kern w:val="0"/>
                <w:sz w:val="24"/>
              </w:rPr>
              <w:t>厂房外无组织非甲烷总烃排放执行《挥发性有机物无组织排放控制标准》（GB 37822—2019）标准中无组织排放监控浓度限值。</w:t>
            </w:r>
            <w:r>
              <w:rPr>
                <w:rFonts w:hint="eastAsia" w:cs="Times New Roman"/>
                <w:color w:val="auto"/>
                <w:kern w:val="0"/>
                <w:sz w:val="24"/>
                <w:szCs w:val="24"/>
                <w:lang w:val="en-US" w:eastAsia="zh-CN"/>
              </w:rPr>
              <w:t>燃生物质</w:t>
            </w:r>
            <w:r>
              <w:rPr>
                <w:rFonts w:hint="eastAsia" w:ascii="Times New Roman" w:hAnsi="Times New Roman" w:eastAsia="宋体" w:cs="Times New Roman"/>
                <w:color w:val="auto"/>
                <w:kern w:val="0"/>
                <w:sz w:val="24"/>
                <w:szCs w:val="24"/>
                <w:lang w:eastAsia="zh-CN"/>
              </w:rPr>
              <w:t>锅炉产生SO</w:t>
            </w:r>
            <w:r>
              <w:rPr>
                <w:rFonts w:hint="eastAsia" w:ascii="Times New Roman" w:hAnsi="Times New Roman" w:eastAsia="宋体" w:cs="Times New Roman"/>
                <w:color w:val="auto"/>
                <w:kern w:val="0"/>
                <w:sz w:val="24"/>
                <w:szCs w:val="24"/>
                <w:vertAlign w:val="subscript"/>
                <w:lang w:eastAsia="zh-CN"/>
              </w:rPr>
              <w:t>2</w:t>
            </w:r>
            <w:r>
              <w:rPr>
                <w:rFonts w:hint="eastAsia" w:ascii="Times New Roman" w:hAnsi="Times New Roman" w:eastAsia="宋体" w:cs="Times New Roman"/>
                <w:color w:val="auto"/>
                <w:kern w:val="0"/>
                <w:sz w:val="24"/>
                <w:szCs w:val="24"/>
                <w:lang w:eastAsia="zh-CN"/>
              </w:rPr>
              <w:t>、NOx、颗粒物排放执行《锅炉大气污染物排放标准》（GB13271-2014）表</w:t>
            </w:r>
            <w:r>
              <w:rPr>
                <w:rFonts w:hint="eastAsia" w:ascii="Times New Roman" w:hAnsi="Times New Roman" w:eastAsia="宋体" w:cs="Times New Roman"/>
                <w:color w:val="auto"/>
                <w:kern w:val="0"/>
                <w:sz w:val="24"/>
                <w:szCs w:val="24"/>
                <w:lang w:val="en-US" w:eastAsia="zh-CN"/>
              </w:rPr>
              <w:t>2</w:t>
            </w:r>
            <w:r>
              <w:rPr>
                <w:rFonts w:hint="eastAsia" w:ascii="Times New Roman" w:hAnsi="Times New Roman" w:eastAsia="宋体" w:cs="Times New Roman"/>
                <w:color w:val="auto"/>
                <w:kern w:val="0"/>
                <w:sz w:val="24"/>
                <w:szCs w:val="24"/>
                <w:lang w:eastAsia="zh-CN"/>
              </w:rPr>
              <w:t>中燃煤锅炉大气污染物排放限值标准要求</w:t>
            </w:r>
            <w:r>
              <w:rPr>
                <w:rFonts w:hint="eastAsia" w:cs="Times New Roman"/>
                <w:color w:val="auto"/>
                <w:kern w:val="0"/>
                <w:sz w:val="24"/>
                <w:szCs w:val="24"/>
                <w:lang w:eastAsia="zh-CN"/>
              </w:rPr>
              <w:t>。</w:t>
            </w:r>
            <w:r>
              <w:rPr>
                <w:rFonts w:hint="eastAsia"/>
                <w:bCs/>
                <w:color w:val="auto"/>
                <w:sz w:val="24"/>
              </w:rPr>
              <w:t>具体见表3-</w:t>
            </w:r>
            <w:r>
              <w:rPr>
                <w:rFonts w:hint="eastAsia"/>
                <w:bCs/>
                <w:color w:val="auto"/>
                <w:sz w:val="24"/>
                <w:lang w:val="en-US" w:eastAsia="zh-CN"/>
              </w:rPr>
              <w:t>8</w:t>
            </w:r>
            <w:r>
              <w:rPr>
                <w:rFonts w:hint="eastAsia"/>
                <w:bCs/>
                <w:color w:val="auto"/>
                <w:sz w:val="24"/>
              </w:rPr>
              <w:t>、表3-</w:t>
            </w:r>
            <w:r>
              <w:rPr>
                <w:rFonts w:hint="eastAsia"/>
                <w:bCs/>
                <w:color w:val="auto"/>
                <w:sz w:val="24"/>
                <w:lang w:val="en-US" w:eastAsia="zh-CN"/>
              </w:rPr>
              <w:t>9、表3-10、表3-11</w:t>
            </w:r>
            <w:r>
              <w:rPr>
                <w:bCs/>
                <w:color w:val="auto"/>
                <w:sz w:val="24"/>
              </w:rPr>
              <w:t>。</w:t>
            </w:r>
          </w:p>
          <w:p w14:paraId="6E38EC90">
            <w:pPr>
              <w:pStyle w:val="112"/>
              <w:rPr>
                <w:rFonts w:ascii="Times New Roman"/>
                <w:bCs/>
                <w:color w:val="auto"/>
                <w:kern w:val="2"/>
                <w:sz w:val="21"/>
                <w:szCs w:val="21"/>
              </w:rPr>
            </w:pPr>
            <w:r>
              <w:rPr>
                <w:rFonts w:ascii="Times New Roman"/>
                <w:bCs/>
                <w:color w:val="auto"/>
                <w:kern w:val="2"/>
                <w:sz w:val="21"/>
                <w:szCs w:val="21"/>
              </w:rPr>
              <w:t>表3-</w:t>
            </w:r>
            <w:r>
              <w:rPr>
                <w:rFonts w:hint="eastAsia" w:ascii="Times New Roman"/>
                <w:bCs/>
                <w:color w:val="auto"/>
                <w:kern w:val="2"/>
                <w:sz w:val="21"/>
                <w:szCs w:val="21"/>
                <w:lang w:val="en-US" w:eastAsia="zh-CN"/>
              </w:rPr>
              <w:t>8</w:t>
            </w:r>
            <w:r>
              <w:rPr>
                <w:rFonts w:ascii="Times New Roman"/>
                <w:bCs/>
                <w:color w:val="auto"/>
                <w:kern w:val="2"/>
                <w:sz w:val="21"/>
                <w:szCs w:val="21"/>
              </w:rPr>
              <w:t xml:space="preserve">  </w:t>
            </w:r>
            <w:r>
              <w:rPr>
                <w:rFonts w:hint="eastAsia" w:ascii="Times New Roman"/>
                <w:bCs/>
                <w:color w:val="auto"/>
                <w:kern w:val="2"/>
                <w:sz w:val="21"/>
                <w:szCs w:val="21"/>
              </w:rPr>
              <w:t>大气污染物综合</w:t>
            </w:r>
            <w:r>
              <w:rPr>
                <w:rFonts w:ascii="Times New Roman"/>
                <w:bCs/>
                <w:color w:val="auto"/>
                <w:kern w:val="2"/>
                <w:sz w:val="21"/>
                <w:szCs w:val="21"/>
              </w:rPr>
              <w:t>排放标准</w:t>
            </w:r>
          </w:p>
          <w:tbl>
            <w:tblPr>
              <w:tblStyle w:val="3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229"/>
              <w:gridCol w:w="1405"/>
              <w:gridCol w:w="801"/>
              <w:gridCol w:w="1196"/>
              <w:gridCol w:w="1405"/>
            </w:tblGrid>
            <w:tr w14:paraId="0C0A4D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125" w:type="pct"/>
                  <w:gridSpan w:val="4"/>
                  <w:vAlign w:val="center"/>
                </w:tcPr>
                <w:p w14:paraId="2F73445A">
                  <w:pPr>
                    <w:jc w:val="center"/>
                    <w:rPr>
                      <w:b/>
                      <w:bCs/>
                      <w:color w:val="auto"/>
                      <w:szCs w:val="21"/>
                    </w:rPr>
                  </w:pPr>
                  <w:r>
                    <w:rPr>
                      <w:rFonts w:hint="eastAsia"/>
                      <w:color w:val="auto"/>
                    </w:rPr>
                    <w:t>二级</w:t>
                  </w:r>
                </w:p>
              </w:tc>
              <w:tc>
                <w:tcPr>
                  <w:tcW w:w="874" w:type="pct"/>
                  <w:vMerge w:val="restart"/>
                  <w:vAlign w:val="center"/>
                </w:tcPr>
                <w:p w14:paraId="60B3FA58">
                  <w:pPr>
                    <w:jc w:val="center"/>
                    <w:rPr>
                      <w:b/>
                      <w:bCs/>
                      <w:color w:val="auto"/>
                      <w:szCs w:val="21"/>
                    </w:rPr>
                  </w:pPr>
                  <w:r>
                    <w:rPr>
                      <w:color w:val="auto"/>
                    </w:rPr>
                    <w:t>无组织排放监控浓度限值（mg/m</w:t>
                  </w:r>
                  <w:r>
                    <w:rPr>
                      <w:color w:val="auto"/>
                      <w:vertAlign w:val="superscript"/>
                    </w:rPr>
                    <w:t>3</w:t>
                  </w:r>
                  <w:r>
                    <w:rPr>
                      <w:color w:val="auto"/>
                    </w:rPr>
                    <w:t>）</w:t>
                  </w:r>
                </w:p>
              </w:tc>
            </w:tr>
            <w:tr w14:paraId="724C00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4" w:hRule="atLeast"/>
                <w:jc w:val="center"/>
              </w:trPr>
              <w:tc>
                <w:tcPr>
                  <w:tcW w:w="2009" w:type="pct"/>
                  <w:tcBorders>
                    <w:tl2br w:val="single" w:color="auto" w:sz="4" w:space="0"/>
                  </w:tcBorders>
                  <w:vAlign w:val="center"/>
                </w:tcPr>
                <w:p w14:paraId="32A9B0F8">
                  <w:pPr>
                    <w:jc w:val="right"/>
                    <w:rPr>
                      <w:color w:val="auto"/>
                    </w:rPr>
                  </w:pPr>
                  <w:r>
                    <w:rPr>
                      <w:rFonts w:hint="eastAsia"/>
                      <w:color w:val="auto"/>
                    </w:rPr>
                    <w:t>指标</w:t>
                  </w:r>
                </w:p>
                <w:p w14:paraId="441D73F8">
                  <w:pPr>
                    <w:pStyle w:val="12"/>
                    <w:jc w:val="left"/>
                    <w:rPr>
                      <w:color w:val="auto"/>
                    </w:rPr>
                  </w:pPr>
                  <w:r>
                    <w:rPr>
                      <w:rFonts w:hint="eastAsia" w:eastAsia="宋体"/>
                      <w:color w:val="auto"/>
                      <w:sz w:val="21"/>
                    </w:rPr>
                    <w:t>污染物</w:t>
                  </w:r>
                </w:p>
              </w:tc>
              <w:tc>
                <w:tcPr>
                  <w:tcW w:w="874" w:type="pct"/>
                  <w:vAlign w:val="center"/>
                </w:tcPr>
                <w:p w14:paraId="55575000">
                  <w:pPr>
                    <w:jc w:val="center"/>
                    <w:rPr>
                      <w:color w:val="auto"/>
                      <w:szCs w:val="21"/>
                    </w:rPr>
                  </w:pPr>
                  <w:r>
                    <w:rPr>
                      <w:color w:val="auto"/>
                    </w:rPr>
                    <w:t>排放浓度（mg/m</w:t>
                  </w:r>
                  <w:r>
                    <w:rPr>
                      <w:color w:val="auto"/>
                      <w:vertAlign w:val="superscript"/>
                    </w:rPr>
                    <w:t>3</w:t>
                  </w:r>
                  <w:r>
                    <w:rPr>
                      <w:color w:val="auto"/>
                    </w:rPr>
                    <w:t>）</w:t>
                  </w:r>
                </w:p>
              </w:tc>
              <w:tc>
                <w:tcPr>
                  <w:tcW w:w="498" w:type="pct"/>
                  <w:vAlign w:val="center"/>
                </w:tcPr>
                <w:p w14:paraId="5ED941B7">
                  <w:pPr>
                    <w:jc w:val="center"/>
                    <w:rPr>
                      <w:color w:val="auto"/>
                    </w:rPr>
                  </w:pPr>
                  <w:r>
                    <w:rPr>
                      <w:rFonts w:hint="eastAsia"/>
                      <w:color w:val="auto"/>
                    </w:rPr>
                    <w:t>排气筒高度</w:t>
                  </w:r>
                </w:p>
              </w:tc>
              <w:tc>
                <w:tcPr>
                  <w:tcW w:w="744" w:type="pct"/>
                  <w:vAlign w:val="center"/>
                </w:tcPr>
                <w:p w14:paraId="74A5A659">
                  <w:pPr>
                    <w:jc w:val="center"/>
                    <w:rPr>
                      <w:color w:val="auto"/>
                      <w:szCs w:val="21"/>
                    </w:rPr>
                  </w:pPr>
                  <w:r>
                    <w:rPr>
                      <w:color w:val="auto"/>
                    </w:rPr>
                    <w:t>排放速率（kg/h）</w:t>
                  </w:r>
                </w:p>
              </w:tc>
              <w:tc>
                <w:tcPr>
                  <w:tcW w:w="874" w:type="pct"/>
                  <w:vMerge w:val="continue"/>
                  <w:vAlign w:val="center"/>
                </w:tcPr>
                <w:p w14:paraId="59BA69AE">
                  <w:pPr>
                    <w:jc w:val="center"/>
                    <w:rPr>
                      <w:color w:val="auto"/>
                      <w:szCs w:val="21"/>
                    </w:rPr>
                  </w:pPr>
                </w:p>
              </w:tc>
            </w:tr>
            <w:tr w14:paraId="265456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4" w:hRule="atLeast"/>
                <w:jc w:val="center"/>
              </w:trPr>
              <w:tc>
                <w:tcPr>
                  <w:tcW w:w="2009" w:type="pct"/>
                  <w:vAlign w:val="center"/>
                </w:tcPr>
                <w:p w14:paraId="106A6556">
                  <w:pPr>
                    <w:jc w:val="center"/>
                    <w:rPr>
                      <w:color w:val="auto"/>
                      <w:kern w:val="0"/>
                    </w:rPr>
                  </w:pPr>
                  <w:r>
                    <w:rPr>
                      <w:color w:val="auto"/>
                      <w:kern w:val="0"/>
                    </w:rPr>
                    <w:t>颗粒物</w:t>
                  </w:r>
                </w:p>
              </w:tc>
              <w:tc>
                <w:tcPr>
                  <w:tcW w:w="874" w:type="pct"/>
                  <w:vAlign w:val="center"/>
                </w:tcPr>
                <w:p w14:paraId="22E8D78B">
                  <w:pPr>
                    <w:jc w:val="center"/>
                    <w:rPr>
                      <w:color w:val="auto"/>
                      <w:szCs w:val="21"/>
                    </w:rPr>
                  </w:pPr>
                  <w:r>
                    <w:rPr>
                      <w:color w:val="auto"/>
                    </w:rPr>
                    <w:t>120</w:t>
                  </w:r>
                </w:p>
              </w:tc>
              <w:tc>
                <w:tcPr>
                  <w:tcW w:w="498" w:type="pct"/>
                  <w:vAlign w:val="center"/>
                </w:tcPr>
                <w:p w14:paraId="68230971">
                  <w:pPr>
                    <w:jc w:val="center"/>
                    <w:rPr>
                      <w:color w:val="auto"/>
                    </w:rPr>
                  </w:pPr>
                  <w:r>
                    <w:rPr>
                      <w:rFonts w:hint="eastAsia"/>
                      <w:color w:val="auto"/>
                    </w:rPr>
                    <w:t>15</w:t>
                  </w:r>
                </w:p>
              </w:tc>
              <w:tc>
                <w:tcPr>
                  <w:tcW w:w="744" w:type="pct"/>
                  <w:vAlign w:val="center"/>
                </w:tcPr>
                <w:p w14:paraId="5E102333">
                  <w:pPr>
                    <w:jc w:val="center"/>
                    <w:rPr>
                      <w:rFonts w:hint="default" w:eastAsia="宋体"/>
                      <w:color w:val="auto"/>
                      <w:szCs w:val="21"/>
                      <w:lang w:val="en-US" w:eastAsia="zh-CN"/>
                    </w:rPr>
                  </w:pPr>
                  <w:r>
                    <w:rPr>
                      <w:rFonts w:hint="eastAsia"/>
                      <w:color w:val="auto"/>
                      <w:szCs w:val="21"/>
                      <w:lang w:val="en-US" w:eastAsia="zh-CN"/>
                    </w:rPr>
                    <w:t>1.75</w:t>
                  </w:r>
                </w:p>
              </w:tc>
              <w:tc>
                <w:tcPr>
                  <w:tcW w:w="874" w:type="pct"/>
                  <w:vAlign w:val="center"/>
                </w:tcPr>
                <w:p w14:paraId="0E1D173C">
                  <w:pPr>
                    <w:jc w:val="center"/>
                    <w:rPr>
                      <w:color w:val="auto"/>
                      <w:szCs w:val="21"/>
                    </w:rPr>
                  </w:pPr>
                  <w:r>
                    <w:rPr>
                      <w:color w:val="auto"/>
                    </w:rPr>
                    <w:t>1.0</w:t>
                  </w:r>
                </w:p>
              </w:tc>
            </w:tr>
            <w:tr w14:paraId="7C5933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2009" w:type="pct"/>
                  <w:vAlign w:val="center"/>
                </w:tcPr>
                <w:p w14:paraId="318C87F6">
                  <w:pPr>
                    <w:jc w:val="center"/>
                    <w:rPr>
                      <w:color w:val="auto"/>
                      <w:szCs w:val="21"/>
                    </w:rPr>
                  </w:pPr>
                  <w:r>
                    <w:rPr>
                      <w:snapToGrid w:val="0"/>
                      <w:color w:val="auto"/>
                      <w:szCs w:val="21"/>
                    </w:rPr>
                    <w:t>NMHC</w:t>
                  </w:r>
                </w:p>
              </w:tc>
              <w:tc>
                <w:tcPr>
                  <w:tcW w:w="874" w:type="pct"/>
                  <w:vAlign w:val="center"/>
                </w:tcPr>
                <w:p w14:paraId="4B03D2CC">
                  <w:pPr>
                    <w:jc w:val="center"/>
                    <w:rPr>
                      <w:color w:val="auto"/>
                      <w:szCs w:val="21"/>
                    </w:rPr>
                  </w:pPr>
                  <w:r>
                    <w:rPr>
                      <w:color w:val="auto"/>
                    </w:rPr>
                    <w:t>120</w:t>
                  </w:r>
                </w:p>
              </w:tc>
              <w:tc>
                <w:tcPr>
                  <w:tcW w:w="498" w:type="pct"/>
                  <w:vAlign w:val="center"/>
                </w:tcPr>
                <w:p w14:paraId="3861D926">
                  <w:pPr>
                    <w:jc w:val="center"/>
                    <w:rPr>
                      <w:color w:val="auto"/>
                    </w:rPr>
                  </w:pPr>
                  <w:r>
                    <w:rPr>
                      <w:rFonts w:hint="eastAsia"/>
                      <w:color w:val="auto"/>
                    </w:rPr>
                    <w:t>15</w:t>
                  </w:r>
                </w:p>
              </w:tc>
              <w:tc>
                <w:tcPr>
                  <w:tcW w:w="744" w:type="pct"/>
                  <w:vAlign w:val="center"/>
                </w:tcPr>
                <w:p w14:paraId="360A891F">
                  <w:pPr>
                    <w:jc w:val="center"/>
                    <w:rPr>
                      <w:rFonts w:hint="eastAsia" w:eastAsia="宋体"/>
                      <w:color w:val="auto"/>
                      <w:szCs w:val="21"/>
                      <w:lang w:eastAsia="zh-CN"/>
                    </w:rPr>
                  </w:pPr>
                  <w:r>
                    <w:rPr>
                      <w:rFonts w:hint="eastAsia"/>
                      <w:color w:val="auto"/>
                      <w:szCs w:val="21"/>
                      <w:lang w:val="en-US" w:eastAsia="zh-CN"/>
                    </w:rPr>
                    <w:t>5</w:t>
                  </w:r>
                </w:p>
              </w:tc>
              <w:tc>
                <w:tcPr>
                  <w:tcW w:w="874" w:type="pct"/>
                  <w:vAlign w:val="center"/>
                </w:tcPr>
                <w:p w14:paraId="5CCFEC4D">
                  <w:pPr>
                    <w:jc w:val="center"/>
                    <w:rPr>
                      <w:color w:val="auto"/>
                      <w:szCs w:val="21"/>
                    </w:rPr>
                  </w:pPr>
                  <w:r>
                    <w:rPr>
                      <w:color w:val="auto"/>
                    </w:rPr>
                    <w:t>4.0</w:t>
                  </w:r>
                </w:p>
              </w:tc>
            </w:tr>
          </w:tbl>
          <w:p w14:paraId="44FCD00E">
            <w:pPr>
              <w:pStyle w:val="112"/>
              <w:rPr>
                <w:rFonts w:ascii="Times New Roman"/>
                <w:bCs/>
                <w:color w:val="auto"/>
                <w:kern w:val="2"/>
                <w:sz w:val="21"/>
                <w:szCs w:val="21"/>
              </w:rPr>
            </w:pPr>
            <w:r>
              <w:rPr>
                <w:rFonts w:ascii="Times New Roman"/>
                <w:bCs/>
                <w:color w:val="auto"/>
                <w:kern w:val="2"/>
                <w:sz w:val="21"/>
                <w:szCs w:val="21"/>
              </w:rPr>
              <w:t>表3-</w:t>
            </w:r>
            <w:r>
              <w:rPr>
                <w:rFonts w:hint="eastAsia" w:ascii="Times New Roman"/>
                <w:bCs/>
                <w:color w:val="auto"/>
                <w:kern w:val="2"/>
                <w:sz w:val="21"/>
                <w:szCs w:val="21"/>
                <w:lang w:val="en-US" w:eastAsia="zh-CN"/>
              </w:rPr>
              <w:t>9</w:t>
            </w:r>
            <w:r>
              <w:rPr>
                <w:rFonts w:ascii="Times New Roman"/>
                <w:bCs/>
                <w:color w:val="auto"/>
                <w:kern w:val="2"/>
                <w:sz w:val="21"/>
                <w:szCs w:val="21"/>
              </w:rPr>
              <w:t xml:space="preserve">  挥发性有机物无组织排放控制标准</w:t>
            </w:r>
            <w:r>
              <w:rPr>
                <w:rFonts w:hint="eastAsia" w:ascii="Times New Roman"/>
                <w:bCs/>
                <w:color w:val="auto"/>
                <w:kern w:val="2"/>
                <w:sz w:val="21"/>
                <w:szCs w:val="21"/>
              </w:rPr>
              <w:t xml:space="preserve"> </w:t>
            </w:r>
            <w:r>
              <w:rPr>
                <w:rFonts w:hint="eastAsia" w:ascii="Times New Roman"/>
                <w:b w:val="0"/>
                <w:bCs/>
                <w:snapToGrid w:val="0"/>
                <w:color w:val="auto"/>
                <w:sz w:val="21"/>
                <w:szCs w:val="21"/>
              </w:rPr>
              <w:t xml:space="preserve">  </w:t>
            </w:r>
            <w:r>
              <w:rPr>
                <w:rFonts w:ascii="Times New Roman"/>
                <w:bCs/>
                <w:color w:val="auto"/>
                <w:kern w:val="2"/>
                <w:sz w:val="21"/>
                <w:szCs w:val="21"/>
              </w:rPr>
              <w:t>单位：mg/m</w:t>
            </w:r>
            <w:r>
              <w:rPr>
                <w:rFonts w:ascii="Times New Roman"/>
                <w:bCs/>
                <w:color w:val="auto"/>
                <w:kern w:val="2"/>
                <w:sz w:val="21"/>
                <w:szCs w:val="21"/>
                <w:vertAlign w:val="superscript"/>
              </w:rPr>
              <w:t>3</w:t>
            </w:r>
          </w:p>
          <w:tbl>
            <w:tblPr>
              <w:tblStyle w:val="31"/>
              <w:tblW w:w="815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50"/>
              <w:gridCol w:w="1065"/>
              <w:gridCol w:w="3285"/>
              <w:gridCol w:w="2258"/>
            </w:tblGrid>
            <w:tr w14:paraId="0C05A1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7" w:hRule="atLeast"/>
                <w:jc w:val="center"/>
              </w:trPr>
              <w:tc>
                <w:tcPr>
                  <w:tcW w:w="1550" w:type="dxa"/>
                  <w:tcBorders>
                    <w:tl2br w:val="nil"/>
                    <w:tr2bl w:val="nil"/>
                  </w:tcBorders>
                  <w:vAlign w:val="center"/>
                </w:tcPr>
                <w:p w14:paraId="3E9ACD33">
                  <w:pPr>
                    <w:adjustRightInd w:val="0"/>
                    <w:snapToGrid w:val="0"/>
                    <w:jc w:val="center"/>
                    <w:rPr>
                      <w:bCs/>
                      <w:snapToGrid w:val="0"/>
                      <w:color w:val="auto"/>
                      <w:kern w:val="0"/>
                      <w:szCs w:val="21"/>
                    </w:rPr>
                  </w:pPr>
                  <w:r>
                    <w:rPr>
                      <w:bCs/>
                      <w:snapToGrid w:val="0"/>
                      <w:color w:val="auto"/>
                      <w:kern w:val="0"/>
                      <w:szCs w:val="21"/>
                    </w:rPr>
                    <w:t>污染物项目</w:t>
                  </w:r>
                </w:p>
              </w:tc>
              <w:tc>
                <w:tcPr>
                  <w:tcW w:w="1065" w:type="dxa"/>
                  <w:tcBorders>
                    <w:tl2br w:val="nil"/>
                    <w:tr2bl w:val="nil"/>
                  </w:tcBorders>
                  <w:vAlign w:val="center"/>
                </w:tcPr>
                <w:p w14:paraId="2A02AB25">
                  <w:pPr>
                    <w:adjustRightInd w:val="0"/>
                    <w:snapToGrid w:val="0"/>
                    <w:jc w:val="center"/>
                    <w:rPr>
                      <w:bCs/>
                      <w:snapToGrid w:val="0"/>
                      <w:color w:val="auto"/>
                      <w:kern w:val="0"/>
                      <w:szCs w:val="21"/>
                    </w:rPr>
                  </w:pPr>
                  <w:r>
                    <w:rPr>
                      <w:bCs/>
                      <w:snapToGrid w:val="0"/>
                      <w:color w:val="auto"/>
                      <w:kern w:val="0"/>
                      <w:szCs w:val="21"/>
                    </w:rPr>
                    <w:t>排放限值</w:t>
                  </w:r>
                </w:p>
              </w:tc>
              <w:tc>
                <w:tcPr>
                  <w:tcW w:w="3285" w:type="dxa"/>
                  <w:tcBorders>
                    <w:tl2br w:val="nil"/>
                    <w:tr2bl w:val="nil"/>
                  </w:tcBorders>
                  <w:vAlign w:val="center"/>
                </w:tcPr>
                <w:p w14:paraId="65A56DA6">
                  <w:pPr>
                    <w:adjustRightInd w:val="0"/>
                    <w:snapToGrid w:val="0"/>
                    <w:jc w:val="center"/>
                    <w:rPr>
                      <w:bCs/>
                      <w:snapToGrid w:val="0"/>
                      <w:color w:val="auto"/>
                      <w:kern w:val="0"/>
                      <w:szCs w:val="21"/>
                    </w:rPr>
                  </w:pPr>
                  <w:r>
                    <w:rPr>
                      <w:bCs/>
                      <w:snapToGrid w:val="0"/>
                      <w:color w:val="auto"/>
                      <w:kern w:val="0"/>
                      <w:szCs w:val="21"/>
                    </w:rPr>
                    <w:t>限值含义</w:t>
                  </w:r>
                </w:p>
              </w:tc>
              <w:tc>
                <w:tcPr>
                  <w:tcW w:w="2258" w:type="dxa"/>
                  <w:tcBorders>
                    <w:tl2br w:val="nil"/>
                    <w:tr2bl w:val="nil"/>
                  </w:tcBorders>
                  <w:vAlign w:val="center"/>
                </w:tcPr>
                <w:p w14:paraId="49A8958B">
                  <w:pPr>
                    <w:adjustRightInd w:val="0"/>
                    <w:snapToGrid w:val="0"/>
                    <w:jc w:val="center"/>
                    <w:rPr>
                      <w:bCs/>
                      <w:snapToGrid w:val="0"/>
                      <w:color w:val="auto"/>
                      <w:kern w:val="0"/>
                      <w:szCs w:val="21"/>
                    </w:rPr>
                  </w:pPr>
                  <w:r>
                    <w:rPr>
                      <w:bCs/>
                      <w:snapToGrid w:val="0"/>
                      <w:color w:val="auto"/>
                      <w:kern w:val="0"/>
                      <w:szCs w:val="21"/>
                    </w:rPr>
                    <w:t>无组织排放监控位置</w:t>
                  </w:r>
                </w:p>
              </w:tc>
            </w:tr>
            <w:tr w14:paraId="2206FC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7" w:hRule="atLeast"/>
                <w:jc w:val="center"/>
              </w:trPr>
              <w:tc>
                <w:tcPr>
                  <w:tcW w:w="1550" w:type="dxa"/>
                  <w:vMerge w:val="restart"/>
                  <w:tcBorders>
                    <w:tl2br w:val="nil"/>
                    <w:tr2bl w:val="nil"/>
                  </w:tcBorders>
                  <w:vAlign w:val="center"/>
                </w:tcPr>
                <w:p w14:paraId="3ADB6E58">
                  <w:pPr>
                    <w:pStyle w:val="139"/>
                    <w:snapToGrid w:val="0"/>
                    <w:spacing w:line="240" w:lineRule="auto"/>
                    <w:ind w:firstLine="0"/>
                    <w:jc w:val="center"/>
                    <w:rPr>
                      <w:rFonts w:eastAsia="宋体"/>
                      <w:snapToGrid w:val="0"/>
                      <w:color w:val="auto"/>
                      <w:sz w:val="21"/>
                      <w:szCs w:val="21"/>
                    </w:rPr>
                  </w:pPr>
                  <w:r>
                    <w:rPr>
                      <w:rFonts w:eastAsia="宋体"/>
                      <w:snapToGrid w:val="0"/>
                      <w:color w:val="auto"/>
                      <w:sz w:val="21"/>
                      <w:szCs w:val="21"/>
                    </w:rPr>
                    <w:t>NMHC</w:t>
                  </w:r>
                </w:p>
              </w:tc>
              <w:tc>
                <w:tcPr>
                  <w:tcW w:w="1065" w:type="dxa"/>
                  <w:tcBorders>
                    <w:tl2br w:val="nil"/>
                    <w:tr2bl w:val="nil"/>
                  </w:tcBorders>
                  <w:vAlign w:val="center"/>
                </w:tcPr>
                <w:p w14:paraId="230EE303">
                  <w:pPr>
                    <w:pStyle w:val="139"/>
                    <w:snapToGrid w:val="0"/>
                    <w:spacing w:line="240" w:lineRule="auto"/>
                    <w:ind w:firstLine="0"/>
                    <w:jc w:val="center"/>
                    <w:rPr>
                      <w:rFonts w:eastAsia="宋体"/>
                      <w:snapToGrid w:val="0"/>
                      <w:color w:val="auto"/>
                      <w:sz w:val="21"/>
                      <w:szCs w:val="21"/>
                    </w:rPr>
                  </w:pPr>
                  <w:r>
                    <w:rPr>
                      <w:rFonts w:eastAsia="宋体"/>
                      <w:snapToGrid w:val="0"/>
                      <w:color w:val="auto"/>
                      <w:sz w:val="21"/>
                      <w:szCs w:val="21"/>
                    </w:rPr>
                    <w:t>10</w:t>
                  </w:r>
                </w:p>
              </w:tc>
              <w:tc>
                <w:tcPr>
                  <w:tcW w:w="3285" w:type="dxa"/>
                  <w:tcBorders>
                    <w:tl2br w:val="nil"/>
                    <w:tr2bl w:val="nil"/>
                  </w:tcBorders>
                  <w:vAlign w:val="center"/>
                </w:tcPr>
                <w:p w14:paraId="69BAE7B0">
                  <w:pPr>
                    <w:widowControl/>
                    <w:adjustRightInd w:val="0"/>
                    <w:snapToGrid w:val="0"/>
                    <w:jc w:val="center"/>
                    <w:rPr>
                      <w:snapToGrid w:val="0"/>
                      <w:color w:val="auto"/>
                      <w:kern w:val="0"/>
                      <w:szCs w:val="21"/>
                    </w:rPr>
                  </w:pPr>
                  <w:r>
                    <w:rPr>
                      <w:snapToGrid w:val="0"/>
                      <w:color w:val="auto"/>
                      <w:kern w:val="0"/>
                      <w:szCs w:val="21"/>
                    </w:rPr>
                    <w:t>监测点处1小时平均浓度值</w:t>
                  </w:r>
                </w:p>
              </w:tc>
              <w:tc>
                <w:tcPr>
                  <w:tcW w:w="2258" w:type="dxa"/>
                  <w:vMerge w:val="restart"/>
                  <w:tcBorders>
                    <w:tl2br w:val="nil"/>
                    <w:tr2bl w:val="nil"/>
                  </w:tcBorders>
                  <w:vAlign w:val="center"/>
                </w:tcPr>
                <w:p w14:paraId="226E9512">
                  <w:pPr>
                    <w:widowControl/>
                    <w:adjustRightInd w:val="0"/>
                    <w:snapToGrid w:val="0"/>
                    <w:jc w:val="center"/>
                    <w:rPr>
                      <w:snapToGrid w:val="0"/>
                      <w:color w:val="auto"/>
                      <w:kern w:val="0"/>
                      <w:szCs w:val="21"/>
                    </w:rPr>
                  </w:pPr>
                  <w:r>
                    <w:rPr>
                      <w:snapToGrid w:val="0"/>
                      <w:color w:val="auto"/>
                      <w:kern w:val="0"/>
                      <w:szCs w:val="21"/>
                    </w:rPr>
                    <w:t>在厂房外设置监控点</w:t>
                  </w:r>
                </w:p>
              </w:tc>
            </w:tr>
            <w:tr w14:paraId="57CE2F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1550" w:type="dxa"/>
                  <w:vMerge w:val="continue"/>
                  <w:tcBorders>
                    <w:tl2br w:val="nil"/>
                    <w:tr2bl w:val="nil"/>
                  </w:tcBorders>
                  <w:vAlign w:val="center"/>
                </w:tcPr>
                <w:p w14:paraId="19DEAF95">
                  <w:pPr>
                    <w:pStyle w:val="139"/>
                    <w:snapToGrid w:val="0"/>
                    <w:spacing w:line="240" w:lineRule="auto"/>
                    <w:ind w:firstLine="0"/>
                    <w:jc w:val="center"/>
                    <w:rPr>
                      <w:rFonts w:eastAsia="宋体"/>
                      <w:snapToGrid w:val="0"/>
                      <w:color w:val="auto"/>
                      <w:sz w:val="21"/>
                      <w:szCs w:val="21"/>
                    </w:rPr>
                  </w:pPr>
                </w:p>
              </w:tc>
              <w:tc>
                <w:tcPr>
                  <w:tcW w:w="1065" w:type="dxa"/>
                  <w:tcBorders>
                    <w:tl2br w:val="nil"/>
                    <w:tr2bl w:val="nil"/>
                  </w:tcBorders>
                  <w:vAlign w:val="center"/>
                </w:tcPr>
                <w:p w14:paraId="1A29EB9A">
                  <w:pPr>
                    <w:pStyle w:val="139"/>
                    <w:snapToGrid w:val="0"/>
                    <w:spacing w:line="240" w:lineRule="auto"/>
                    <w:ind w:firstLine="0"/>
                    <w:jc w:val="center"/>
                    <w:rPr>
                      <w:rFonts w:eastAsia="宋体"/>
                      <w:snapToGrid w:val="0"/>
                      <w:color w:val="auto"/>
                      <w:sz w:val="21"/>
                      <w:szCs w:val="21"/>
                    </w:rPr>
                  </w:pPr>
                  <w:r>
                    <w:rPr>
                      <w:rFonts w:eastAsia="宋体"/>
                      <w:snapToGrid w:val="0"/>
                      <w:color w:val="auto"/>
                      <w:sz w:val="21"/>
                      <w:szCs w:val="21"/>
                    </w:rPr>
                    <w:t>30</w:t>
                  </w:r>
                </w:p>
              </w:tc>
              <w:tc>
                <w:tcPr>
                  <w:tcW w:w="3285" w:type="dxa"/>
                  <w:tcBorders>
                    <w:tl2br w:val="nil"/>
                    <w:tr2bl w:val="nil"/>
                  </w:tcBorders>
                  <w:vAlign w:val="center"/>
                </w:tcPr>
                <w:p w14:paraId="7EAEB416">
                  <w:pPr>
                    <w:widowControl/>
                    <w:adjustRightInd w:val="0"/>
                    <w:snapToGrid w:val="0"/>
                    <w:jc w:val="center"/>
                    <w:rPr>
                      <w:snapToGrid w:val="0"/>
                      <w:color w:val="auto"/>
                      <w:kern w:val="0"/>
                      <w:szCs w:val="21"/>
                    </w:rPr>
                  </w:pPr>
                  <w:r>
                    <w:rPr>
                      <w:snapToGrid w:val="0"/>
                      <w:color w:val="auto"/>
                      <w:kern w:val="0"/>
                      <w:szCs w:val="21"/>
                    </w:rPr>
                    <w:t>监控点处任意一次浓度值</w:t>
                  </w:r>
                </w:p>
              </w:tc>
              <w:tc>
                <w:tcPr>
                  <w:tcW w:w="2258" w:type="dxa"/>
                  <w:vMerge w:val="continue"/>
                  <w:tcBorders>
                    <w:tl2br w:val="nil"/>
                    <w:tr2bl w:val="nil"/>
                  </w:tcBorders>
                  <w:vAlign w:val="center"/>
                </w:tcPr>
                <w:p w14:paraId="5682A108">
                  <w:pPr>
                    <w:widowControl/>
                    <w:adjustRightInd w:val="0"/>
                    <w:snapToGrid w:val="0"/>
                    <w:jc w:val="center"/>
                    <w:rPr>
                      <w:snapToGrid w:val="0"/>
                      <w:color w:val="auto"/>
                      <w:kern w:val="0"/>
                      <w:szCs w:val="21"/>
                    </w:rPr>
                  </w:pPr>
                </w:p>
              </w:tc>
            </w:tr>
          </w:tbl>
          <w:p w14:paraId="00A07EF4">
            <w:pPr>
              <w:pStyle w:val="1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2" w:firstLineChars="200"/>
              <w:jc w:val="center"/>
              <w:textAlignment w:val="auto"/>
              <w:rPr>
                <w:rFonts w:hint="default" w:ascii="Times New Roman" w:hAnsi="Times New Roman" w:cs="Times New Roman" w:eastAsiaTheme="minorEastAsia"/>
                <w:b/>
                <w:bCs/>
                <w:color w:val="auto"/>
                <w:kern w:val="2"/>
                <w:sz w:val="21"/>
                <w:szCs w:val="24"/>
                <w:highlight w:val="none"/>
                <w:lang w:val="en-US" w:eastAsia="zh-CN" w:bidi="ar-SA"/>
              </w:rPr>
            </w:pPr>
            <w:r>
              <w:rPr>
                <w:rFonts w:hint="default" w:ascii="Times New Roman" w:hAnsi="Times New Roman" w:cs="Times New Roman" w:eastAsiaTheme="minorEastAsia"/>
                <w:b/>
                <w:bCs/>
                <w:color w:val="auto"/>
                <w:kern w:val="2"/>
                <w:sz w:val="21"/>
                <w:szCs w:val="24"/>
                <w:highlight w:val="none"/>
                <w:lang w:val="en-US" w:eastAsia="zh-CN" w:bidi="ar-SA"/>
              </w:rPr>
              <w:t>表3-</w:t>
            </w:r>
            <w:r>
              <w:rPr>
                <w:rFonts w:hint="eastAsia" w:cs="Times New Roman" w:eastAsiaTheme="minorEastAsia"/>
                <w:b/>
                <w:bCs/>
                <w:color w:val="auto"/>
                <w:kern w:val="2"/>
                <w:sz w:val="21"/>
                <w:szCs w:val="24"/>
                <w:highlight w:val="none"/>
                <w:lang w:val="en-US" w:eastAsia="zh-CN" w:bidi="ar-SA"/>
              </w:rPr>
              <w:t xml:space="preserve">10 </w:t>
            </w:r>
            <w:r>
              <w:rPr>
                <w:rFonts w:hint="default" w:ascii="Times New Roman" w:hAnsi="Times New Roman" w:cs="Times New Roman" w:eastAsiaTheme="minorEastAsia"/>
                <w:b/>
                <w:bCs/>
                <w:color w:val="auto"/>
                <w:kern w:val="2"/>
                <w:sz w:val="21"/>
                <w:szCs w:val="24"/>
                <w:highlight w:val="none"/>
                <w:lang w:val="en-US" w:eastAsia="zh-CN" w:bidi="ar-SA"/>
              </w:rPr>
              <w:t xml:space="preserve"> </w:t>
            </w:r>
            <w:r>
              <w:rPr>
                <w:rFonts w:hint="eastAsia" w:ascii="Times New Roman" w:hAnsi="Times New Roman" w:cs="Times New Roman" w:eastAsiaTheme="minorEastAsia"/>
                <w:b/>
                <w:bCs/>
                <w:color w:val="auto"/>
                <w:kern w:val="2"/>
                <w:sz w:val="21"/>
                <w:szCs w:val="24"/>
                <w:highlight w:val="none"/>
                <w:lang w:val="en-US" w:eastAsia="zh-CN" w:bidi="ar-SA"/>
              </w:rPr>
              <w:t>锅炉大气污染物排放标准</w:t>
            </w:r>
          </w:p>
          <w:tbl>
            <w:tblPr>
              <w:tblStyle w:val="3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260"/>
              <w:gridCol w:w="1811"/>
              <w:gridCol w:w="2964"/>
            </w:tblGrid>
            <w:tr w14:paraId="76FF05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8" w:type="pct"/>
                  <w:vMerge w:val="restart"/>
                  <w:shd w:val="clear" w:color="auto" w:fill="auto"/>
                  <w:noWrap w:val="0"/>
                  <w:vAlign w:val="center"/>
                </w:tcPr>
                <w:p w14:paraId="6B77F93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rPr>
                  </w:pPr>
                  <w:r>
                    <w:rPr>
                      <w:rFonts w:hint="default" w:ascii="Times New Roman" w:hAnsi="Times New Roman" w:cs="Times New Roman"/>
                      <w:bCs/>
                      <w:color w:val="auto"/>
                    </w:rPr>
                    <w:t>标准名称</w:t>
                  </w:r>
                </w:p>
              </w:tc>
              <w:tc>
                <w:tcPr>
                  <w:tcW w:w="2971" w:type="pct"/>
                  <w:gridSpan w:val="2"/>
                  <w:shd w:val="clear" w:color="auto" w:fill="auto"/>
                  <w:noWrap w:val="0"/>
                  <w:vAlign w:val="center"/>
                </w:tcPr>
                <w:p w14:paraId="52091D1C">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rPr>
                  </w:pPr>
                  <w:r>
                    <w:rPr>
                      <w:rFonts w:hint="default" w:ascii="Times New Roman" w:hAnsi="Times New Roman" w:cs="Times New Roman"/>
                      <w:bCs/>
                      <w:color w:val="auto"/>
                    </w:rPr>
                    <w:t>标准限值</w:t>
                  </w:r>
                </w:p>
              </w:tc>
            </w:tr>
            <w:tr w14:paraId="16D062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8" w:type="pct"/>
                  <w:vMerge w:val="continue"/>
                  <w:shd w:val="clear" w:color="auto" w:fill="auto"/>
                  <w:noWrap w:val="0"/>
                  <w:vAlign w:val="center"/>
                </w:tcPr>
                <w:p w14:paraId="0F6C49E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rPr>
                  </w:pPr>
                </w:p>
              </w:tc>
              <w:tc>
                <w:tcPr>
                  <w:tcW w:w="1127" w:type="pct"/>
                  <w:shd w:val="clear" w:color="auto" w:fill="auto"/>
                  <w:noWrap w:val="0"/>
                  <w:vAlign w:val="center"/>
                </w:tcPr>
                <w:p w14:paraId="01C23203">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lang w:eastAsia="zh-CN"/>
                    </w:rPr>
                  </w:pPr>
                  <w:r>
                    <w:rPr>
                      <w:rFonts w:hint="eastAsia" w:cs="Times New Roman"/>
                      <w:bCs/>
                      <w:color w:val="auto"/>
                      <w:lang w:eastAsia="zh-CN"/>
                    </w:rPr>
                    <w:t>污染物</w:t>
                  </w:r>
                </w:p>
              </w:tc>
              <w:tc>
                <w:tcPr>
                  <w:tcW w:w="1843" w:type="pct"/>
                  <w:shd w:val="clear" w:color="auto" w:fill="auto"/>
                  <w:noWrap w:val="0"/>
                  <w:vAlign w:val="center"/>
                </w:tcPr>
                <w:p w14:paraId="25A72C3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rPr>
                  </w:pPr>
                  <w:r>
                    <w:rPr>
                      <w:rFonts w:hint="default" w:ascii="Times New Roman" w:hAnsi="Times New Roman" w:cs="Times New Roman"/>
                      <w:bCs/>
                      <w:color w:val="auto"/>
                    </w:rPr>
                    <w:t>浓度限值</w:t>
                  </w:r>
                </w:p>
              </w:tc>
            </w:tr>
            <w:tr w14:paraId="24A775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8" w:type="pct"/>
                  <w:vMerge w:val="restart"/>
                  <w:shd w:val="clear" w:color="auto" w:fill="auto"/>
                  <w:noWrap w:val="0"/>
                  <w:vAlign w:val="center"/>
                </w:tcPr>
                <w:p w14:paraId="315396D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rPr>
                  </w:pPr>
                  <w:r>
                    <w:rPr>
                      <w:rFonts w:hint="eastAsia" w:ascii="Times New Roman" w:hAnsi="Times New Roman" w:eastAsia="宋体" w:cs="Times New Roman"/>
                      <w:bCs/>
                      <w:color w:val="auto"/>
                      <w:lang w:eastAsia="zh-CN"/>
                    </w:rPr>
                    <w:t>《锅炉大气污染物排放标准》（GB13271-2014）表</w:t>
                  </w:r>
                  <w:r>
                    <w:rPr>
                      <w:rFonts w:hint="eastAsia" w:ascii="Times New Roman" w:hAnsi="Times New Roman" w:eastAsia="宋体" w:cs="Times New Roman"/>
                      <w:bCs/>
                      <w:color w:val="auto"/>
                      <w:lang w:val="en-US" w:eastAsia="zh-CN"/>
                    </w:rPr>
                    <w:t>2</w:t>
                  </w:r>
                  <w:r>
                    <w:rPr>
                      <w:rFonts w:hint="eastAsia" w:ascii="Times New Roman" w:hAnsi="Times New Roman" w:eastAsia="宋体" w:cs="Times New Roman"/>
                      <w:bCs/>
                      <w:color w:val="auto"/>
                      <w:lang w:eastAsia="zh-CN"/>
                    </w:rPr>
                    <w:t>中燃煤锅炉大气污染物排放限值标准要求</w:t>
                  </w:r>
                </w:p>
              </w:tc>
              <w:tc>
                <w:tcPr>
                  <w:tcW w:w="1127" w:type="pct"/>
                  <w:shd w:val="clear" w:color="auto" w:fill="auto"/>
                  <w:noWrap w:val="0"/>
                  <w:vAlign w:val="center"/>
                </w:tcPr>
                <w:p w14:paraId="2372CB3C">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lang w:eastAsia="zh-CN"/>
                    </w:rPr>
                  </w:pPr>
                  <w:r>
                    <w:rPr>
                      <w:rFonts w:hint="eastAsia" w:cs="Times New Roman"/>
                      <w:bCs/>
                      <w:color w:val="auto"/>
                      <w:lang w:eastAsia="zh-CN"/>
                    </w:rPr>
                    <w:t>颗粒物</w:t>
                  </w:r>
                </w:p>
              </w:tc>
              <w:tc>
                <w:tcPr>
                  <w:tcW w:w="1843" w:type="pct"/>
                  <w:shd w:val="clear" w:color="auto" w:fill="auto"/>
                  <w:noWrap w:val="0"/>
                  <w:vAlign w:val="center"/>
                </w:tcPr>
                <w:p w14:paraId="721532A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rPr>
                  </w:pPr>
                  <w:r>
                    <w:rPr>
                      <w:rFonts w:hint="eastAsia" w:cs="Times New Roman"/>
                      <w:bCs/>
                      <w:color w:val="auto"/>
                      <w:lang w:val="en-US" w:eastAsia="zh-CN"/>
                    </w:rPr>
                    <w:t>50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p>
              </w:tc>
            </w:tr>
            <w:tr w14:paraId="6CFCCB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8" w:type="pct"/>
                  <w:vMerge w:val="continue"/>
                  <w:shd w:val="clear" w:color="auto" w:fill="auto"/>
                  <w:noWrap w:val="0"/>
                  <w:vAlign w:val="center"/>
                </w:tcPr>
                <w:p w14:paraId="6CABA9A3">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rPr>
                  </w:pPr>
                </w:p>
              </w:tc>
              <w:tc>
                <w:tcPr>
                  <w:tcW w:w="1127" w:type="pct"/>
                  <w:shd w:val="clear" w:color="auto" w:fill="auto"/>
                  <w:noWrap w:val="0"/>
                  <w:vAlign w:val="center"/>
                </w:tcPr>
                <w:p w14:paraId="1916D88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4"/>
                      <w:lang w:val="en-US" w:eastAsia="zh-CN" w:bidi="ar-SA"/>
                    </w:rPr>
                  </w:pPr>
                  <w:r>
                    <w:rPr>
                      <w:rFonts w:hint="default" w:ascii="Times New Roman" w:hAnsi="Times New Roman" w:cs="Times New Roman"/>
                      <w:bCs/>
                      <w:color w:val="auto"/>
                    </w:rPr>
                    <w:t>SO</w:t>
                  </w:r>
                  <w:r>
                    <w:rPr>
                      <w:rFonts w:hint="default" w:ascii="Times New Roman" w:hAnsi="Times New Roman" w:cs="Times New Roman"/>
                      <w:bCs/>
                      <w:color w:val="auto"/>
                      <w:vertAlign w:val="subscript"/>
                    </w:rPr>
                    <w:t>2</w:t>
                  </w:r>
                </w:p>
              </w:tc>
              <w:tc>
                <w:tcPr>
                  <w:tcW w:w="1843" w:type="pct"/>
                  <w:shd w:val="clear" w:color="auto" w:fill="auto"/>
                  <w:noWrap w:val="0"/>
                  <w:vAlign w:val="center"/>
                </w:tcPr>
                <w:p w14:paraId="3169DA90">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cs="Times New Roman"/>
                      <w:bCs/>
                      <w:color w:val="auto"/>
                      <w:lang w:val="en-US" w:eastAsia="zh-CN"/>
                    </w:rPr>
                    <w:t>300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p>
              </w:tc>
            </w:tr>
            <w:tr w14:paraId="01482B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8" w:type="pct"/>
                  <w:vMerge w:val="continue"/>
                  <w:shd w:val="clear" w:color="auto" w:fill="auto"/>
                  <w:noWrap w:val="0"/>
                  <w:vAlign w:val="center"/>
                </w:tcPr>
                <w:p w14:paraId="1160C86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rPr>
                  </w:pPr>
                </w:p>
              </w:tc>
              <w:tc>
                <w:tcPr>
                  <w:tcW w:w="1127" w:type="pct"/>
                  <w:shd w:val="clear" w:color="auto" w:fill="auto"/>
                  <w:noWrap w:val="0"/>
                  <w:vAlign w:val="center"/>
                </w:tcPr>
                <w:p w14:paraId="53DE0F3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lang w:eastAsia="zh-CN"/>
                    </w:rPr>
                    <w:t>NOx</w:t>
                  </w:r>
                </w:p>
              </w:tc>
              <w:tc>
                <w:tcPr>
                  <w:tcW w:w="1843" w:type="pct"/>
                  <w:shd w:val="clear" w:color="auto" w:fill="auto"/>
                  <w:noWrap w:val="0"/>
                  <w:vAlign w:val="center"/>
                </w:tcPr>
                <w:p w14:paraId="02270FB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cs="Times New Roman"/>
                      <w:bCs/>
                      <w:color w:val="auto"/>
                      <w:lang w:val="en-US" w:eastAsia="zh-CN"/>
                    </w:rPr>
                    <w:t>300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p>
              </w:tc>
            </w:tr>
            <w:tr w14:paraId="690F6E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8" w:type="pct"/>
                  <w:vMerge w:val="continue"/>
                  <w:shd w:val="clear" w:color="auto" w:fill="auto"/>
                  <w:noWrap w:val="0"/>
                  <w:vAlign w:val="center"/>
                </w:tcPr>
                <w:p w14:paraId="2F5D635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rPr>
                  </w:pPr>
                </w:p>
              </w:tc>
              <w:tc>
                <w:tcPr>
                  <w:tcW w:w="1127" w:type="pct"/>
                  <w:shd w:val="clear" w:color="auto" w:fill="auto"/>
                  <w:noWrap w:val="0"/>
                  <w:vAlign w:val="center"/>
                </w:tcPr>
                <w:p w14:paraId="332FEBD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4"/>
                      <w:lang w:val="en-US" w:eastAsia="zh-CN" w:bidi="ar-SA"/>
                    </w:rPr>
                  </w:pPr>
                  <w:r>
                    <w:rPr>
                      <w:rFonts w:hint="default" w:ascii="Times New Roman" w:hAnsi="Times New Roman" w:cs="Times New Roman"/>
                      <w:bCs/>
                      <w:color w:val="auto"/>
                      <w:lang w:eastAsia="zh-CN"/>
                    </w:rPr>
                    <w:t>林格曼黑度</w:t>
                  </w:r>
                </w:p>
              </w:tc>
              <w:tc>
                <w:tcPr>
                  <w:tcW w:w="1843" w:type="pct"/>
                  <w:shd w:val="clear" w:color="auto" w:fill="auto"/>
                  <w:noWrap w:val="0"/>
                  <w:vAlign w:val="center"/>
                </w:tcPr>
                <w:p w14:paraId="752698A8">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4"/>
                      <w:lang w:val="en-US" w:eastAsia="zh-CN" w:bidi="ar-SA"/>
                    </w:rPr>
                  </w:pPr>
                  <w:r>
                    <w:rPr>
                      <w:rFonts w:hint="default" w:ascii="Times New Roman" w:hAnsi="Times New Roman" w:cs="Times New Roman"/>
                      <w:bCs/>
                      <w:color w:val="auto"/>
                      <w:lang w:eastAsia="zh-CN"/>
                    </w:rPr>
                    <w:t>≤</w:t>
                  </w:r>
                  <w:r>
                    <w:rPr>
                      <w:rFonts w:hint="default" w:ascii="Times New Roman" w:hAnsi="Times New Roman" w:cs="Times New Roman"/>
                      <w:bCs/>
                      <w:color w:val="auto"/>
                      <w:lang w:val="en-US" w:eastAsia="zh-CN"/>
                    </w:rPr>
                    <w:t>1级</w:t>
                  </w:r>
                </w:p>
              </w:tc>
            </w:tr>
          </w:tbl>
          <w:p w14:paraId="5AD903D5">
            <w:pPr>
              <w:pStyle w:val="1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2" w:firstLineChars="200"/>
              <w:jc w:val="center"/>
              <w:textAlignment w:val="auto"/>
              <w:rPr>
                <w:rFonts w:hint="eastAsia" w:ascii="Times New Roman" w:hAnsi="Times New Roman" w:cs="Times New Roman" w:eastAsiaTheme="minorEastAsia"/>
                <w:b/>
                <w:bCs/>
                <w:color w:val="auto"/>
                <w:kern w:val="2"/>
                <w:sz w:val="21"/>
                <w:szCs w:val="24"/>
                <w:highlight w:val="none"/>
                <w:lang w:val="en-US" w:eastAsia="zh-CN" w:bidi="ar-SA"/>
              </w:rPr>
            </w:pPr>
            <w:r>
              <w:rPr>
                <w:rFonts w:hint="eastAsia" w:ascii="Times New Roman" w:hAnsi="Times New Roman" w:cs="Times New Roman" w:eastAsiaTheme="minorEastAsia"/>
                <w:b/>
                <w:bCs/>
                <w:color w:val="auto"/>
                <w:kern w:val="2"/>
                <w:sz w:val="21"/>
                <w:szCs w:val="24"/>
                <w:highlight w:val="none"/>
                <w:lang w:val="en-US" w:eastAsia="zh-CN" w:bidi="ar-SA"/>
              </w:rPr>
              <w:t>表3-</w:t>
            </w:r>
            <w:r>
              <w:rPr>
                <w:rFonts w:hint="eastAsia" w:cs="Times New Roman" w:eastAsiaTheme="minorEastAsia"/>
                <w:b/>
                <w:bCs/>
                <w:color w:val="auto"/>
                <w:kern w:val="2"/>
                <w:sz w:val="21"/>
                <w:szCs w:val="24"/>
                <w:highlight w:val="none"/>
                <w:lang w:val="en-US" w:eastAsia="zh-CN" w:bidi="ar-SA"/>
              </w:rPr>
              <w:t>11</w:t>
            </w:r>
            <w:r>
              <w:rPr>
                <w:rFonts w:hint="eastAsia" w:ascii="Times New Roman" w:hAnsi="Times New Roman" w:cs="Times New Roman" w:eastAsiaTheme="minorEastAsia"/>
                <w:b/>
                <w:bCs/>
                <w:color w:val="auto"/>
                <w:kern w:val="2"/>
                <w:sz w:val="21"/>
                <w:szCs w:val="24"/>
                <w:highlight w:val="none"/>
                <w:lang w:val="en-US" w:eastAsia="zh-CN" w:bidi="ar-SA"/>
              </w:rPr>
              <w:t xml:space="preserve">  </w:t>
            </w:r>
            <w:r>
              <w:rPr>
                <w:rFonts w:hint="eastAsia" w:cs="Times New Roman" w:eastAsiaTheme="minorEastAsia"/>
                <w:b/>
                <w:bCs/>
                <w:color w:val="auto"/>
                <w:kern w:val="2"/>
                <w:sz w:val="21"/>
                <w:szCs w:val="24"/>
                <w:highlight w:val="none"/>
                <w:lang w:val="en-US" w:eastAsia="zh-CN" w:bidi="ar-SA"/>
              </w:rPr>
              <w:t>锅炉房烟囱最低允许高度</w:t>
            </w:r>
          </w:p>
          <w:tbl>
            <w:tblPr>
              <w:tblStyle w:val="32"/>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9"/>
              <w:gridCol w:w="687"/>
              <w:gridCol w:w="831"/>
              <w:gridCol w:w="1168"/>
              <w:gridCol w:w="1157"/>
              <w:gridCol w:w="1006"/>
              <w:gridCol w:w="1311"/>
              <w:gridCol w:w="700"/>
            </w:tblGrid>
            <w:tr w14:paraId="57F5EB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733" w:type="pct"/>
                  <w:vMerge w:val="restart"/>
                  <w:tcBorders>
                    <w:tl2br w:val="nil"/>
                    <w:tr2bl w:val="nil"/>
                  </w:tcBorders>
                  <w:vAlign w:val="center"/>
                </w:tcPr>
                <w:p w14:paraId="093E8990">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eastAsia" w:ascii="Times New Roman" w:hAnsi="Times New Roman" w:cs="Times New Roman"/>
                      <w:bCs/>
                      <w:color w:val="auto"/>
                      <w:lang w:val="en-US" w:eastAsia="zh-CN"/>
                    </w:rPr>
                  </w:pPr>
                  <w:r>
                    <w:rPr>
                      <w:rFonts w:hint="eastAsia" w:ascii="Times New Roman" w:hAnsi="Times New Roman" w:cs="Times New Roman"/>
                      <w:bCs/>
                      <w:color w:val="auto"/>
                      <w:lang w:val="en-US" w:eastAsia="zh-CN"/>
                    </w:rPr>
                    <w:t>锅炉房装机总容量</w:t>
                  </w:r>
                </w:p>
              </w:tc>
              <w:tc>
                <w:tcPr>
                  <w:tcW w:w="427" w:type="pct"/>
                  <w:tcBorders>
                    <w:tl2br w:val="nil"/>
                    <w:tr2bl w:val="nil"/>
                  </w:tcBorders>
                  <w:vAlign w:val="center"/>
                </w:tcPr>
                <w:p w14:paraId="2DE000BD">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color w:val="auto"/>
                      <w:lang w:val="en-US" w:eastAsia="zh-CN"/>
                    </w:rPr>
                  </w:pPr>
                  <w:r>
                    <w:rPr>
                      <w:rFonts w:hint="eastAsia"/>
                      <w:color w:val="auto"/>
                      <w:lang w:val="en-US" w:eastAsia="zh-CN"/>
                    </w:rPr>
                    <w:t>MW</w:t>
                  </w:r>
                </w:p>
              </w:tc>
              <w:tc>
                <w:tcPr>
                  <w:tcW w:w="517" w:type="pct"/>
                  <w:tcBorders>
                    <w:tl2br w:val="nil"/>
                    <w:tr2bl w:val="nil"/>
                  </w:tcBorders>
                  <w:vAlign w:val="center"/>
                </w:tcPr>
                <w:p w14:paraId="43058D5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＜0.7</w:t>
                  </w:r>
                </w:p>
              </w:tc>
              <w:tc>
                <w:tcPr>
                  <w:tcW w:w="726" w:type="pct"/>
                  <w:tcBorders>
                    <w:tl2br w:val="nil"/>
                    <w:tr2bl w:val="nil"/>
                  </w:tcBorders>
                  <w:vAlign w:val="center"/>
                </w:tcPr>
                <w:p w14:paraId="7AF35FF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0.7~＜1.4</w:t>
                  </w:r>
                </w:p>
              </w:tc>
              <w:tc>
                <w:tcPr>
                  <w:tcW w:w="719" w:type="pct"/>
                  <w:tcBorders>
                    <w:tl2br w:val="nil"/>
                    <w:tr2bl w:val="nil"/>
                  </w:tcBorders>
                  <w:vAlign w:val="center"/>
                </w:tcPr>
                <w:p w14:paraId="1BF16D1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1.4~＜2.8</w:t>
                  </w:r>
                </w:p>
              </w:tc>
              <w:tc>
                <w:tcPr>
                  <w:tcW w:w="625" w:type="pct"/>
                  <w:tcBorders>
                    <w:tl2br w:val="nil"/>
                    <w:tr2bl w:val="nil"/>
                  </w:tcBorders>
                  <w:vAlign w:val="center"/>
                </w:tcPr>
                <w:p w14:paraId="26C312B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2.8~＜7</w:t>
                  </w:r>
                </w:p>
              </w:tc>
              <w:tc>
                <w:tcPr>
                  <w:tcW w:w="815" w:type="pct"/>
                  <w:tcBorders>
                    <w:tl2br w:val="nil"/>
                    <w:tr2bl w:val="nil"/>
                  </w:tcBorders>
                  <w:vAlign w:val="center"/>
                </w:tcPr>
                <w:p w14:paraId="556274B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7~＜14</w:t>
                  </w:r>
                </w:p>
              </w:tc>
              <w:tc>
                <w:tcPr>
                  <w:tcW w:w="435" w:type="pct"/>
                  <w:tcBorders>
                    <w:tl2br w:val="nil"/>
                    <w:tr2bl w:val="nil"/>
                  </w:tcBorders>
                  <w:vAlign w:val="center"/>
                </w:tcPr>
                <w:p w14:paraId="00A9537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≥14</w:t>
                  </w:r>
                </w:p>
              </w:tc>
            </w:tr>
            <w:tr w14:paraId="474645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2" w:hRule="atLeast"/>
              </w:trPr>
              <w:tc>
                <w:tcPr>
                  <w:tcW w:w="733" w:type="pct"/>
                  <w:vMerge w:val="continue"/>
                  <w:tcBorders>
                    <w:tl2br w:val="nil"/>
                    <w:tr2bl w:val="nil"/>
                  </w:tcBorders>
                  <w:vAlign w:val="center"/>
                </w:tcPr>
                <w:p w14:paraId="5B45BC7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eastAsia" w:ascii="Times New Roman" w:hAnsi="Times New Roman" w:cs="Times New Roman"/>
                      <w:bCs/>
                      <w:color w:val="auto"/>
                      <w:lang w:val="en-US" w:eastAsia="zh-CN"/>
                    </w:rPr>
                  </w:pPr>
                </w:p>
              </w:tc>
              <w:tc>
                <w:tcPr>
                  <w:tcW w:w="427" w:type="pct"/>
                  <w:tcBorders>
                    <w:tl2br w:val="nil"/>
                    <w:tr2bl w:val="nil"/>
                  </w:tcBorders>
                  <w:vAlign w:val="center"/>
                </w:tcPr>
                <w:p w14:paraId="3FCBD87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color w:val="auto"/>
                      <w:lang w:val="en-US" w:eastAsia="zh-CN"/>
                    </w:rPr>
                  </w:pPr>
                  <w:r>
                    <w:rPr>
                      <w:rFonts w:hint="eastAsia"/>
                      <w:color w:val="auto"/>
                      <w:lang w:val="en-US" w:eastAsia="zh-CN"/>
                    </w:rPr>
                    <w:t>t/h</w:t>
                  </w:r>
                </w:p>
              </w:tc>
              <w:tc>
                <w:tcPr>
                  <w:tcW w:w="517" w:type="pct"/>
                  <w:tcBorders>
                    <w:tl2br w:val="nil"/>
                    <w:tr2bl w:val="nil"/>
                  </w:tcBorders>
                  <w:vAlign w:val="center"/>
                </w:tcPr>
                <w:p w14:paraId="71FB5CD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＜1</w:t>
                  </w:r>
                </w:p>
              </w:tc>
              <w:tc>
                <w:tcPr>
                  <w:tcW w:w="726" w:type="pct"/>
                  <w:tcBorders>
                    <w:tl2br w:val="nil"/>
                    <w:tr2bl w:val="nil"/>
                  </w:tcBorders>
                  <w:vAlign w:val="center"/>
                </w:tcPr>
                <w:p w14:paraId="624EC24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1~＜2</w:t>
                  </w:r>
                </w:p>
              </w:tc>
              <w:tc>
                <w:tcPr>
                  <w:tcW w:w="719" w:type="pct"/>
                  <w:tcBorders>
                    <w:tl2br w:val="nil"/>
                    <w:tr2bl w:val="nil"/>
                  </w:tcBorders>
                  <w:vAlign w:val="center"/>
                </w:tcPr>
                <w:p w14:paraId="6011FF28">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2~＜4</w:t>
                  </w:r>
                </w:p>
              </w:tc>
              <w:tc>
                <w:tcPr>
                  <w:tcW w:w="625" w:type="pct"/>
                  <w:tcBorders>
                    <w:tl2br w:val="nil"/>
                    <w:tr2bl w:val="nil"/>
                  </w:tcBorders>
                  <w:vAlign w:val="center"/>
                </w:tcPr>
                <w:p w14:paraId="75F2DE6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4~＜10</w:t>
                  </w:r>
                </w:p>
              </w:tc>
              <w:tc>
                <w:tcPr>
                  <w:tcW w:w="815" w:type="pct"/>
                  <w:tcBorders>
                    <w:tl2br w:val="nil"/>
                    <w:tr2bl w:val="nil"/>
                  </w:tcBorders>
                  <w:vAlign w:val="center"/>
                </w:tcPr>
                <w:p w14:paraId="63841A50">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10~＜20</w:t>
                  </w:r>
                </w:p>
              </w:tc>
              <w:tc>
                <w:tcPr>
                  <w:tcW w:w="435" w:type="pct"/>
                  <w:tcBorders>
                    <w:tl2br w:val="nil"/>
                    <w:tr2bl w:val="nil"/>
                  </w:tcBorders>
                  <w:vAlign w:val="center"/>
                </w:tcPr>
                <w:p w14:paraId="44CB0603">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≥20</w:t>
                  </w:r>
                </w:p>
              </w:tc>
            </w:tr>
            <w:tr w14:paraId="3623AB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3" w:type="pct"/>
                  <w:tcBorders>
                    <w:tl2br w:val="nil"/>
                    <w:tr2bl w:val="nil"/>
                  </w:tcBorders>
                  <w:vAlign w:val="center"/>
                </w:tcPr>
                <w:p w14:paraId="7CFAECD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eastAsia" w:ascii="Times New Roman" w:hAnsi="Times New Roman" w:cs="Times New Roman"/>
                      <w:bCs/>
                      <w:color w:val="auto"/>
                      <w:lang w:val="en-US" w:eastAsia="zh-CN"/>
                    </w:rPr>
                  </w:pPr>
                  <w:r>
                    <w:rPr>
                      <w:rFonts w:hint="eastAsia" w:cs="Times New Roman"/>
                      <w:bCs/>
                      <w:color w:val="auto"/>
                      <w:lang w:val="en-US" w:eastAsia="zh-CN"/>
                    </w:rPr>
                    <w:t>烟囱最低允许高度</w:t>
                  </w:r>
                </w:p>
              </w:tc>
              <w:tc>
                <w:tcPr>
                  <w:tcW w:w="427" w:type="pct"/>
                  <w:tcBorders>
                    <w:tl2br w:val="nil"/>
                    <w:tr2bl w:val="nil"/>
                  </w:tcBorders>
                  <w:vAlign w:val="center"/>
                </w:tcPr>
                <w:p w14:paraId="12908C6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m</w:t>
                  </w:r>
                </w:p>
              </w:tc>
              <w:tc>
                <w:tcPr>
                  <w:tcW w:w="517" w:type="pct"/>
                  <w:tcBorders>
                    <w:tl2br w:val="nil"/>
                    <w:tr2bl w:val="nil"/>
                  </w:tcBorders>
                  <w:vAlign w:val="center"/>
                </w:tcPr>
                <w:p w14:paraId="298C57D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20</w:t>
                  </w:r>
                </w:p>
              </w:tc>
              <w:tc>
                <w:tcPr>
                  <w:tcW w:w="726" w:type="pct"/>
                  <w:tcBorders>
                    <w:tl2br w:val="nil"/>
                    <w:tr2bl w:val="nil"/>
                  </w:tcBorders>
                  <w:vAlign w:val="center"/>
                </w:tcPr>
                <w:p w14:paraId="4E7624DC">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25</w:t>
                  </w:r>
                </w:p>
              </w:tc>
              <w:tc>
                <w:tcPr>
                  <w:tcW w:w="719" w:type="pct"/>
                  <w:tcBorders>
                    <w:tl2br w:val="nil"/>
                    <w:tr2bl w:val="nil"/>
                  </w:tcBorders>
                  <w:vAlign w:val="center"/>
                </w:tcPr>
                <w:p w14:paraId="7CC94B0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30</w:t>
                  </w:r>
                </w:p>
              </w:tc>
              <w:tc>
                <w:tcPr>
                  <w:tcW w:w="625" w:type="pct"/>
                  <w:tcBorders>
                    <w:tl2br w:val="nil"/>
                    <w:tr2bl w:val="nil"/>
                  </w:tcBorders>
                  <w:vAlign w:val="center"/>
                </w:tcPr>
                <w:p w14:paraId="08EFFCED">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35</w:t>
                  </w:r>
                </w:p>
              </w:tc>
              <w:tc>
                <w:tcPr>
                  <w:tcW w:w="815" w:type="pct"/>
                  <w:tcBorders>
                    <w:tl2br w:val="nil"/>
                    <w:tr2bl w:val="nil"/>
                  </w:tcBorders>
                  <w:vAlign w:val="center"/>
                </w:tcPr>
                <w:p w14:paraId="53EF7B2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40</w:t>
                  </w:r>
                </w:p>
              </w:tc>
              <w:tc>
                <w:tcPr>
                  <w:tcW w:w="435" w:type="pct"/>
                  <w:tcBorders>
                    <w:tl2br w:val="nil"/>
                    <w:tr2bl w:val="nil"/>
                  </w:tcBorders>
                  <w:vAlign w:val="center"/>
                </w:tcPr>
                <w:p w14:paraId="56EAA7A8">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45</w:t>
                  </w:r>
                </w:p>
              </w:tc>
            </w:tr>
          </w:tbl>
          <w:p w14:paraId="7C345D63">
            <w:pPr>
              <w:keepLines w:val="0"/>
              <w:pageBreakBefore w:val="0"/>
              <w:numPr>
                <w:ilvl w:val="0"/>
                <w:numId w:val="0"/>
              </w:numPr>
              <w:topLinePunct w:val="0"/>
              <w:bidi w:val="0"/>
              <w:spacing w:beforeAutospacing="0" w:afterAutospacing="0" w:line="360" w:lineRule="auto"/>
              <w:ind w:leftChars="200" w:right="0" w:rightChars="0"/>
              <w:rPr>
                <w:rFonts w:hint="eastAsia" w:cs="Times New Roman" w:eastAsiaTheme="minorEastAsia"/>
                <w:b w:val="0"/>
                <w:bCs w:val="0"/>
                <w:color w:val="auto"/>
                <w:sz w:val="24"/>
                <w:lang w:val="en-US" w:eastAsia="zh-CN"/>
              </w:rPr>
            </w:pPr>
            <w:r>
              <w:rPr>
                <w:rFonts w:hint="eastAsia" w:cs="Times New Roman" w:eastAsiaTheme="minorEastAsia"/>
                <w:b w:val="0"/>
                <w:bCs w:val="0"/>
                <w:color w:val="auto"/>
                <w:sz w:val="24"/>
                <w:lang w:val="en-US" w:eastAsia="zh-CN"/>
              </w:rPr>
              <w:t>2、废水排放标准</w:t>
            </w:r>
          </w:p>
          <w:p w14:paraId="05BF0AEF">
            <w:pPr>
              <w:keepLines w:val="0"/>
              <w:pageBreakBefore w:val="0"/>
              <w:topLinePunct w:val="0"/>
              <w:bidi w:val="0"/>
              <w:adjustRightInd w:val="0"/>
              <w:snapToGrid w:val="0"/>
              <w:spacing w:beforeAutospacing="0" w:afterAutospacing="0" w:line="360" w:lineRule="auto"/>
              <w:ind w:left="0" w:leftChars="0" w:right="0" w:rightChars="0" w:firstLine="480" w:firstLineChars="200"/>
              <w:rPr>
                <w:rFonts w:hint="default"/>
                <w:color w:val="auto"/>
                <w:sz w:val="24"/>
                <w:lang w:val="en-US" w:eastAsia="zh-CN"/>
              </w:rPr>
            </w:pPr>
            <w:r>
              <w:rPr>
                <w:rFonts w:hint="eastAsia"/>
                <w:color w:val="auto"/>
                <w:sz w:val="24"/>
                <w:lang w:val="en-US" w:eastAsia="zh-CN"/>
              </w:rPr>
              <w:t>本项目施工期生活污水排放执行《污水综合排放标准》（GB8978-1996）</w:t>
            </w:r>
            <w:r>
              <w:rPr>
                <w:rFonts w:hint="eastAsia"/>
                <w:bCs/>
                <w:color w:val="auto"/>
                <w:sz w:val="24"/>
              </w:rPr>
              <w:t>表4中三级标准，具体排放标准限值见表3-</w:t>
            </w:r>
            <w:r>
              <w:rPr>
                <w:rFonts w:hint="eastAsia"/>
                <w:bCs/>
                <w:color w:val="auto"/>
                <w:sz w:val="24"/>
                <w:lang w:val="en-US" w:eastAsia="zh-CN"/>
              </w:rPr>
              <w:t>12</w:t>
            </w:r>
            <w:r>
              <w:rPr>
                <w:rFonts w:hint="eastAsia"/>
                <w:bCs/>
                <w:color w:val="auto"/>
                <w:sz w:val="24"/>
              </w:rPr>
              <w:t>。</w:t>
            </w:r>
          </w:p>
          <w:p w14:paraId="7A52D3DD">
            <w:pPr>
              <w:keepLines w:val="0"/>
              <w:pageBreakBefore w:val="0"/>
              <w:topLinePunct w:val="0"/>
              <w:bidi w:val="0"/>
              <w:adjustRightInd w:val="0"/>
              <w:snapToGrid w:val="0"/>
              <w:spacing w:beforeAutospacing="0" w:afterAutospacing="0" w:line="360" w:lineRule="auto"/>
              <w:ind w:left="0" w:leftChars="0" w:right="0" w:rightChars="0" w:firstLine="464" w:firstLineChars="200"/>
              <w:rPr>
                <w:rFonts w:hint="eastAsia"/>
                <w:color w:val="auto"/>
                <w:kern w:val="0"/>
                <w:sz w:val="24"/>
                <w:szCs w:val="28"/>
                <w:lang w:eastAsia="zh-CN"/>
              </w:rPr>
            </w:pPr>
            <w:r>
              <w:rPr>
                <w:rFonts w:hint="eastAsia"/>
                <w:color w:val="auto"/>
                <w:spacing w:val="-4"/>
                <w:sz w:val="24"/>
              </w:rPr>
              <w:t>本项目设置初期雨水收集系统，收集前15</w:t>
            </w:r>
            <w:r>
              <w:rPr>
                <w:color w:val="auto"/>
                <w:spacing w:val="-4"/>
                <w:sz w:val="24"/>
              </w:rPr>
              <w:t>min</w:t>
            </w:r>
            <w:r>
              <w:rPr>
                <w:rFonts w:hint="eastAsia"/>
                <w:color w:val="auto"/>
                <w:spacing w:val="-4"/>
                <w:sz w:val="24"/>
              </w:rPr>
              <w:t>雨水，</w:t>
            </w:r>
            <w:r>
              <w:rPr>
                <w:rFonts w:hint="eastAsia"/>
                <w:color w:val="auto"/>
                <w:spacing w:val="-4"/>
                <w:sz w:val="24"/>
                <w:lang w:val="en-US" w:eastAsia="zh-CN"/>
              </w:rPr>
              <w:t>收集后经油水分离装置处理后，</w:t>
            </w:r>
            <w:r>
              <w:rPr>
                <w:rFonts w:hint="eastAsia"/>
                <w:color w:val="auto"/>
                <w:sz w:val="24"/>
                <w:lang w:val="en-US" w:eastAsia="zh-CN"/>
              </w:rPr>
              <w:t>和锅炉排污水、软化水制备废水和生活污水一同排入市政管网</w:t>
            </w:r>
            <w:r>
              <w:rPr>
                <w:rFonts w:hint="eastAsia"/>
                <w:color w:val="auto"/>
                <w:spacing w:val="-4"/>
                <w:sz w:val="24"/>
                <w:lang w:val="en-US" w:eastAsia="zh-CN"/>
              </w:rPr>
              <w:t>，送入鸡西市鸡冠区污水处理</w:t>
            </w:r>
            <w:r>
              <w:rPr>
                <w:rFonts w:hint="eastAsia"/>
                <w:color w:val="auto"/>
                <w:sz w:val="24"/>
                <w:lang w:val="en-US" w:eastAsia="zh-CN"/>
              </w:rPr>
              <w:t>厂，经处理后</w:t>
            </w:r>
            <w:r>
              <w:rPr>
                <w:rFonts w:hint="eastAsia"/>
                <w:color w:val="auto"/>
                <w:sz w:val="24"/>
              </w:rPr>
              <w:t>可以达到《城镇污水处理厂污染物排放标准》（GB 18918－2002）中一级A标准</w:t>
            </w:r>
            <w:r>
              <w:rPr>
                <w:rFonts w:hint="eastAsia"/>
                <w:color w:val="auto"/>
                <w:sz w:val="24"/>
                <w:lang w:eastAsia="zh-CN"/>
              </w:rPr>
              <w:t>。</w:t>
            </w:r>
            <w:r>
              <w:rPr>
                <w:rFonts w:hint="eastAsia"/>
                <w:color w:val="auto"/>
                <w:spacing w:val="16"/>
                <w:sz w:val="24"/>
                <w:lang w:eastAsia="zh-CN"/>
              </w:rPr>
              <w:t>本项目废水排放执行《污水综合排放标</w:t>
            </w:r>
            <w:r>
              <w:rPr>
                <w:rFonts w:hint="eastAsia"/>
                <w:color w:val="auto"/>
                <w:kern w:val="0"/>
                <w:sz w:val="24"/>
                <w:szCs w:val="28"/>
                <w:lang w:eastAsia="zh-CN"/>
              </w:rPr>
              <w:t>准》（GB8978-1996）中表</w:t>
            </w:r>
            <w:r>
              <w:rPr>
                <w:rFonts w:hint="eastAsia"/>
                <w:color w:val="auto"/>
                <w:kern w:val="0"/>
                <w:sz w:val="24"/>
                <w:szCs w:val="28"/>
                <w:lang w:val="en-US" w:eastAsia="zh-CN"/>
              </w:rPr>
              <w:t>4三级排放标准，废水排放标准见表3-13</w:t>
            </w:r>
            <w:r>
              <w:rPr>
                <w:rFonts w:hint="eastAsia"/>
                <w:color w:val="auto"/>
                <w:kern w:val="0"/>
                <w:sz w:val="24"/>
                <w:szCs w:val="28"/>
                <w:lang w:eastAsia="zh-CN"/>
              </w:rPr>
              <w:t>。</w:t>
            </w:r>
          </w:p>
          <w:p w14:paraId="4F2375ED">
            <w:pPr>
              <w:adjustRightInd w:val="0"/>
              <w:snapToGrid w:val="0"/>
              <w:jc w:val="center"/>
              <w:rPr>
                <w:b/>
                <w:color w:val="auto"/>
                <w:szCs w:val="22"/>
              </w:rPr>
            </w:pPr>
            <w:r>
              <w:rPr>
                <w:rFonts w:hint="eastAsia"/>
                <w:b/>
                <w:color w:val="auto"/>
                <w:szCs w:val="22"/>
                <w:lang w:val="zh-CN"/>
              </w:rPr>
              <w:t>表3-</w:t>
            </w:r>
            <w:r>
              <w:rPr>
                <w:rFonts w:hint="eastAsia"/>
                <w:b/>
                <w:color w:val="auto"/>
                <w:szCs w:val="22"/>
                <w:lang w:val="en-US" w:eastAsia="zh-CN"/>
              </w:rPr>
              <w:t>12</w:t>
            </w:r>
            <w:r>
              <w:rPr>
                <w:rFonts w:hint="eastAsia"/>
                <w:b/>
                <w:color w:val="auto"/>
                <w:szCs w:val="22"/>
                <w:lang w:val="zh-CN"/>
              </w:rPr>
              <w:t xml:space="preserve">  </w:t>
            </w:r>
            <w:r>
              <w:rPr>
                <w:rFonts w:hint="eastAsia"/>
                <w:b/>
                <w:color w:val="auto"/>
                <w:szCs w:val="22"/>
              </w:rPr>
              <w:t>施工期废水</w:t>
            </w:r>
            <w:r>
              <w:rPr>
                <w:rFonts w:hint="eastAsia"/>
                <w:b/>
                <w:color w:val="auto"/>
                <w:szCs w:val="22"/>
                <w:lang w:val="zh-CN"/>
              </w:rPr>
              <w:t>污染物排放标准</w:t>
            </w:r>
            <w:r>
              <w:rPr>
                <w:rFonts w:hint="eastAsia"/>
                <w:b/>
                <w:color w:val="auto"/>
                <w:szCs w:val="22"/>
              </w:rPr>
              <w:t xml:space="preserve">  单位：mg/L</w:t>
            </w:r>
          </w:p>
          <w:tbl>
            <w:tblPr>
              <w:tblStyle w:val="31"/>
              <w:tblW w:w="4998"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004"/>
              <w:gridCol w:w="4057"/>
              <w:gridCol w:w="2975"/>
            </w:tblGrid>
            <w:tr w14:paraId="1924E1C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13" w:hRule="atLeast"/>
                <w:jc w:val="center"/>
              </w:trPr>
              <w:tc>
                <w:tcPr>
                  <w:tcW w:w="625" w:type="pct"/>
                  <w:vAlign w:val="center"/>
                </w:tcPr>
                <w:p w14:paraId="4D5446BC">
                  <w:pPr>
                    <w:jc w:val="center"/>
                    <w:rPr>
                      <w:color w:val="auto"/>
                      <w:kern w:val="1"/>
                      <w:szCs w:val="21"/>
                    </w:rPr>
                  </w:pPr>
                  <w:r>
                    <w:rPr>
                      <w:rFonts w:hint="eastAsia"/>
                      <w:color w:val="auto"/>
                      <w:kern w:val="1"/>
                      <w:szCs w:val="21"/>
                    </w:rPr>
                    <w:t>序号</w:t>
                  </w:r>
                </w:p>
              </w:tc>
              <w:tc>
                <w:tcPr>
                  <w:tcW w:w="2523" w:type="pct"/>
                  <w:vAlign w:val="center"/>
                </w:tcPr>
                <w:p w14:paraId="3196012A">
                  <w:pPr>
                    <w:jc w:val="center"/>
                    <w:rPr>
                      <w:color w:val="auto"/>
                      <w:kern w:val="1"/>
                      <w:szCs w:val="21"/>
                    </w:rPr>
                  </w:pPr>
                  <w:r>
                    <w:rPr>
                      <w:rFonts w:hint="eastAsia"/>
                      <w:color w:val="auto"/>
                      <w:kern w:val="1"/>
                      <w:szCs w:val="21"/>
                    </w:rPr>
                    <w:t>控制项目</w:t>
                  </w:r>
                </w:p>
              </w:tc>
              <w:tc>
                <w:tcPr>
                  <w:tcW w:w="1850" w:type="pct"/>
                  <w:vAlign w:val="center"/>
                </w:tcPr>
                <w:p w14:paraId="3E841998">
                  <w:pPr>
                    <w:jc w:val="center"/>
                    <w:rPr>
                      <w:color w:val="auto"/>
                      <w:kern w:val="1"/>
                      <w:szCs w:val="21"/>
                    </w:rPr>
                  </w:pPr>
                  <w:r>
                    <w:rPr>
                      <w:rFonts w:hint="eastAsia"/>
                      <w:color w:val="auto"/>
                      <w:kern w:val="1"/>
                      <w:szCs w:val="21"/>
                    </w:rPr>
                    <w:t>三级标准</w:t>
                  </w:r>
                </w:p>
              </w:tc>
            </w:tr>
            <w:tr w14:paraId="3DE946C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13" w:hRule="atLeast"/>
                <w:jc w:val="center"/>
              </w:trPr>
              <w:tc>
                <w:tcPr>
                  <w:tcW w:w="625" w:type="pct"/>
                  <w:vAlign w:val="center"/>
                </w:tcPr>
                <w:p w14:paraId="4262D5F7">
                  <w:pPr>
                    <w:jc w:val="center"/>
                    <w:rPr>
                      <w:color w:val="auto"/>
                      <w:kern w:val="1"/>
                      <w:szCs w:val="21"/>
                    </w:rPr>
                  </w:pPr>
                  <w:r>
                    <w:rPr>
                      <w:rFonts w:hint="eastAsia"/>
                      <w:color w:val="auto"/>
                      <w:kern w:val="1"/>
                      <w:szCs w:val="21"/>
                    </w:rPr>
                    <w:t>1</w:t>
                  </w:r>
                </w:p>
              </w:tc>
              <w:tc>
                <w:tcPr>
                  <w:tcW w:w="2523" w:type="pct"/>
                  <w:vAlign w:val="center"/>
                </w:tcPr>
                <w:p w14:paraId="1394F899">
                  <w:pPr>
                    <w:jc w:val="center"/>
                    <w:rPr>
                      <w:color w:val="auto"/>
                      <w:kern w:val="1"/>
                      <w:szCs w:val="21"/>
                    </w:rPr>
                  </w:pPr>
                  <w:r>
                    <w:rPr>
                      <w:rFonts w:hint="eastAsia"/>
                      <w:color w:val="auto"/>
                      <w:kern w:val="1"/>
                      <w:szCs w:val="21"/>
                    </w:rPr>
                    <w:t>COD</w:t>
                  </w:r>
                </w:p>
              </w:tc>
              <w:tc>
                <w:tcPr>
                  <w:tcW w:w="1850" w:type="pct"/>
                  <w:vAlign w:val="center"/>
                </w:tcPr>
                <w:p w14:paraId="676AE86A">
                  <w:pPr>
                    <w:jc w:val="center"/>
                    <w:rPr>
                      <w:color w:val="auto"/>
                      <w:kern w:val="1"/>
                      <w:szCs w:val="21"/>
                    </w:rPr>
                  </w:pPr>
                  <w:r>
                    <w:rPr>
                      <w:rFonts w:hint="eastAsia"/>
                      <w:color w:val="auto"/>
                      <w:kern w:val="1"/>
                      <w:szCs w:val="21"/>
                    </w:rPr>
                    <w:t>500</w:t>
                  </w:r>
                </w:p>
              </w:tc>
            </w:tr>
            <w:tr w14:paraId="0486590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13" w:hRule="atLeast"/>
                <w:jc w:val="center"/>
              </w:trPr>
              <w:tc>
                <w:tcPr>
                  <w:tcW w:w="625" w:type="pct"/>
                  <w:vAlign w:val="center"/>
                </w:tcPr>
                <w:p w14:paraId="5D7D5FF3">
                  <w:pPr>
                    <w:jc w:val="center"/>
                    <w:rPr>
                      <w:color w:val="auto"/>
                      <w:kern w:val="1"/>
                      <w:szCs w:val="21"/>
                    </w:rPr>
                  </w:pPr>
                  <w:r>
                    <w:rPr>
                      <w:rFonts w:hint="eastAsia"/>
                      <w:color w:val="auto"/>
                      <w:kern w:val="1"/>
                      <w:szCs w:val="21"/>
                    </w:rPr>
                    <w:t>2</w:t>
                  </w:r>
                </w:p>
              </w:tc>
              <w:tc>
                <w:tcPr>
                  <w:tcW w:w="2523" w:type="pct"/>
                  <w:vAlign w:val="center"/>
                </w:tcPr>
                <w:p w14:paraId="76861353">
                  <w:pPr>
                    <w:jc w:val="center"/>
                    <w:rPr>
                      <w:color w:val="auto"/>
                      <w:kern w:val="1"/>
                      <w:szCs w:val="21"/>
                    </w:rPr>
                  </w:pPr>
                  <w:r>
                    <w:rPr>
                      <w:rFonts w:hint="eastAsia"/>
                      <w:color w:val="auto"/>
                      <w:kern w:val="1"/>
                      <w:szCs w:val="21"/>
                    </w:rPr>
                    <w:t>BOD</w:t>
                  </w:r>
                  <w:r>
                    <w:rPr>
                      <w:rFonts w:hint="eastAsia"/>
                      <w:color w:val="auto"/>
                      <w:kern w:val="1"/>
                      <w:szCs w:val="21"/>
                      <w:vertAlign w:val="subscript"/>
                    </w:rPr>
                    <w:t>5</w:t>
                  </w:r>
                </w:p>
              </w:tc>
              <w:tc>
                <w:tcPr>
                  <w:tcW w:w="1850" w:type="pct"/>
                  <w:vAlign w:val="center"/>
                </w:tcPr>
                <w:p w14:paraId="55F6659F">
                  <w:pPr>
                    <w:jc w:val="center"/>
                    <w:rPr>
                      <w:color w:val="auto"/>
                      <w:kern w:val="1"/>
                      <w:szCs w:val="21"/>
                    </w:rPr>
                  </w:pPr>
                  <w:r>
                    <w:rPr>
                      <w:rFonts w:hint="eastAsia"/>
                      <w:color w:val="auto"/>
                      <w:kern w:val="1"/>
                      <w:szCs w:val="21"/>
                    </w:rPr>
                    <w:t>300</w:t>
                  </w:r>
                </w:p>
              </w:tc>
            </w:tr>
            <w:tr w14:paraId="49E6350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13" w:hRule="atLeast"/>
                <w:jc w:val="center"/>
              </w:trPr>
              <w:tc>
                <w:tcPr>
                  <w:tcW w:w="625" w:type="pct"/>
                  <w:vAlign w:val="center"/>
                </w:tcPr>
                <w:p w14:paraId="76D5D9E9">
                  <w:pPr>
                    <w:jc w:val="center"/>
                    <w:rPr>
                      <w:color w:val="auto"/>
                      <w:kern w:val="1"/>
                      <w:szCs w:val="21"/>
                    </w:rPr>
                  </w:pPr>
                  <w:r>
                    <w:rPr>
                      <w:rFonts w:hint="eastAsia"/>
                      <w:color w:val="auto"/>
                      <w:kern w:val="1"/>
                      <w:szCs w:val="21"/>
                    </w:rPr>
                    <w:t>3</w:t>
                  </w:r>
                </w:p>
              </w:tc>
              <w:tc>
                <w:tcPr>
                  <w:tcW w:w="2523" w:type="pct"/>
                  <w:vAlign w:val="center"/>
                </w:tcPr>
                <w:p w14:paraId="60626E39">
                  <w:pPr>
                    <w:jc w:val="center"/>
                    <w:rPr>
                      <w:color w:val="auto"/>
                      <w:kern w:val="1"/>
                      <w:szCs w:val="21"/>
                    </w:rPr>
                  </w:pPr>
                  <w:r>
                    <w:rPr>
                      <w:rFonts w:hint="eastAsia"/>
                      <w:color w:val="auto"/>
                      <w:kern w:val="1"/>
                      <w:szCs w:val="21"/>
                    </w:rPr>
                    <w:t>SS</w:t>
                  </w:r>
                </w:p>
              </w:tc>
              <w:tc>
                <w:tcPr>
                  <w:tcW w:w="1850" w:type="pct"/>
                  <w:vAlign w:val="center"/>
                </w:tcPr>
                <w:p w14:paraId="35F3E798">
                  <w:pPr>
                    <w:jc w:val="center"/>
                    <w:rPr>
                      <w:color w:val="auto"/>
                      <w:kern w:val="1"/>
                      <w:szCs w:val="21"/>
                    </w:rPr>
                  </w:pPr>
                  <w:r>
                    <w:rPr>
                      <w:rFonts w:hint="eastAsia"/>
                      <w:color w:val="auto"/>
                      <w:kern w:val="1"/>
                      <w:szCs w:val="21"/>
                    </w:rPr>
                    <w:t>400</w:t>
                  </w:r>
                </w:p>
              </w:tc>
            </w:tr>
            <w:tr w14:paraId="338B5BB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13" w:hRule="atLeast"/>
                <w:jc w:val="center"/>
              </w:trPr>
              <w:tc>
                <w:tcPr>
                  <w:tcW w:w="625" w:type="pct"/>
                  <w:vAlign w:val="center"/>
                </w:tcPr>
                <w:p w14:paraId="0F0053EB">
                  <w:pPr>
                    <w:jc w:val="center"/>
                    <w:rPr>
                      <w:color w:val="auto"/>
                      <w:kern w:val="1"/>
                      <w:szCs w:val="21"/>
                    </w:rPr>
                  </w:pPr>
                  <w:r>
                    <w:rPr>
                      <w:rFonts w:hint="eastAsia"/>
                      <w:color w:val="auto"/>
                      <w:kern w:val="1"/>
                      <w:szCs w:val="21"/>
                    </w:rPr>
                    <w:t>4</w:t>
                  </w:r>
                </w:p>
              </w:tc>
              <w:tc>
                <w:tcPr>
                  <w:tcW w:w="2523" w:type="pct"/>
                  <w:vAlign w:val="center"/>
                </w:tcPr>
                <w:p w14:paraId="1E76691F">
                  <w:pPr>
                    <w:jc w:val="center"/>
                    <w:rPr>
                      <w:color w:val="auto"/>
                      <w:kern w:val="1"/>
                      <w:szCs w:val="21"/>
                    </w:rPr>
                  </w:pPr>
                  <w:r>
                    <w:rPr>
                      <w:rFonts w:hint="eastAsia"/>
                      <w:color w:val="auto"/>
                      <w:kern w:val="1"/>
                      <w:szCs w:val="21"/>
                    </w:rPr>
                    <w:t>氨氮</w:t>
                  </w:r>
                </w:p>
              </w:tc>
              <w:tc>
                <w:tcPr>
                  <w:tcW w:w="1850" w:type="pct"/>
                  <w:vAlign w:val="center"/>
                </w:tcPr>
                <w:p w14:paraId="485CB9A7">
                  <w:pPr>
                    <w:jc w:val="center"/>
                    <w:rPr>
                      <w:rFonts w:hint="eastAsia" w:eastAsia="宋体"/>
                      <w:color w:val="auto"/>
                      <w:kern w:val="1"/>
                      <w:szCs w:val="21"/>
                      <w:lang w:eastAsia="zh-CN"/>
                    </w:rPr>
                  </w:pPr>
                  <w:r>
                    <w:rPr>
                      <w:rFonts w:hint="eastAsia"/>
                      <w:color w:val="auto"/>
                      <w:kern w:val="1"/>
                      <w:szCs w:val="21"/>
                      <w:lang w:eastAsia="zh-CN"/>
                    </w:rPr>
                    <w:t>—</w:t>
                  </w:r>
                </w:p>
              </w:tc>
            </w:tr>
          </w:tbl>
          <w:p w14:paraId="708B5C9C">
            <w:pPr>
              <w:pStyle w:val="1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2" w:firstLineChars="200"/>
              <w:jc w:val="center"/>
              <w:textAlignment w:val="auto"/>
              <w:rPr>
                <w:rFonts w:hint="default"/>
                <w:color w:val="auto"/>
                <w:lang w:val="en-US" w:eastAsia="zh-CN"/>
              </w:rPr>
            </w:pPr>
            <w:r>
              <w:rPr>
                <w:rFonts w:hint="eastAsia" w:ascii="Times New Roman" w:hAnsi="Times New Roman" w:cs="Times New Roman" w:eastAsiaTheme="minorEastAsia"/>
                <w:b/>
                <w:bCs/>
                <w:color w:val="auto"/>
                <w:kern w:val="2"/>
                <w:sz w:val="21"/>
                <w:szCs w:val="24"/>
                <w:highlight w:val="none"/>
                <w:lang w:val="en-US" w:eastAsia="zh-CN" w:bidi="ar-SA"/>
              </w:rPr>
              <w:t>表3-</w:t>
            </w:r>
            <w:r>
              <w:rPr>
                <w:rFonts w:hint="eastAsia" w:cs="Times New Roman" w:eastAsiaTheme="minorEastAsia"/>
                <w:b/>
                <w:bCs/>
                <w:color w:val="auto"/>
                <w:kern w:val="2"/>
                <w:sz w:val="21"/>
                <w:szCs w:val="24"/>
                <w:highlight w:val="none"/>
                <w:lang w:val="en-US" w:eastAsia="zh-CN" w:bidi="ar-SA"/>
              </w:rPr>
              <w:t>13</w:t>
            </w:r>
            <w:r>
              <w:rPr>
                <w:rFonts w:hint="eastAsia" w:ascii="Times New Roman" w:hAnsi="Times New Roman" w:cs="Times New Roman" w:eastAsiaTheme="minorEastAsia"/>
                <w:b/>
                <w:bCs/>
                <w:color w:val="auto"/>
                <w:kern w:val="2"/>
                <w:sz w:val="21"/>
                <w:szCs w:val="24"/>
                <w:highlight w:val="none"/>
                <w:lang w:val="en-US" w:eastAsia="zh-CN" w:bidi="ar-SA"/>
              </w:rPr>
              <w:t xml:space="preserve">  </w:t>
            </w:r>
            <w:r>
              <w:rPr>
                <w:rFonts w:hint="eastAsia" w:cs="Times New Roman" w:eastAsiaTheme="minorEastAsia"/>
                <w:b/>
                <w:bCs/>
                <w:color w:val="auto"/>
                <w:kern w:val="2"/>
                <w:sz w:val="21"/>
                <w:szCs w:val="24"/>
                <w:highlight w:val="none"/>
                <w:lang w:val="en-US" w:eastAsia="zh-CN" w:bidi="ar-SA"/>
              </w:rPr>
              <w:t>废水</w:t>
            </w:r>
            <w:r>
              <w:rPr>
                <w:rFonts w:hint="eastAsia" w:ascii="Times New Roman" w:hAnsi="Times New Roman" w:cs="Times New Roman" w:eastAsiaTheme="minorEastAsia"/>
                <w:b/>
                <w:bCs/>
                <w:color w:val="auto"/>
                <w:kern w:val="2"/>
                <w:sz w:val="21"/>
                <w:szCs w:val="24"/>
                <w:highlight w:val="none"/>
                <w:lang w:val="en-US" w:eastAsia="zh-CN" w:bidi="ar-SA"/>
              </w:rPr>
              <w:t>排放标准</w:t>
            </w:r>
            <w:r>
              <w:rPr>
                <w:rFonts w:hint="eastAsia" w:cs="Times New Roman" w:eastAsiaTheme="minorEastAsia"/>
                <w:b/>
                <w:bCs/>
                <w:color w:val="auto"/>
                <w:kern w:val="2"/>
                <w:sz w:val="21"/>
                <w:szCs w:val="24"/>
                <w:highlight w:val="none"/>
                <w:lang w:val="en-US" w:eastAsia="zh-CN" w:bidi="ar-SA"/>
              </w:rPr>
              <w:t xml:space="preserve">  单位：mg/L</w:t>
            </w:r>
          </w:p>
          <w:tbl>
            <w:tblPr>
              <w:tblStyle w:val="32"/>
              <w:tblW w:w="803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1131"/>
              <w:gridCol w:w="1131"/>
              <w:gridCol w:w="1131"/>
              <w:gridCol w:w="1131"/>
              <w:gridCol w:w="1132"/>
              <w:gridCol w:w="1251"/>
            </w:tblGrid>
            <w:tr w14:paraId="0C279C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702" w:type="pct"/>
                  <w:tcBorders>
                    <w:tl2br w:val="nil"/>
                    <w:tr2bl w:val="nil"/>
                  </w:tcBorders>
                  <w:vAlign w:val="center"/>
                </w:tcPr>
                <w:p w14:paraId="370EB580">
                  <w:pPr>
                    <w:jc w:val="center"/>
                    <w:rPr>
                      <w:rFonts w:hint="default"/>
                      <w:color w:val="auto"/>
                      <w:vertAlign w:val="baseline"/>
                      <w:lang w:eastAsia="zh-CN"/>
                    </w:rPr>
                  </w:pPr>
                  <w:r>
                    <w:rPr>
                      <w:rFonts w:hint="eastAsia"/>
                      <w:color w:val="auto"/>
                      <w:vertAlign w:val="baseline"/>
                      <w:lang w:eastAsia="zh-CN"/>
                    </w:rPr>
                    <w:t>污染物</w:t>
                  </w:r>
                </w:p>
              </w:tc>
              <w:tc>
                <w:tcPr>
                  <w:tcW w:w="703" w:type="pct"/>
                  <w:tcBorders>
                    <w:tl2br w:val="nil"/>
                    <w:tr2bl w:val="nil"/>
                  </w:tcBorders>
                  <w:vAlign w:val="center"/>
                </w:tcPr>
                <w:p w14:paraId="5EE0DCB3">
                  <w:pPr>
                    <w:jc w:val="center"/>
                    <w:rPr>
                      <w:rFonts w:hint="default"/>
                      <w:color w:val="auto"/>
                      <w:vertAlign w:val="baseline"/>
                      <w:lang w:val="en-US" w:eastAsia="zh-CN"/>
                    </w:rPr>
                  </w:pPr>
                  <w:r>
                    <w:rPr>
                      <w:rFonts w:hint="eastAsia"/>
                      <w:color w:val="auto"/>
                      <w:vertAlign w:val="baseline"/>
                      <w:lang w:val="en-US" w:eastAsia="zh-CN"/>
                    </w:rPr>
                    <w:t>pH</w:t>
                  </w:r>
                </w:p>
              </w:tc>
              <w:tc>
                <w:tcPr>
                  <w:tcW w:w="703" w:type="pct"/>
                  <w:tcBorders>
                    <w:tl2br w:val="nil"/>
                    <w:tr2bl w:val="nil"/>
                  </w:tcBorders>
                  <w:vAlign w:val="center"/>
                </w:tcPr>
                <w:p w14:paraId="447A9104">
                  <w:pPr>
                    <w:jc w:val="center"/>
                    <w:rPr>
                      <w:rFonts w:hint="default"/>
                      <w:color w:val="auto"/>
                      <w:vertAlign w:val="baseline"/>
                      <w:lang w:val="en-US" w:eastAsia="zh-CN"/>
                    </w:rPr>
                  </w:pPr>
                  <w:r>
                    <w:rPr>
                      <w:rFonts w:hint="eastAsia"/>
                      <w:color w:val="auto"/>
                      <w:vertAlign w:val="baseline"/>
                      <w:lang w:val="en-US" w:eastAsia="zh-CN"/>
                    </w:rPr>
                    <w:t>COD</w:t>
                  </w:r>
                </w:p>
              </w:tc>
              <w:tc>
                <w:tcPr>
                  <w:tcW w:w="703" w:type="pct"/>
                  <w:tcBorders>
                    <w:tl2br w:val="nil"/>
                    <w:tr2bl w:val="nil"/>
                  </w:tcBorders>
                  <w:vAlign w:val="center"/>
                </w:tcPr>
                <w:p w14:paraId="0C1B3E7F">
                  <w:pPr>
                    <w:jc w:val="center"/>
                    <w:rPr>
                      <w:rFonts w:hint="default"/>
                      <w:color w:val="auto"/>
                      <w:vertAlign w:val="baseline"/>
                      <w:lang w:val="en-US" w:eastAsia="zh-CN"/>
                    </w:rPr>
                  </w:pPr>
                  <w:r>
                    <w:rPr>
                      <w:rFonts w:hint="eastAsia"/>
                      <w:color w:val="auto"/>
                      <w:vertAlign w:val="baseline"/>
                      <w:lang w:val="en-US" w:eastAsia="zh-CN"/>
                    </w:rPr>
                    <w:t>BOD</w:t>
                  </w:r>
                  <w:r>
                    <w:rPr>
                      <w:rFonts w:hint="eastAsia"/>
                      <w:color w:val="auto"/>
                      <w:vertAlign w:val="subscript"/>
                      <w:lang w:val="en-US" w:eastAsia="zh-CN"/>
                    </w:rPr>
                    <w:t>5</w:t>
                  </w:r>
                </w:p>
              </w:tc>
              <w:tc>
                <w:tcPr>
                  <w:tcW w:w="703" w:type="pct"/>
                  <w:tcBorders>
                    <w:tl2br w:val="nil"/>
                    <w:tr2bl w:val="nil"/>
                  </w:tcBorders>
                  <w:vAlign w:val="center"/>
                </w:tcPr>
                <w:p w14:paraId="138E801E">
                  <w:pPr>
                    <w:jc w:val="center"/>
                    <w:rPr>
                      <w:rFonts w:hint="default"/>
                      <w:color w:val="auto"/>
                      <w:vertAlign w:val="baseline"/>
                      <w:lang w:val="en-US" w:eastAsia="zh-CN"/>
                    </w:rPr>
                  </w:pPr>
                  <w:r>
                    <w:rPr>
                      <w:rFonts w:hint="eastAsia"/>
                      <w:color w:val="auto"/>
                      <w:vertAlign w:val="baseline"/>
                      <w:lang w:val="en-US" w:eastAsia="zh-CN"/>
                    </w:rPr>
                    <w:t>SS</w:t>
                  </w:r>
                </w:p>
              </w:tc>
              <w:tc>
                <w:tcPr>
                  <w:tcW w:w="704" w:type="pct"/>
                  <w:tcBorders>
                    <w:tl2br w:val="nil"/>
                    <w:tr2bl w:val="nil"/>
                  </w:tcBorders>
                  <w:vAlign w:val="center"/>
                </w:tcPr>
                <w:p w14:paraId="3ABFD536">
                  <w:pPr>
                    <w:jc w:val="center"/>
                    <w:rPr>
                      <w:rFonts w:hint="default"/>
                      <w:color w:val="auto"/>
                      <w:vertAlign w:val="baseline"/>
                      <w:lang w:eastAsia="zh-CN"/>
                    </w:rPr>
                  </w:pPr>
                  <w:r>
                    <w:rPr>
                      <w:rFonts w:hint="eastAsia"/>
                      <w:color w:val="auto"/>
                      <w:vertAlign w:val="baseline"/>
                      <w:lang w:eastAsia="zh-CN"/>
                    </w:rPr>
                    <w:t>氨氮</w:t>
                  </w:r>
                </w:p>
              </w:tc>
              <w:tc>
                <w:tcPr>
                  <w:tcW w:w="778" w:type="pct"/>
                  <w:tcBorders>
                    <w:tl2br w:val="nil"/>
                    <w:tr2bl w:val="nil"/>
                  </w:tcBorders>
                  <w:vAlign w:val="center"/>
                </w:tcPr>
                <w:p w14:paraId="065D67BF">
                  <w:pPr>
                    <w:jc w:val="center"/>
                    <w:rPr>
                      <w:rFonts w:hint="default"/>
                      <w:color w:val="auto"/>
                      <w:vertAlign w:val="baseline"/>
                      <w:lang w:val="en-US" w:eastAsia="zh-CN"/>
                    </w:rPr>
                  </w:pPr>
                  <w:r>
                    <w:rPr>
                      <w:rFonts w:hint="eastAsia"/>
                      <w:color w:val="auto"/>
                      <w:vertAlign w:val="baseline"/>
                      <w:lang w:val="en-US" w:eastAsia="zh-CN"/>
                    </w:rPr>
                    <w:t>石油类</w:t>
                  </w:r>
                </w:p>
              </w:tc>
            </w:tr>
            <w:tr w14:paraId="2DB558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2" w:type="pct"/>
                  <w:tcBorders>
                    <w:tl2br w:val="nil"/>
                    <w:tr2bl w:val="nil"/>
                  </w:tcBorders>
                  <w:vAlign w:val="center"/>
                </w:tcPr>
                <w:p w14:paraId="2F53B20B">
                  <w:pPr>
                    <w:jc w:val="center"/>
                    <w:rPr>
                      <w:rFonts w:hint="default"/>
                      <w:color w:val="auto"/>
                      <w:vertAlign w:val="baseline"/>
                      <w:lang w:eastAsia="zh-CN"/>
                    </w:rPr>
                  </w:pPr>
                  <w:r>
                    <w:rPr>
                      <w:rFonts w:hint="eastAsia"/>
                      <w:color w:val="auto"/>
                      <w:vertAlign w:val="baseline"/>
                      <w:lang w:eastAsia="zh-CN"/>
                    </w:rPr>
                    <w:t>排放标准</w:t>
                  </w:r>
                </w:p>
              </w:tc>
              <w:tc>
                <w:tcPr>
                  <w:tcW w:w="703" w:type="pct"/>
                  <w:tcBorders>
                    <w:tl2br w:val="nil"/>
                    <w:tr2bl w:val="nil"/>
                  </w:tcBorders>
                  <w:vAlign w:val="center"/>
                </w:tcPr>
                <w:p w14:paraId="221D1F49">
                  <w:pPr>
                    <w:jc w:val="center"/>
                    <w:rPr>
                      <w:rFonts w:hint="default"/>
                      <w:color w:val="auto"/>
                      <w:vertAlign w:val="baseline"/>
                      <w:lang w:val="en-US" w:eastAsia="zh-CN"/>
                    </w:rPr>
                  </w:pPr>
                  <w:r>
                    <w:rPr>
                      <w:rFonts w:hint="eastAsia"/>
                      <w:color w:val="auto"/>
                      <w:vertAlign w:val="baseline"/>
                      <w:lang w:val="en-US" w:eastAsia="zh-CN"/>
                    </w:rPr>
                    <w:t>6~9</w:t>
                  </w:r>
                </w:p>
              </w:tc>
              <w:tc>
                <w:tcPr>
                  <w:tcW w:w="703" w:type="pct"/>
                  <w:tcBorders>
                    <w:tl2br w:val="nil"/>
                    <w:tr2bl w:val="nil"/>
                  </w:tcBorders>
                  <w:vAlign w:val="center"/>
                </w:tcPr>
                <w:p w14:paraId="79CF3B23">
                  <w:pPr>
                    <w:jc w:val="center"/>
                    <w:rPr>
                      <w:rFonts w:hint="default"/>
                      <w:color w:val="auto"/>
                      <w:vertAlign w:val="baseline"/>
                      <w:lang w:val="en-US" w:eastAsia="zh-CN"/>
                    </w:rPr>
                  </w:pPr>
                  <w:r>
                    <w:rPr>
                      <w:rFonts w:hint="eastAsia"/>
                      <w:color w:val="auto"/>
                      <w:vertAlign w:val="baseline"/>
                      <w:lang w:val="en-US" w:eastAsia="zh-CN"/>
                    </w:rPr>
                    <w:t>500</w:t>
                  </w:r>
                </w:p>
              </w:tc>
              <w:tc>
                <w:tcPr>
                  <w:tcW w:w="703" w:type="pct"/>
                  <w:tcBorders>
                    <w:tl2br w:val="nil"/>
                    <w:tr2bl w:val="nil"/>
                  </w:tcBorders>
                  <w:vAlign w:val="center"/>
                </w:tcPr>
                <w:p w14:paraId="446DD9C0">
                  <w:pPr>
                    <w:jc w:val="center"/>
                    <w:rPr>
                      <w:rFonts w:hint="default"/>
                      <w:color w:val="auto"/>
                      <w:vertAlign w:val="baseline"/>
                      <w:lang w:val="en-US" w:eastAsia="zh-CN"/>
                    </w:rPr>
                  </w:pPr>
                  <w:r>
                    <w:rPr>
                      <w:rFonts w:hint="eastAsia"/>
                      <w:color w:val="auto"/>
                      <w:vertAlign w:val="baseline"/>
                      <w:lang w:val="en-US" w:eastAsia="zh-CN"/>
                    </w:rPr>
                    <w:t>300</w:t>
                  </w:r>
                </w:p>
              </w:tc>
              <w:tc>
                <w:tcPr>
                  <w:tcW w:w="703" w:type="pct"/>
                  <w:tcBorders>
                    <w:tl2br w:val="nil"/>
                    <w:tr2bl w:val="nil"/>
                  </w:tcBorders>
                  <w:vAlign w:val="center"/>
                </w:tcPr>
                <w:p w14:paraId="277F8931">
                  <w:pPr>
                    <w:jc w:val="center"/>
                    <w:rPr>
                      <w:rFonts w:hint="default"/>
                      <w:color w:val="auto"/>
                      <w:vertAlign w:val="baseline"/>
                      <w:lang w:val="en-US" w:eastAsia="zh-CN"/>
                    </w:rPr>
                  </w:pPr>
                  <w:r>
                    <w:rPr>
                      <w:rFonts w:hint="eastAsia"/>
                      <w:color w:val="auto"/>
                      <w:vertAlign w:val="baseline"/>
                      <w:lang w:val="en-US" w:eastAsia="zh-CN"/>
                    </w:rPr>
                    <w:t>400</w:t>
                  </w:r>
                </w:p>
              </w:tc>
              <w:tc>
                <w:tcPr>
                  <w:tcW w:w="704" w:type="pct"/>
                  <w:tcBorders>
                    <w:tl2br w:val="nil"/>
                    <w:tr2bl w:val="nil"/>
                  </w:tcBorders>
                  <w:vAlign w:val="center"/>
                </w:tcPr>
                <w:p w14:paraId="38F2C0C4">
                  <w:pPr>
                    <w:jc w:val="center"/>
                    <w:rPr>
                      <w:rFonts w:hint="default"/>
                      <w:color w:val="auto"/>
                      <w:vertAlign w:val="baseline"/>
                      <w:lang w:val="en-US" w:eastAsia="zh-CN"/>
                    </w:rPr>
                  </w:pPr>
                  <w:r>
                    <w:rPr>
                      <w:rFonts w:hint="eastAsia"/>
                      <w:color w:val="auto"/>
                      <w:vertAlign w:val="baseline"/>
                      <w:lang w:val="en-US" w:eastAsia="zh-CN"/>
                    </w:rPr>
                    <w:t>—</w:t>
                  </w:r>
                </w:p>
              </w:tc>
              <w:tc>
                <w:tcPr>
                  <w:tcW w:w="778" w:type="pct"/>
                  <w:tcBorders>
                    <w:tl2br w:val="nil"/>
                    <w:tr2bl w:val="nil"/>
                  </w:tcBorders>
                  <w:vAlign w:val="center"/>
                </w:tcPr>
                <w:p w14:paraId="5373E3FE">
                  <w:pPr>
                    <w:jc w:val="center"/>
                    <w:rPr>
                      <w:rFonts w:hint="default"/>
                      <w:color w:val="auto"/>
                      <w:vertAlign w:val="baseline"/>
                      <w:lang w:val="en-US" w:eastAsia="zh-CN"/>
                    </w:rPr>
                  </w:pPr>
                  <w:r>
                    <w:rPr>
                      <w:rFonts w:hint="eastAsia"/>
                      <w:color w:val="auto"/>
                      <w:vertAlign w:val="baseline"/>
                      <w:lang w:val="en-US" w:eastAsia="zh-CN"/>
                    </w:rPr>
                    <w:t>20</w:t>
                  </w:r>
                </w:p>
              </w:tc>
            </w:tr>
          </w:tbl>
          <w:p w14:paraId="72CDAC14">
            <w:pPr>
              <w:keepLines w:val="0"/>
              <w:pageBreakBefore w:val="0"/>
              <w:topLinePunct w:val="0"/>
              <w:bidi w:val="0"/>
              <w:spacing w:beforeAutospacing="0" w:afterAutospacing="0" w:line="360" w:lineRule="auto"/>
              <w:ind w:left="0" w:leftChars="0" w:right="0" w:rightChars="0" w:firstLine="480" w:firstLineChars="200"/>
              <w:rPr>
                <w:rFonts w:hint="default" w:ascii="Times New Roman" w:hAnsi="Times New Roman" w:cs="Times New Roman" w:eastAsiaTheme="minorEastAsia"/>
                <w:b w:val="0"/>
                <w:bCs w:val="0"/>
                <w:color w:val="auto"/>
                <w:sz w:val="24"/>
              </w:rPr>
            </w:pPr>
            <w:r>
              <w:rPr>
                <w:rFonts w:hint="eastAsia" w:cs="Times New Roman" w:eastAsiaTheme="minorEastAsia"/>
                <w:b w:val="0"/>
                <w:bCs w:val="0"/>
                <w:color w:val="auto"/>
                <w:sz w:val="24"/>
                <w:lang w:val="en-US" w:eastAsia="zh-CN"/>
              </w:rPr>
              <w:t>3、</w:t>
            </w:r>
            <w:r>
              <w:rPr>
                <w:rFonts w:hint="default" w:ascii="Times New Roman" w:hAnsi="Times New Roman" w:cs="Times New Roman" w:eastAsiaTheme="minorEastAsia"/>
                <w:b w:val="0"/>
                <w:bCs w:val="0"/>
                <w:color w:val="auto"/>
                <w:sz w:val="24"/>
              </w:rPr>
              <w:t>噪声排放标准</w:t>
            </w:r>
          </w:p>
          <w:p w14:paraId="0AA7E5CE">
            <w:pPr>
              <w:keepLines w:val="0"/>
              <w:pageBreakBefore w:val="0"/>
              <w:topLinePunct w:val="0"/>
              <w:bidi w:val="0"/>
              <w:adjustRightInd w:val="0"/>
              <w:snapToGrid w:val="0"/>
              <w:spacing w:beforeAutospacing="0" w:afterAutospacing="0" w:line="360" w:lineRule="auto"/>
              <w:ind w:left="0" w:leftChars="0" w:right="0" w:rightChars="0"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kern w:val="0"/>
                <w:sz w:val="24"/>
                <w:szCs w:val="28"/>
                <w:lang w:val="en-US" w:bidi="ar-SA"/>
              </w:rPr>
              <w:t>本项目施工期场界噪声执行《建筑施工场界环境噪声排放标准》（GB12523-2011）标准值，其标准限值见表3-1</w:t>
            </w:r>
            <w:r>
              <w:rPr>
                <w:rFonts w:hint="eastAsia" w:cs="Times New Roman"/>
                <w:color w:val="auto"/>
                <w:kern w:val="0"/>
                <w:sz w:val="24"/>
                <w:szCs w:val="28"/>
                <w:lang w:val="en-US" w:eastAsia="zh-CN" w:bidi="ar-SA"/>
              </w:rPr>
              <w:t>4</w:t>
            </w:r>
            <w:r>
              <w:rPr>
                <w:rFonts w:hint="eastAsia" w:ascii="Times New Roman" w:hAnsi="Times New Roman" w:eastAsia="宋体" w:cs="Times New Roman"/>
                <w:color w:val="auto"/>
                <w:kern w:val="0"/>
                <w:sz w:val="24"/>
                <w:szCs w:val="28"/>
                <w:lang w:val="en-US" w:bidi="ar-SA"/>
              </w:rPr>
              <w:t>。</w:t>
            </w:r>
          </w:p>
          <w:p w14:paraId="6862F815">
            <w:pPr>
              <w:keepLines w:val="0"/>
              <w:pageBreakBefore w:val="0"/>
              <w:topLinePunct w:val="0"/>
              <w:bidi w:val="0"/>
              <w:adjustRightInd w:val="0"/>
              <w:snapToGrid w:val="0"/>
              <w:spacing w:beforeAutospacing="0" w:afterAutospacing="0" w:line="360" w:lineRule="auto"/>
              <w:ind w:left="0" w:leftChars="0" w:right="0" w:rightChars="0" w:firstLine="480" w:firstLineChars="200"/>
              <w:rPr>
                <w:rFonts w:hint="default" w:ascii="Times New Roman" w:hAnsi="Times New Roman" w:cs="Times New Roman" w:eastAsiaTheme="minorEastAsia"/>
                <w:bCs/>
                <w:color w:val="auto"/>
                <w:sz w:val="24"/>
              </w:rPr>
            </w:pPr>
            <w:r>
              <w:rPr>
                <w:rFonts w:hint="eastAsia" w:ascii="Times New Roman" w:hAnsi="Times New Roman" w:eastAsia="宋体" w:cs="Times New Roman"/>
                <w:color w:val="auto"/>
                <w:sz w:val="24"/>
                <w:highlight w:val="none"/>
                <w:lang w:val="en-US" w:eastAsia="zh-CN"/>
              </w:rPr>
              <w:t>本项目位于</w:t>
            </w:r>
            <w:r>
              <w:rPr>
                <w:rFonts w:hint="eastAsia" w:ascii="Times New Roman" w:hAnsi="Times New Roman" w:cs="Times New Roman"/>
                <w:color w:val="auto"/>
                <w:sz w:val="24"/>
              </w:rPr>
              <w:t>鸡西市鸡冠区梁家村六组</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根</w:t>
            </w:r>
            <w:r>
              <w:rPr>
                <w:rFonts w:hint="eastAsia" w:ascii="Times New Roman" w:hAnsi="Times New Roman" w:eastAsia="宋体" w:cs="Times New Roman"/>
                <w:color w:val="auto"/>
                <w:kern w:val="0"/>
                <w:sz w:val="24"/>
                <w:szCs w:val="28"/>
                <w:lang w:val="en-US" w:eastAsia="zh-CN" w:bidi="ar-SA"/>
              </w:rPr>
              <w:t>据《鸡西市中心城区声环境功能区划分图》</w:t>
            </w:r>
            <w:r>
              <w:rPr>
                <w:rFonts w:hint="eastAsia" w:cs="Times New Roman"/>
                <w:color w:val="auto"/>
                <w:kern w:val="0"/>
                <w:sz w:val="24"/>
                <w:szCs w:val="28"/>
                <w:lang w:val="en-US" w:eastAsia="zh-CN" w:bidi="ar-SA"/>
              </w:rPr>
              <w:t>（附图6）</w:t>
            </w:r>
            <w:r>
              <w:rPr>
                <w:rFonts w:hint="eastAsia" w:ascii="Times New Roman" w:hAnsi="Times New Roman" w:eastAsia="宋体" w:cs="Times New Roman"/>
                <w:color w:val="auto"/>
                <w:kern w:val="0"/>
                <w:sz w:val="24"/>
                <w:szCs w:val="28"/>
                <w:lang w:val="en-US" w:eastAsia="zh-CN" w:bidi="ar-SA"/>
              </w:rPr>
              <w:t>本项目位于2类声</w:t>
            </w:r>
            <w:r>
              <w:rPr>
                <w:rFonts w:hint="eastAsia" w:cs="Times New Roman"/>
                <w:color w:val="auto"/>
                <w:sz w:val="24"/>
                <w:highlight w:val="none"/>
                <w:lang w:val="en-US" w:eastAsia="zh-CN"/>
              </w:rPr>
              <w:t>环境功能区，</w:t>
            </w:r>
            <w:r>
              <w:rPr>
                <w:rFonts w:hint="eastAsia"/>
                <w:color w:val="auto"/>
                <w:kern w:val="0"/>
                <w:sz w:val="24"/>
                <w:szCs w:val="28"/>
                <w:lang w:eastAsia="zh-CN"/>
              </w:rPr>
              <w:t>厂界</w:t>
            </w:r>
            <w:r>
              <w:rPr>
                <w:rFonts w:hint="eastAsia"/>
                <w:color w:val="auto"/>
                <w:kern w:val="0"/>
                <w:sz w:val="24"/>
                <w:szCs w:val="28"/>
                <w:lang w:val="en-US" w:eastAsia="zh-CN"/>
              </w:rPr>
              <w:t>四周</w:t>
            </w:r>
            <w:r>
              <w:rPr>
                <w:rFonts w:hint="eastAsia"/>
                <w:color w:val="auto"/>
                <w:kern w:val="0"/>
                <w:sz w:val="24"/>
                <w:szCs w:val="28"/>
              </w:rPr>
              <w:t>声环境执</w:t>
            </w:r>
            <w:r>
              <w:rPr>
                <w:rFonts w:hint="eastAsia" w:ascii="Times New Roman" w:hAnsi="Times New Roman" w:eastAsia="宋体" w:cs="Times New Roman"/>
                <w:color w:val="auto"/>
                <w:kern w:val="0"/>
                <w:sz w:val="24"/>
                <w:szCs w:val="28"/>
              </w:rPr>
              <w:t>行</w:t>
            </w:r>
            <w:r>
              <w:rPr>
                <w:rFonts w:hint="default" w:ascii="Times New Roman" w:hAnsi="Times New Roman" w:eastAsia="宋体" w:cs="Times New Roman"/>
                <w:color w:val="auto"/>
                <w:kern w:val="0"/>
                <w:sz w:val="24"/>
                <w:szCs w:val="28"/>
                <w:lang w:val="en-US" w:eastAsia="zh-CN"/>
              </w:rPr>
              <w:t>《工业企业厂界环境噪声排放标准》（GB12348-2008）</w:t>
            </w:r>
            <w:r>
              <w:rPr>
                <w:rFonts w:hint="eastAsia" w:cs="Times New Roman"/>
                <w:color w:val="auto"/>
                <w:kern w:val="0"/>
                <w:sz w:val="24"/>
                <w:szCs w:val="28"/>
                <w:lang w:val="en-US" w:eastAsia="zh-CN"/>
              </w:rPr>
              <w:t>2</w:t>
            </w:r>
            <w:r>
              <w:rPr>
                <w:rFonts w:hint="eastAsia" w:ascii="Times New Roman" w:hAnsi="Times New Roman" w:eastAsia="宋体" w:cs="Times New Roman"/>
                <w:color w:val="auto"/>
                <w:kern w:val="0"/>
                <w:sz w:val="24"/>
                <w:szCs w:val="28"/>
              </w:rPr>
              <w:t>类标准，</w:t>
            </w:r>
            <w:r>
              <w:rPr>
                <w:rFonts w:hint="eastAsia" w:cs="Times New Roman" w:eastAsiaTheme="minorEastAsia"/>
                <w:bCs/>
                <w:color w:val="auto"/>
                <w:sz w:val="24"/>
                <w:lang w:eastAsia="zh-CN"/>
              </w:rPr>
              <w:t>噪声排放标准见表</w:t>
            </w:r>
            <w:r>
              <w:rPr>
                <w:rFonts w:hint="eastAsia" w:cs="Times New Roman" w:eastAsiaTheme="minorEastAsia"/>
                <w:bCs/>
                <w:color w:val="auto"/>
                <w:sz w:val="24"/>
                <w:lang w:val="en-US" w:eastAsia="zh-CN"/>
              </w:rPr>
              <w:t>3-15</w:t>
            </w:r>
            <w:r>
              <w:rPr>
                <w:rFonts w:hint="default" w:ascii="Times New Roman" w:hAnsi="Times New Roman" w:cs="Times New Roman" w:eastAsiaTheme="minorEastAsia"/>
                <w:bCs/>
                <w:color w:val="auto"/>
                <w:sz w:val="24"/>
              </w:rPr>
              <w:t>。</w:t>
            </w:r>
          </w:p>
          <w:p w14:paraId="5BDE33CB">
            <w:pPr>
              <w:pStyle w:val="112"/>
              <w:spacing w:line="240" w:lineRule="auto"/>
              <w:rPr>
                <w:rFonts w:ascii="Times New Roman" w:eastAsiaTheme="minorEastAsia"/>
                <w:bCs/>
                <w:color w:val="auto"/>
                <w:kern w:val="2"/>
                <w:sz w:val="21"/>
                <w:szCs w:val="24"/>
              </w:rPr>
            </w:pPr>
            <w:r>
              <w:rPr>
                <w:rFonts w:hint="eastAsia" w:ascii="Times New Roman" w:eastAsiaTheme="minorEastAsia"/>
                <w:bCs/>
                <w:color w:val="auto"/>
                <w:kern w:val="2"/>
                <w:sz w:val="21"/>
                <w:szCs w:val="24"/>
              </w:rPr>
              <w:t>表3-1</w:t>
            </w:r>
            <w:r>
              <w:rPr>
                <w:rFonts w:hint="eastAsia" w:ascii="Times New Roman" w:eastAsiaTheme="minorEastAsia"/>
                <w:bCs/>
                <w:color w:val="auto"/>
                <w:kern w:val="2"/>
                <w:sz w:val="21"/>
                <w:szCs w:val="24"/>
                <w:lang w:val="en-US" w:eastAsia="zh-CN"/>
              </w:rPr>
              <w:t>4</w:t>
            </w:r>
            <w:r>
              <w:rPr>
                <w:rFonts w:hint="eastAsia" w:ascii="Times New Roman" w:eastAsiaTheme="minorEastAsia"/>
                <w:bCs/>
                <w:color w:val="auto"/>
                <w:kern w:val="2"/>
                <w:sz w:val="21"/>
                <w:szCs w:val="24"/>
              </w:rPr>
              <w:t xml:space="preserve">  《建筑施工场界环境噪声排放标准》（GB12523-2011）</w:t>
            </w:r>
          </w:p>
          <w:tbl>
            <w:tblPr>
              <w:tblStyle w:val="3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00"/>
              <w:gridCol w:w="2018"/>
              <w:gridCol w:w="2019"/>
            </w:tblGrid>
            <w:tr w14:paraId="0DF809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88" w:type="pct"/>
                  <w:vAlign w:val="center"/>
                </w:tcPr>
                <w:p w14:paraId="73D7D250">
                  <w:pPr>
                    <w:adjustRightInd w:val="0"/>
                    <w:snapToGrid w:val="0"/>
                    <w:jc w:val="center"/>
                    <w:rPr>
                      <w:rFonts w:eastAsiaTheme="minorEastAsia"/>
                      <w:color w:val="auto"/>
                      <w:szCs w:val="21"/>
                    </w:rPr>
                  </w:pPr>
                  <w:r>
                    <w:rPr>
                      <w:rFonts w:hint="eastAsia" w:eastAsiaTheme="minorEastAsia"/>
                      <w:color w:val="auto"/>
                      <w:szCs w:val="21"/>
                    </w:rPr>
                    <w:t>建筑施工场界环境噪声排放标准</w:t>
                  </w:r>
                </w:p>
              </w:tc>
              <w:tc>
                <w:tcPr>
                  <w:tcW w:w="1255" w:type="pct"/>
                  <w:vAlign w:val="center"/>
                </w:tcPr>
                <w:p w14:paraId="6FD80890">
                  <w:pPr>
                    <w:adjustRightInd w:val="0"/>
                    <w:snapToGrid w:val="0"/>
                    <w:jc w:val="center"/>
                    <w:rPr>
                      <w:rFonts w:eastAsiaTheme="minorEastAsia"/>
                      <w:color w:val="auto"/>
                      <w:szCs w:val="21"/>
                    </w:rPr>
                  </w:pPr>
                  <w:r>
                    <w:rPr>
                      <w:rFonts w:hint="eastAsia" w:eastAsiaTheme="minorEastAsia"/>
                      <w:color w:val="auto"/>
                      <w:szCs w:val="21"/>
                    </w:rPr>
                    <w:t>昼间</w:t>
                  </w:r>
                </w:p>
              </w:tc>
              <w:tc>
                <w:tcPr>
                  <w:tcW w:w="1256" w:type="pct"/>
                  <w:vAlign w:val="center"/>
                </w:tcPr>
                <w:p w14:paraId="6BC5446A">
                  <w:pPr>
                    <w:adjustRightInd w:val="0"/>
                    <w:snapToGrid w:val="0"/>
                    <w:jc w:val="center"/>
                    <w:rPr>
                      <w:rFonts w:eastAsiaTheme="minorEastAsia"/>
                      <w:color w:val="auto"/>
                      <w:szCs w:val="21"/>
                    </w:rPr>
                  </w:pPr>
                  <w:r>
                    <w:rPr>
                      <w:rFonts w:hint="eastAsia" w:eastAsiaTheme="minorEastAsia"/>
                      <w:color w:val="auto"/>
                      <w:szCs w:val="21"/>
                    </w:rPr>
                    <w:t>夜间</w:t>
                  </w:r>
                </w:p>
              </w:tc>
            </w:tr>
            <w:tr w14:paraId="79CBBB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88" w:type="pct"/>
                  <w:vAlign w:val="center"/>
                </w:tcPr>
                <w:p w14:paraId="616B3C33">
                  <w:pPr>
                    <w:adjustRightInd w:val="0"/>
                    <w:snapToGrid w:val="0"/>
                    <w:jc w:val="center"/>
                    <w:rPr>
                      <w:rFonts w:eastAsiaTheme="minorEastAsia"/>
                      <w:color w:val="auto"/>
                      <w:szCs w:val="21"/>
                    </w:rPr>
                  </w:pPr>
                  <w:r>
                    <w:rPr>
                      <w:rFonts w:hint="eastAsia" w:eastAsiaTheme="minorEastAsia"/>
                      <w:color w:val="auto"/>
                      <w:szCs w:val="21"/>
                    </w:rPr>
                    <w:t>标准值</w:t>
                  </w:r>
                </w:p>
              </w:tc>
              <w:tc>
                <w:tcPr>
                  <w:tcW w:w="1255" w:type="pct"/>
                  <w:vAlign w:val="center"/>
                </w:tcPr>
                <w:p w14:paraId="5D89E7D0">
                  <w:pPr>
                    <w:adjustRightInd w:val="0"/>
                    <w:snapToGrid w:val="0"/>
                    <w:jc w:val="center"/>
                    <w:rPr>
                      <w:rFonts w:eastAsiaTheme="minorEastAsia"/>
                      <w:color w:val="auto"/>
                      <w:szCs w:val="21"/>
                    </w:rPr>
                  </w:pPr>
                  <w:r>
                    <w:rPr>
                      <w:rFonts w:hint="eastAsia" w:eastAsiaTheme="minorEastAsia"/>
                      <w:color w:val="auto"/>
                      <w:szCs w:val="21"/>
                    </w:rPr>
                    <w:t>70dB（A）</w:t>
                  </w:r>
                </w:p>
              </w:tc>
              <w:tc>
                <w:tcPr>
                  <w:tcW w:w="1256" w:type="pct"/>
                  <w:vAlign w:val="center"/>
                </w:tcPr>
                <w:p w14:paraId="011D3D00">
                  <w:pPr>
                    <w:adjustRightInd w:val="0"/>
                    <w:snapToGrid w:val="0"/>
                    <w:jc w:val="center"/>
                    <w:rPr>
                      <w:rFonts w:eastAsiaTheme="minorEastAsia"/>
                      <w:color w:val="auto"/>
                      <w:szCs w:val="21"/>
                    </w:rPr>
                  </w:pPr>
                  <w:r>
                    <w:rPr>
                      <w:rFonts w:hint="eastAsia" w:eastAsiaTheme="minorEastAsia"/>
                      <w:color w:val="auto"/>
                      <w:szCs w:val="21"/>
                    </w:rPr>
                    <w:t>55dB（A）</w:t>
                  </w:r>
                </w:p>
              </w:tc>
            </w:tr>
          </w:tbl>
          <w:p w14:paraId="09741EA9">
            <w:pPr>
              <w:pStyle w:val="1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2" w:firstLineChars="200"/>
              <w:jc w:val="center"/>
              <w:textAlignment w:val="auto"/>
              <w:rPr>
                <w:rFonts w:hint="default" w:ascii="Times New Roman" w:hAnsi="Times New Roman" w:cs="Times New Roman" w:eastAsiaTheme="minorEastAsia"/>
                <w:b/>
                <w:bCs/>
                <w:color w:val="auto"/>
                <w:kern w:val="2"/>
                <w:sz w:val="21"/>
                <w:szCs w:val="24"/>
                <w:highlight w:val="none"/>
                <w:lang w:val="en-US" w:eastAsia="zh-CN" w:bidi="ar-SA"/>
              </w:rPr>
            </w:pPr>
            <w:r>
              <w:rPr>
                <w:rFonts w:hint="default" w:ascii="Times New Roman" w:hAnsi="Times New Roman" w:cs="Times New Roman" w:eastAsiaTheme="minorEastAsia"/>
                <w:b/>
                <w:bCs/>
                <w:color w:val="auto"/>
                <w:kern w:val="2"/>
                <w:sz w:val="21"/>
                <w:szCs w:val="24"/>
                <w:highlight w:val="none"/>
                <w:lang w:val="en-US" w:eastAsia="zh-CN" w:bidi="ar-SA"/>
              </w:rPr>
              <w:t>表3-</w:t>
            </w:r>
            <w:r>
              <w:rPr>
                <w:rFonts w:hint="eastAsia" w:cs="Times New Roman" w:eastAsiaTheme="minorEastAsia"/>
                <w:b/>
                <w:bCs/>
                <w:color w:val="auto"/>
                <w:kern w:val="2"/>
                <w:sz w:val="21"/>
                <w:szCs w:val="24"/>
                <w:highlight w:val="none"/>
                <w:lang w:val="en-US" w:eastAsia="zh-CN" w:bidi="ar-SA"/>
              </w:rPr>
              <w:t xml:space="preserve">15 </w:t>
            </w:r>
            <w:r>
              <w:rPr>
                <w:rFonts w:hint="eastAsia" w:ascii="Times New Roman" w:hAnsi="Times New Roman" w:cs="Times New Roman" w:eastAsiaTheme="minorEastAsia"/>
                <w:b/>
                <w:bCs/>
                <w:color w:val="auto"/>
                <w:kern w:val="2"/>
                <w:sz w:val="21"/>
                <w:szCs w:val="24"/>
                <w:highlight w:val="none"/>
                <w:lang w:val="en-US" w:eastAsia="zh-CN" w:bidi="ar-SA"/>
              </w:rPr>
              <w:t xml:space="preserve"> </w:t>
            </w:r>
            <w:r>
              <w:rPr>
                <w:rFonts w:hint="default" w:ascii="Times New Roman" w:hAnsi="Times New Roman" w:cs="Times New Roman" w:eastAsiaTheme="minorEastAsia"/>
                <w:b/>
                <w:bCs/>
                <w:color w:val="auto"/>
                <w:kern w:val="2"/>
                <w:sz w:val="21"/>
                <w:szCs w:val="24"/>
                <w:highlight w:val="none"/>
                <w:lang w:val="en-US" w:eastAsia="zh-CN" w:bidi="ar-SA"/>
              </w:rPr>
              <w:t>《工业企业厂界环境噪声排放标准》（GB12348-2008）</w:t>
            </w:r>
          </w:p>
          <w:tbl>
            <w:tblPr>
              <w:tblStyle w:val="3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2497"/>
              <w:gridCol w:w="1516"/>
              <w:gridCol w:w="1791"/>
              <w:gridCol w:w="2232"/>
            </w:tblGrid>
            <w:tr w14:paraId="3AB4EA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1553" w:type="pct"/>
                  <w:vMerge w:val="restart"/>
                  <w:vAlign w:val="center"/>
                </w:tcPr>
                <w:p w14:paraId="185FEB65">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lang w:eastAsia="zh-CN"/>
                    </w:rPr>
                  </w:pPr>
                  <w:r>
                    <w:rPr>
                      <w:rFonts w:hint="default" w:ascii="Times New Roman" w:hAnsi="Times New Roman" w:cs="Times New Roman" w:eastAsiaTheme="minorEastAsia"/>
                      <w:color w:val="auto"/>
                      <w:szCs w:val="21"/>
                      <w:highlight w:val="none"/>
                      <w:lang w:eastAsia="zh-CN"/>
                    </w:rPr>
                    <w:t>点位</w:t>
                  </w:r>
                </w:p>
              </w:tc>
              <w:tc>
                <w:tcPr>
                  <w:tcW w:w="943" w:type="pct"/>
                  <w:vMerge w:val="restart"/>
                  <w:vAlign w:val="center"/>
                </w:tcPr>
                <w:p w14:paraId="50DE2015">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声环境功能区类别</w:t>
                  </w:r>
                </w:p>
              </w:tc>
              <w:tc>
                <w:tcPr>
                  <w:tcW w:w="2502" w:type="pct"/>
                  <w:gridSpan w:val="2"/>
                  <w:vAlign w:val="center"/>
                </w:tcPr>
                <w:p w14:paraId="6D52BB0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cs="Times New Roman" w:eastAsiaTheme="minorEastAsia"/>
                      <w:color w:val="auto"/>
                      <w:szCs w:val="21"/>
                      <w:highlight w:val="none"/>
                      <w:lang w:eastAsia="zh-CN"/>
                    </w:rPr>
                  </w:pPr>
                  <w:r>
                    <w:rPr>
                      <w:rFonts w:hint="default" w:ascii="Times New Roman" w:hAnsi="Times New Roman" w:cs="Times New Roman" w:eastAsiaTheme="minorEastAsia"/>
                      <w:color w:val="auto"/>
                      <w:szCs w:val="21"/>
                      <w:highlight w:val="none"/>
                    </w:rPr>
                    <w:t>环境噪声标准值dB</w:t>
                  </w:r>
                  <w:r>
                    <w:rPr>
                      <w:rFonts w:hint="eastAsia" w:cs="Times New Roman" w:eastAsiaTheme="minorEastAsia"/>
                      <w:color w:val="auto"/>
                      <w:szCs w:val="21"/>
                      <w:highlight w:val="none"/>
                      <w:lang w:eastAsia="zh-CN"/>
                    </w:rPr>
                    <w:t>（</w:t>
                  </w:r>
                  <w:r>
                    <w:rPr>
                      <w:rFonts w:hint="default" w:ascii="Times New Roman" w:hAnsi="Times New Roman" w:cs="Times New Roman" w:eastAsiaTheme="minorEastAsia"/>
                      <w:color w:val="auto"/>
                      <w:szCs w:val="21"/>
                      <w:highlight w:val="none"/>
                    </w:rPr>
                    <w:t>A</w:t>
                  </w:r>
                  <w:r>
                    <w:rPr>
                      <w:rFonts w:hint="eastAsia" w:cs="Times New Roman" w:eastAsiaTheme="minorEastAsia"/>
                      <w:color w:val="auto"/>
                      <w:szCs w:val="21"/>
                      <w:highlight w:val="none"/>
                      <w:lang w:eastAsia="zh-CN"/>
                    </w:rPr>
                    <w:t>）</w:t>
                  </w:r>
                </w:p>
              </w:tc>
            </w:tr>
            <w:tr w14:paraId="162E06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1553" w:type="pct"/>
                  <w:vMerge w:val="continue"/>
                  <w:vAlign w:val="center"/>
                </w:tcPr>
                <w:p w14:paraId="75335E9E">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rPr>
                  </w:pPr>
                </w:p>
              </w:tc>
              <w:tc>
                <w:tcPr>
                  <w:tcW w:w="943" w:type="pct"/>
                  <w:vMerge w:val="continue"/>
                  <w:vAlign w:val="center"/>
                </w:tcPr>
                <w:p w14:paraId="1844821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rPr>
                  </w:pPr>
                </w:p>
              </w:tc>
              <w:tc>
                <w:tcPr>
                  <w:tcW w:w="1114" w:type="pct"/>
                  <w:vAlign w:val="center"/>
                </w:tcPr>
                <w:p w14:paraId="0A4CCD80">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昼间</w:t>
                  </w:r>
                </w:p>
              </w:tc>
              <w:tc>
                <w:tcPr>
                  <w:tcW w:w="1388" w:type="pct"/>
                  <w:vAlign w:val="center"/>
                </w:tcPr>
                <w:p w14:paraId="1B9486C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夜间</w:t>
                  </w:r>
                </w:p>
              </w:tc>
            </w:tr>
            <w:tr w14:paraId="379045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1553" w:type="pct"/>
                  <w:vAlign w:val="center"/>
                </w:tcPr>
                <w:p w14:paraId="48EDE57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lang w:eastAsia="zh-CN"/>
                    </w:rPr>
                  </w:pPr>
                  <w:r>
                    <w:rPr>
                      <w:rFonts w:hint="default" w:ascii="Times New Roman" w:hAnsi="Times New Roman" w:cs="Times New Roman" w:eastAsiaTheme="minorEastAsia"/>
                      <w:color w:val="auto"/>
                      <w:szCs w:val="21"/>
                      <w:highlight w:val="none"/>
                      <w:lang w:eastAsia="zh-CN"/>
                    </w:rPr>
                    <w:t>厂界</w:t>
                  </w:r>
                  <w:r>
                    <w:rPr>
                      <w:rFonts w:hint="eastAsia" w:cs="Times New Roman" w:eastAsiaTheme="minorEastAsia"/>
                      <w:color w:val="auto"/>
                      <w:szCs w:val="21"/>
                      <w:highlight w:val="none"/>
                      <w:lang w:val="en-US" w:eastAsia="zh-CN"/>
                    </w:rPr>
                    <w:t>四周</w:t>
                  </w:r>
                </w:p>
              </w:tc>
              <w:tc>
                <w:tcPr>
                  <w:tcW w:w="943" w:type="pct"/>
                  <w:vAlign w:val="center"/>
                </w:tcPr>
                <w:p w14:paraId="269A3081">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rPr>
                  </w:pPr>
                  <w:r>
                    <w:rPr>
                      <w:rFonts w:hint="eastAsia" w:cs="Times New Roman" w:eastAsiaTheme="minorEastAsia"/>
                      <w:color w:val="auto"/>
                      <w:szCs w:val="21"/>
                      <w:highlight w:val="none"/>
                      <w:lang w:val="en-US" w:eastAsia="zh-CN"/>
                    </w:rPr>
                    <w:t>2</w:t>
                  </w:r>
                  <w:r>
                    <w:rPr>
                      <w:rFonts w:hint="default" w:ascii="Times New Roman" w:hAnsi="Times New Roman" w:cs="Times New Roman" w:eastAsiaTheme="minorEastAsia"/>
                      <w:color w:val="auto"/>
                      <w:szCs w:val="21"/>
                      <w:highlight w:val="none"/>
                    </w:rPr>
                    <w:t>类</w:t>
                  </w:r>
                </w:p>
              </w:tc>
              <w:tc>
                <w:tcPr>
                  <w:tcW w:w="1114" w:type="pct"/>
                  <w:vAlign w:val="center"/>
                </w:tcPr>
                <w:p w14:paraId="70F00E3D">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lang w:val="en-US" w:eastAsia="zh-CN"/>
                    </w:rPr>
                  </w:pPr>
                  <w:r>
                    <w:rPr>
                      <w:rFonts w:hint="eastAsia" w:cs="Times New Roman" w:eastAsiaTheme="minorEastAsia"/>
                      <w:color w:val="auto"/>
                      <w:szCs w:val="21"/>
                      <w:highlight w:val="none"/>
                      <w:lang w:val="en-US" w:eastAsia="zh-CN"/>
                    </w:rPr>
                    <w:t>60</w:t>
                  </w:r>
                </w:p>
              </w:tc>
              <w:tc>
                <w:tcPr>
                  <w:tcW w:w="1388" w:type="pct"/>
                  <w:vAlign w:val="center"/>
                </w:tcPr>
                <w:p w14:paraId="589A275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highlight w:val="none"/>
                      <w:lang w:val="en-US" w:eastAsia="zh-CN"/>
                    </w:rPr>
                  </w:pPr>
                  <w:r>
                    <w:rPr>
                      <w:rFonts w:hint="eastAsia" w:cs="Times New Roman" w:eastAsiaTheme="minorEastAsia"/>
                      <w:color w:val="auto"/>
                      <w:szCs w:val="21"/>
                      <w:highlight w:val="none"/>
                      <w:lang w:val="en-US" w:eastAsia="zh-CN"/>
                    </w:rPr>
                    <w:t>50</w:t>
                  </w:r>
                </w:p>
              </w:tc>
            </w:tr>
          </w:tbl>
          <w:p w14:paraId="68513987">
            <w:pPr>
              <w:keepLines w:val="0"/>
              <w:pageBreakBefore w:val="0"/>
              <w:topLinePunct w:val="0"/>
              <w:bidi w:val="0"/>
              <w:spacing w:beforeAutospacing="0" w:afterAutospacing="0" w:line="360" w:lineRule="auto"/>
              <w:ind w:left="0" w:leftChars="0" w:right="0" w:rightChars="0" w:firstLine="480" w:firstLineChars="200"/>
              <w:rPr>
                <w:rFonts w:hint="default" w:ascii="Times New Roman" w:hAnsi="Times New Roman" w:cs="Times New Roman" w:eastAsiaTheme="minorEastAsia"/>
                <w:b w:val="0"/>
                <w:bCs w:val="0"/>
                <w:color w:val="auto"/>
                <w:sz w:val="24"/>
                <w:highlight w:val="none"/>
              </w:rPr>
            </w:pPr>
            <w:r>
              <w:rPr>
                <w:rFonts w:hint="eastAsia" w:ascii="Times New Roman" w:hAnsi="Times New Roman" w:cs="Times New Roman" w:eastAsiaTheme="minorEastAsia"/>
                <w:b w:val="0"/>
                <w:bCs w:val="0"/>
                <w:color w:val="auto"/>
                <w:sz w:val="24"/>
                <w:highlight w:val="none"/>
                <w:lang w:val="en-US" w:eastAsia="zh-CN"/>
              </w:rPr>
              <w:t>4</w:t>
            </w:r>
            <w:r>
              <w:rPr>
                <w:rFonts w:hint="default" w:ascii="Times New Roman" w:hAnsi="Times New Roman" w:cs="Times New Roman" w:eastAsiaTheme="minorEastAsia"/>
                <w:b w:val="0"/>
                <w:bCs w:val="0"/>
                <w:color w:val="auto"/>
                <w:sz w:val="24"/>
                <w:highlight w:val="none"/>
              </w:rPr>
              <w:t>、固废排放标准</w:t>
            </w:r>
          </w:p>
          <w:bookmarkEnd w:id="20"/>
          <w:bookmarkEnd w:id="21"/>
          <w:bookmarkEnd w:id="22"/>
          <w:bookmarkEnd w:id="23"/>
          <w:bookmarkEnd w:id="24"/>
          <w:p w14:paraId="22157428">
            <w:pPr>
              <w:pStyle w:val="81"/>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0" w:leftChars="0" w:firstLine="480" w:firstLineChars="200"/>
              <w:textAlignment w:val="auto"/>
              <w:rPr>
                <w:rFonts w:hint="default" w:ascii="Times New Roman" w:hAnsi="Times New Roman" w:eastAsia="宋体" w:cs="Times New Roman"/>
                <w:snapToGrid w:val="0"/>
                <w:color w:val="auto"/>
                <w:kern w:val="2"/>
                <w:sz w:val="24"/>
                <w:szCs w:val="24"/>
                <w:highlight w:val="none"/>
                <w:lang w:val="en-US" w:eastAsia="zh-CN" w:bidi="ar-SA"/>
              </w:rPr>
            </w:pPr>
            <w:r>
              <w:rPr>
                <w:rFonts w:hint="default" w:ascii="Times New Roman" w:hAnsi="Times New Roman" w:eastAsia="宋体" w:cs="Times New Roman"/>
                <w:color w:val="auto"/>
                <w:kern w:val="0"/>
                <w:sz w:val="24"/>
                <w:szCs w:val="28"/>
                <w:lang w:val="en-US" w:eastAsia="zh-CN" w:bidi="ar-SA"/>
              </w:rPr>
              <w:t>《</w:t>
            </w:r>
            <w:r>
              <w:rPr>
                <w:rFonts w:hint="eastAsia" w:ascii="Times New Roman" w:hAnsi="Times New Roman" w:eastAsia="宋体" w:cs="Times New Roman"/>
                <w:color w:val="auto"/>
                <w:kern w:val="0"/>
                <w:sz w:val="24"/>
                <w:szCs w:val="28"/>
                <w:lang w:val="en-US" w:eastAsia="zh-CN" w:bidi="ar-SA"/>
              </w:rPr>
              <w:t>一般</w:t>
            </w:r>
            <w:r>
              <w:rPr>
                <w:rFonts w:hint="default" w:ascii="Times New Roman" w:hAnsi="Times New Roman" w:eastAsia="宋体" w:cs="Times New Roman"/>
                <w:color w:val="auto"/>
                <w:kern w:val="0"/>
                <w:sz w:val="24"/>
                <w:szCs w:val="28"/>
                <w:lang w:val="en-US" w:eastAsia="zh-CN" w:bidi="ar-SA"/>
              </w:rPr>
              <w:t>工业固体废物贮存</w:t>
            </w:r>
            <w:r>
              <w:rPr>
                <w:rFonts w:hint="eastAsia" w:ascii="Times New Roman" w:hAnsi="Times New Roman" w:eastAsia="宋体" w:cs="Times New Roman"/>
                <w:color w:val="auto"/>
                <w:kern w:val="0"/>
                <w:sz w:val="24"/>
                <w:szCs w:val="28"/>
                <w:lang w:val="en-US" w:eastAsia="zh-CN" w:bidi="ar-SA"/>
              </w:rPr>
              <w:t>和填埋</w:t>
            </w:r>
            <w:r>
              <w:rPr>
                <w:rFonts w:hint="default" w:ascii="Times New Roman" w:hAnsi="Times New Roman" w:eastAsia="宋体" w:cs="Times New Roman"/>
                <w:color w:val="auto"/>
                <w:kern w:val="0"/>
                <w:sz w:val="24"/>
                <w:szCs w:val="28"/>
                <w:lang w:val="en-US" w:eastAsia="zh-CN" w:bidi="ar-SA"/>
              </w:rPr>
              <w:t>污染控制标准》（GB1859</w:t>
            </w:r>
            <w:r>
              <w:rPr>
                <w:rFonts w:hint="eastAsia" w:ascii="Times New Roman" w:hAnsi="Times New Roman" w:eastAsia="宋体" w:cs="Times New Roman"/>
                <w:color w:val="auto"/>
                <w:kern w:val="0"/>
                <w:sz w:val="24"/>
                <w:szCs w:val="28"/>
                <w:lang w:val="en-US" w:eastAsia="zh-CN" w:bidi="ar-SA"/>
              </w:rPr>
              <w:t>9</w:t>
            </w:r>
            <w:r>
              <w:rPr>
                <w:rFonts w:hint="default" w:ascii="Times New Roman" w:hAnsi="Times New Roman" w:eastAsia="宋体" w:cs="Times New Roman"/>
                <w:color w:val="auto"/>
                <w:kern w:val="0"/>
                <w:sz w:val="24"/>
                <w:szCs w:val="28"/>
                <w:lang w:val="en-US" w:eastAsia="zh-CN" w:bidi="ar-SA"/>
              </w:rPr>
              <w:t>-20</w:t>
            </w:r>
            <w:r>
              <w:rPr>
                <w:rFonts w:hint="eastAsia" w:ascii="Times New Roman" w:hAnsi="Times New Roman" w:eastAsia="宋体" w:cs="Times New Roman"/>
                <w:color w:val="auto"/>
                <w:kern w:val="0"/>
                <w:sz w:val="24"/>
                <w:szCs w:val="28"/>
                <w:lang w:val="en-US" w:eastAsia="zh-CN" w:bidi="ar-SA"/>
              </w:rPr>
              <w:t>20</w:t>
            </w:r>
            <w:r>
              <w:rPr>
                <w:rFonts w:hint="default" w:ascii="Times New Roman" w:hAnsi="Times New Roman" w:eastAsia="宋体" w:cs="Times New Roman"/>
                <w:color w:val="auto"/>
                <w:kern w:val="0"/>
                <w:sz w:val="24"/>
                <w:szCs w:val="28"/>
                <w:lang w:val="en-US" w:eastAsia="zh-CN" w:bidi="ar-SA"/>
              </w:rPr>
              <w:t>）</w:t>
            </w:r>
            <w:r>
              <w:rPr>
                <w:rFonts w:hint="eastAsia" w:ascii="Times New Roman" w:hAnsi="Times New Roman" w:eastAsia="宋体" w:cs="Times New Roman"/>
                <w:color w:val="auto"/>
                <w:kern w:val="0"/>
                <w:sz w:val="24"/>
                <w:szCs w:val="28"/>
                <w:lang w:val="en-US" w:eastAsia="zh-CN" w:bidi="ar-SA"/>
              </w:rPr>
              <w:t>、《固体废物分类与代码目录（2024年）》（公告2024年第4号）、《危险废物贮存污染控制标准》（GB18597-2023）。</w:t>
            </w:r>
          </w:p>
        </w:tc>
      </w:tr>
      <w:tr w14:paraId="2802B8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445" w:type="pct"/>
            <w:vAlign w:val="center"/>
          </w:tcPr>
          <w:p w14:paraId="3B69820B">
            <w:pPr>
              <w:adjustRightInd w:val="0"/>
              <w:snapToGrid w:val="0"/>
              <w:jc w:val="center"/>
              <w:rPr>
                <w:b/>
                <w:bCs/>
                <w:color w:val="auto"/>
                <w:kern w:val="0"/>
                <w:szCs w:val="21"/>
              </w:rPr>
            </w:pPr>
            <w:r>
              <w:rPr>
                <w:b/>
                <w:bCs/>
                <w:color w:val="auto"/>
                <w:kern w:val="0"/>
                <w:szCs w:val="21"/>
              </w:rPr>
              <w:t>总量</w:t>
            </w:r>
          </w:p>
          <w:p w14:paraId="3B9908D5">
            <w:pPr>
              <w:adjustRightInd w:val="0"/>
              <w:snapToGrid w:val="0"/>
              <w:jc w:val="center"/>
              <w:rPr>
                <w:b/>
                <w:bCs/>
                <w:color w:val="auto"/>
                <w:kern w:val="0"/>
                <w:szCs w:val="21"/>
              </w:rPr>
            </w:pPr>
            <w:r>
              <w:rPr>
                <w:b/>
                <w:bCs/>
                <w:color w:val="auto"/>
                <w:kern w:val="0"/>
                <w:szCs w:val="21"/>
              </w:rPr>
              <w:t>控制</w:t>
            </w:r>
          </w:p>
          <w:p w14:paraId="21AA5F39">
            <w:pPr>
              <w:adjustRightInd w:val="0"/>
              <w:snapToGrid w:val="0"/>
              <w:jc w:val="center"/>
              <w:rPr>
                <w:rFonts w:hint="default" w:ascii="Times New Roman" w:hAnsi="Times New Roman" w:eastAsia="宋体" w:cs="Times New Roman"/>
                <w:b/>
                <w:bCs/>
                <w:color w:val="auto"/>
                <w:kern w:val="0"/>
                <w:szCs w:val="21"/>
              </w:rPr>
            </w:pPr>
            <w:r>
              <w:rPr>
                <w:b/>
                <w:bCs/>
                <w:color w:val="auto"/>
                <w:kern w:val="0"/>
                <w:szCs w:val="21"/>
              </w:rPr>
              <w:t>指标</w:t>
            </w:r>
          </w:p>
        </w:tc>
        <w:tc>
          <w:tcPr>
            <w:tcW w:w="4554" w:type="pct"/>
            <w:vAlign w:val="center"/>
          </w:tcPr>
          <w:p w14:paraId="64F8015B">
            <w:pPr>
              <w:keepLines w:val="0"/>
              <w:pageBreakBefore w:val="0"/>
              <w:topLinePunct w:val="0"/>
              <w:bidi w:val="0"/>
              <w:adjustRightInd w:val="0"/>
              <w:snapToGrid w:val="0"/>
              <w:spacing w:beforeAutospacing="0" w:afterAutospacing="0" w:line="360" w:lineRule="auto"/>
              <w:ind w:left="0" w:leftChars="0" w:right="0" w:rightChars="0" w:firstLine="480" w:firstLineChars="200"/>
              <w:rPr>
                <w:rFonts w:hint="default" w:ascii="Times New Roman" w:hAnsi="Times New Roman" w:cs="Times New Roman" w:eastAsiaTheme="minorEastAsia"/>
                <w:b w:val="0"/>
                <w:bCs w:val="0"/>
                <w:color w:val="auto"/>
                <w:sz w:val="24"/>
                <w:szCs w:val="24"/>
              </w:rPr>
            </w:pPr>
            <w:r>
              <w:rPr>
                <w:rFonts w:hint="eastAsia" w:cs="Times New Roman"/>
                <w:color w:val="auto"/>
                <w:sz w:val="24"/>
                <w:highlight w:val="none"/>
                <w:lang w:val="en-US" w:eastAsia="zh-CN"/>
              </w:rPr>
              <w:t>根据“十四五”主要污染物排放总量，</w:t>
            </w:r>
            <w:r>
              <w:rPr>
                <w:rFonts w:hint="default" w:ascii="Times New Roman" w:hAnsi="Times New Roman" w:cs="Times New Roman" w:eastAsiaTheme="minorEastAsia"/>
                <w:b w:val="0"/>
                <w:bCs w:val="0"/>
                <w:color w:val="auto"/>
                <w:sz w:val="24"/>
                <w:szCs w:val="24"/>
              </w:rPr>
              <w:t>本项目污染物排放总量见表3-</w:t>
            </w:r>
            <w:r>
              <w:rPr>
                <w:rFonts w:hint="eastAsia" w:cs="Times New Roman" w:eastAsiaTheme="minorEastAsia"/>
                <w:b w:val="0"/>
                <w:bCs w:val="0"/>
                <w:color w:val="auto"/>
                <w:sz w:val="24"/>
                <w:szCs w:val="24"/>
                <w:lang w:val="en-US" w:eastAsia="zh-CN"/>
              </w:rPr>
              <w:t>16</w:t>
            </w:r>
            <w:r>
              <w:rPr>
                <w:rFonts w:hint="default" w:ascii="Times New Roman" w:hAnsi="Times New Roman" w:cs="Times New Roman" w:eastAsiaTheme="minorEastAsia"/>
                <w:b w:val="0"/>
                <w:bCs w:val="0"/>
                <w:color w:val="auto"/>
                <w:sz w:val="24"/>
                <w:szCs w:val="24"/>
              </w:rPr>
              <w:t>。</w:t>
            </w:r>
          </w:p>
          <w:p w14:paraId="0FDDA586">
            <w:pPr>
              <w:pStyle w:val="1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2" w:firstLineChars="200"/>
              <w:jc w:val="center"/>
              <w:textAlignment w:val="auto"/>
              <w:rPr>
                <w:rFonts w:hint="default" w:ascii="Times New Roman" w:hAnsi="Times New Roman" w:cs="Times New Roman" w:eastAsiaTheme="minorEastAsia"/>
                <w:b/>
                <w:bCs/>
                <w:color w:val="auto"/>
                <w:kern w:val="2"/>
                <w:sz w:val="21"/>
                <w:szCs w:val="24"/>
                <w:highlight w:val="none"/>
                <w:lang w:val="en-US" w:eastAsia="zh-CN" w:bidi="ar-SA"/>
              </w:rPr>
            </w:pPr>
            <w:r>
              <w:rPr>
                <w:rFonts w:hint="default" w:ascii="Times New Roman" w:hAnsi="Times New Roman" w:cs="Times New Roman" w:eastAsiaTheme="minorEastAsia"/>
                <w:b/>
                <w:bCs/>
                <w:color w:val="auto"/>
                <w:kern w:val="2"/>
                <w:sz w:val="21"/>
                <w:szCs w:val="24"/>
                <w:highlight w:val="none"/>
                <w:lang w:val="en-US" w:eastAsia="zh-CN" w:bidi="ar-SA"/>
              </w:rPr>
              <w:t>表3-</w:t>
            </w:r>
            <w:r>
              <w:rPr>
                <w:rFonts w:hint="eastAsia" w:ascii="Times New Roman" w:hAnsi="Times New Roman" w:cs="Times New Roman" w:eastAsiaTheme="minorEastAsia"/>
                <w:b/>
                <w:bCs/>
                <w:color w:val="auto"/>
                <w:kern w:val="2"/>
                <w:sz w:val="21"/>
                <w:szCs w:val="24"/>
                <w:highlight w:val="none"/>
                <w:lang w:val="en-US" w:eastAsia="zh-CN" w:bidi="ar-SA"/>
              </w:rPr>
              <w:t>1</w:t>
            </w:r>
            <w:r>
              <w:rPr>
                <w:rFonts w:hint="eastAsia" w:cs="Times New Roman" w:eastAsiaTheme="minorEastAsia"/>
                <w:b/>
                <w:bCs/>
                <w:color w:val="auto"/>
                <w:kern w:val="2"/>
                <w:sz w:val="21"/>
                <w:szCs w:val="24"/>
                <w:highlight w:val="none"/>
                <w:lang w:val="en-US" w:eastAsia="zh-CN" w:bidi="ar-SA"/>
              </w:rPr>
              <w:t>6</w:t>
            </w:r>
            <w:r>
              <w:rPr>
                <w:rFonts w:hint="default" w:ascii="Times New Roman" w:hAnsi="Times New Roman" w:cs="Times New Roman" w:eastAsiaTheme="minorEastAsia"/>
                <w:b/>
                <w:bCs/>
                <w:color w:val="auto"/>
                <w:kern w:val="2"/>
                <w:sz w:val="21"/>
                <w:szCs w:val="24"/>
                <w:highlight w:val="none"/>
                <w:lang w:val="en-US" w:eastAsia="zh-CN" w:bidi="ar-SA"/>
              </w:rPr>
              <w:t xml:space="preserve"> </w:t>
            </w:r>
            <w:r>
              <w:rPr>
                <w:rFonts w:hint="eastAsia" w:ascii="Times New Roman" w:hAnsi="Times New Roman" w:cs="Times New Roman" w:eastAsiaTheme="minorEastAsia"/>
                <w:b/>
                <w:bCs/>
                <w:color w:val="auto"/>
                <w:kern w:val="2"/>
                <w:sz w:val="21"/>
                <w:szCs w:val="24"/>
                <w:highlight w:val="none"/>
                <w:lang w:val="en-US" w:eastAsia="zh-CN" w:bidi="ar-SA"/>
              </w:rPr>
              <w:t xml:space="preserve"> </w:t>
            </w:r>
            <w:r>
              <w:rPr>
                <w:rFonts w:hint="default" w:ascii="Times New Roman" w:hAnsi="Times New Roman" w:cs="Times New Roman" w:eastAsiaTheme="minorEastAsia"/>
                <w:b/>
                <w:bCs/>
                <w:color w:val="auto"/>
                <w:kern w:val="2"/>
                <w:sz w:val="21"/>
                <w:szCs w:val="24"/>
                <w:highlight w:val="none"/>
                <w:lang w:val="en-US" w:eastAsia="zh-CN" w:bidi="ar-SA"/>
              </w:rPr>
              <w:t>本项目污染物排放总量表</w:t>
            </w:r>
          </w:p>
          <w:tbl>
            <w:tblPr>
              <w:tblStyle w:val="31"/>
              <w:tblpPr w:leftFromText="180" w:rightFromText="180" w:vertAnchor="text" w:horzAnchor="page" w:tblpXSpec="center" w:tblpY="95"/>
              <w:tblOverlap w:val="never"/>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80"/>
              <w:gridCol w:w="3048"/>
              <w:gridCol w:w="2548"/>
            </w:tblGrid>
            <w:tr w14:paraId="5157C6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9" w:type="pct"/>
                  <w:noWrap/>
                  <w:vAlign w:val="center"/>
                </w:tcPr>
                <w:p w14:paraId="52E65A0B">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color w:val="auto"/>
                    </w:rPr>
                  </w:pPr>
                  <w:r>
                    <w:rPr>
                      <w:rFonts w:hint="default"/>
                      <w:color w:val="auto"/>
                    </w:rPr>
                    <w:t>污染物</w:t>
                  </w:r>
                </w:p>
              </w:tc>
              <w:tc>
                <w:tcPr>
                  <w:tcW w:w="1874" w:type="pct"/>
                  <w:noWrap/>
                  <w:vAlign w:val="center"/>
                </w:tcPr>
                <w:p w14:paraId="0D8EB82C">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color w:val="auto"/>
                    </w:rPr>
                  </w:pPr>
                  <w:r>
                    <w:rPr>
                      <w:rFonts w:hint="default"/>
                      <w:color w:val="auto"/>
                    </w:rPr>
                    <w:t>预测排放量</w:t>
                  </w:r>
                </w:p>
              </w:tc>
              <w:tc>
                <w:tcPr>
                  <w:tcW w:w="1565" w:type="pct"/>
                  <w:noWrap/>
                  <w:vAlign w:val="center"/>
                </w:tcPr>
                <w:p w14:paraId="0218A76A">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color w:val="auto"/>
                    </w:rPr>
                  </w:pPr>
                  <w:r>
                    <w:rPr>
                      <w:rFonts w:hint="default"/>
                      <w:color w:val="auto"/>
                    </w:rPr>
                    <w:t>核定排放量</w:t>
                  </w:r>
                </w:p>
              </w:tc>
            </w:tr>
            <w:tr w14:paraId="2602E3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0" w:type="dxa"/>
                  <w:noWrap/>
                  <w:vAlign w:val="center"/>
                </w:tcPr>
                <w:p w14:paraId="4777189C">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颗粒物</w:t>
                  </w:r>
                </w:p>
              </w:tc>
              <w:tc>
                <w:tcPr>
                  <w:tcW w:w="3049" w:type="dxa"/>
                  <w:noWrap/>
                  <w:vAlign w:val="center"/>
                </w:tcPr>
                <w:p w14:paraId="71238F33">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0.17</w:t>
                  </w:r>
                  <w:r>
                    <w:rPr>
                      <w:rFonts w:hint="eastAsia" w:cs="Times New Roman"/>
                      <w:color w:val="auto"/>
                      <w:lang w:val="en-US" w:eastAsia="zh-CN"/>
                    </w:rPr>
                    <w:t>2</w:t>
                  </w:r>
                  <w:r>
                    <w:rPr>
                      <w:rFonts w:hint="eastAsia" w:ascii="Times New Roman" w:hAnsi="Times New Roman" w:cs="Times New Roman"/>
                      <w:color w:val="auto"/>
                      <w:lang w:val="en-US" w:eastAsia="zh-CN"/>
                    </w:rPr>
                    <w:t>t/a</w:t>
                  </w:r>
                </w:p>
              </w:tc>
              <w:tc>
                <w:tcPr>
                  <w:tcW w:w="2547" w:type="dxa"/>
                  <w:noWrap/>
                  <w:vAlign w:val="center"/>
                </w:tcPr>
                <w:p w14:paraId="22D98A3D">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0.235t/a</w:t>
                  </w:r>
                </w:p>
              </w:tc>
            </w:tr>
            <w:tr w14:paraId="5F6C39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0" w:type="dxa"/>
                  <w:noWrap/>
                  <w:vAlign w:val="center"/>
                </w:tcPr>
                <w:p w14:paraId="646EA9FD">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SO</w:t>
                  </w:r>
                  <w:r>
                    <w:rPr>
                      <w:rFonts w:hint="eastAsia" w:ascii="Times New Roman" w:hAnsi="Times New Roman" w:cs="Times New Roman"/>
                      <w:color w:val="auto"/>
                      <w:vertAlign w:val="subscript"/>
                      <w:lang w:val="en-US" w:eastAsia="zh-CN"/>
                    </w:rPr>
                    <w:t>2</w:t>
                  </w:r>
                </w:p>
              </w:tc>
              <w:tc>
                <w:tcPr>
                  <w:tcW w:w="3049" w:type="dxa"/>
                  <w:noWrap/>
                  <w:vAlign w:val="center"/>
                </w:tcPr>
                <w:p w14:paraId="351565A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0.285t/a</w:t>
                  </w:r>
                </w:p>
              </w:tc>
              <w:tc>
                <w:tcPr>
                  <w:tcW w:w="2547" w:type="dxa"/>
                  <w:noWrap/>
                  <w:vAlign w:val="center"/>
                </w:tcPr>
                <w:p w14:paraId="3E3AE009">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1.126t/a</w:t>
                  </w:r>
                </w:p>
              </w:tc>
            </w:tr>
            <w:tr w14:paraId="162339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0" w:type="dxa"/>
                  <w:noWrap/>
                  <w:vAlign w:val="center"/>
                </w:tcPr>
                <w:p w14:paraId="62139E0D">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NO</w:t>
                  </w:r>
                  <w:r>
                    <w:rPr>
                      <w:rFonts w:hint="eastAsia" w:ascii="Times New Roman" w:hAnsi="Times New Roman" w:cs="Times New Roman"/>
                      <w:color w:val="auto"/>
                      <w:vertAlign w:val="subscript"/>
                      <w:lang w:val="en-US" w:eastAsia="zh-CN"/>
                    </w:rPr>
                    <w:t>x</w:t>
                  </w:r>
                </w:p>
              </w:tc>
              <w:tc>
                <w:tcPr>
                  <w:tcW w:w="3049" w:type="dxa"/>
                  <w:noWrap/>
                  <w:vAlign w:val="center"/>
                </w:tcPr>
                <w:p w14:paraId="5241473B">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lang w:val="en-US" w:eastAsia="zh-CN"/>
                    </w:rPr>
                  </w:pPr>
                  <w:r>
                    <w:rPr>
                      <w:rFonts w:hint="eastAsia" w:cs="Times New Roman"/>
                      <w:color w:val="auto"/>
                      <w:lang w:val="en-US" w:eastAsia="zh-CN"/>
                    </w:rPr>
                    <w:t>0.474</w:t>
                  </w:r>
                  <w:r>
                    <w:rPr>
                      <w:rFonts w:hint="eastAsia" w:ascii="Times New Roman" w:hAnsi="Times New Roman" w:cs="Times New Roman"/>
                      <w:color w:val="auto"/>
                      <w:lang w:val="en-US" w:eastAsia="zh-CN"/>
                    </w:rPr>
                    <w:t>t/a</w:t>
                  </w:r>
                </w:p>
              </w:tc>
              <w:tc>
                <w:tcPr>
                  <w:tcW w:w="2547" w:type="dxa"/>
                  <w:noWrap/>
                  <w:vAlign w:val="center"/>
                </w:tcPr>
                <w:p w14:paraId="4273B12E">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1.408t/a</w:t>
                  </w:r>
                </w:p>
              </w:tc>
            </w:tr>
            <w:tr w14:paraId="1BB7A1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0" w:type="dxa"/>
                  <w:noWrap/>
                  <w:vAlign w:val="center"/>
                </w:tcPr>
                <w:p w14:paraId="790BC95E">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工业粉尘</w:t>
                  </w:r>
                </w:p>
              </w:tc>
              <w:tc>
                <w:tcPr>
                  <w:tcW w:w="3049" w:type="dxa"/>
                  <w:noWrap/>
                  <w:vAlign w:val="center"/>
                </w:tcPr>
                <w:p w14:paraId="33219F4C">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0.0013t/a</w:t>
                  </w:r>
                </w:p>
              </w:tc>
              <w:tc>
                <w:tcPr>
                  <w:tcW w:w="2547" w:type="dxa"/>
                  <w:noWrap/>
                  <w:vAlign w:val="center"/>
                </w:tcPr>
                <w:p w14:paraId="2E780B0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cs="Times New Roman"/>
                      <w:color w:val="auto"/>
                      <w:lang w:val="en-US" w:eastAsia="zh-CN"/>
                    </w:rPr>
                  </w:pPr>
                  <w:r>
                    <w:rPr>
                      <w:rFonts w:hint="default" w:ascii="Times New Roman" w:hAnsi="Times New Roman" w:cs="Times New Roman"/>
                      <w:color w:val="auto"/>
                      <w:lang w:val="en-US" w:eastAsia="zh-CN"/>
                    </w:rPr>
                    <w:t>1.455</w:t>
                  </w:r>
                  <w:r>
                    <w:rPr>
                      <w:rFonts w:hint="eastAsia" w:ascii="Times New Roman" w:hAnsi="Times New Roman" w:cs="Times New Roman"/>
                      <w:color w:val="auto"/>
                      <w:lang w:val="en-US" w:eastAsia="zh-CN"/>
                    </w:rPr>
                    <w:t>t/a</w:t>
                  </w:r>
                </w:p>
              </w:tc>
            </w:tr>
            <w:tr w14:paraId="0DC483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0" w:type="dxa"/>
                  <w:noWrap/>
                  <w:vAlign w:val="center"/>
                </w:tcPr>
                <w:p w14:paraId="5FA69193">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VOCs</w:t>
                  </w:r>
                </w:p>
              </w:tc>
              <w:tc>
                <w:tcPr>
                  <w:tcW w:w="3049" w:type="dxa"/>
                  <w:noWrap/>
                  <w:vAlign w:val="center"/>
                </w:tcPr>
                <w:p w14:paraId="4B919D5B">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0.007t/a</w:t>
                  </w:r>
                </w:p>
              </w:tc>
              <w:tc>
                <w:tcPr>
                  <w:tcW w:w="2547" w:type="dxa"/>
                  <w:noWrap/>
                  <w:vAlign w:val="center"/>
                </w:tcPr>
                <w:p w14:paraId="6D59BC2C">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0.724t/a</w:t>
                  </w:r>
                </w:p>
              </w:tc>
            </w:tr>
            <w:tr w14:paraId="053406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0" w:type="dxa"/>
                  <w:noWrap/>
                  <w:vAlign w:val="center"/>
                </w:tcPr>
                <w:p w14:paraId="0188E793">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COD</w:t>
                  </w:r>
                </w:p>
              </w:tc>
              <w:tc>
                <w:tcPr>
                  <w:tcW w:w="3049" w:type="dxa"/>
                  <w:noWrap/>
                  <w:vAlign w:val="center"/>
                </w:tcPr>
                <w:p w14:paraId="0A88DDE0">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cs="Times New Roman"/>
                      <w:color w:val="auto"/>
                      <w:lang w:val="en-US" w:eastAsia="zh-CN"/>
                    </w:rPr>
                  </w:pPr>
                  <w:r>
                    <w:rPr>
                      <w:rFonts w:hint="eastAsia" w:cs="Times New Roman"/>
                      <w:color w:val="auto"/>
                      <w:lang w:val="en-US" w:eastAsia="zh-CN"/>
                    </w:rPr>
                    <w:t>0.297</w:t>
                  </w:r>
                  <w:r>
                    <w:rPr>
                      <w:rFonts w:hint="eastAsia" w:ascii="Times New Roman" w:hAnsi="Times New Roman" w:cs="Times New Roman"/>
                      <w:color w:val="auto"/>
                      <w:lang w:val="en-US" w:eastAsia="zh-CN"/>
                    </w:rPr>
                    <w:t>t/a</w:t>
                  </w:r>
                </w:p>
              </w:tc>
              <w:tc>
                <w:tcPr>
                  <w:tcW w:w="2547" w:type="dxa"/>
                  <w:noWrap/>
                  <w:vAlign w:val="center"/>
                </w:tcPr>
                <w:p w14:paraId="38C50BC6">
                  <w:pPr>
                    <w:pStyle w:val="29"/>
                    <w:keepNext w:val="0"/>
                    <w:keepLines w:val="0"/>
                    <w:pageBreakBefore w:val="0"/>
                    <w:widowControl w:val="0"/>
                    <w:kinsoku/>
                    <w:wordWrap/>
                    <w:overflowPunct/>
                    <w:topLinePunct w:val="0"/>
                    <w:autoSpaceDE/>
                    <w:autoSpaceDN/>
                    <w:bidi w:val="0"/>
                    <w:adjustRightInd w:val="0"/>
                    <w:snapToGrid w:val="0"/>
                    <w:spacing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0.983</w:t>
                  </w:r>
                  <w:r>
                    <w:rPr>
                      <w:rFonts w:hint="eastAsia" w:ascii="Times New Roman" w:hAnsi="Times New Roman" w:eastAsia="宋体" w:cs="Times New Roman"/>
                      <w:color w:val="auto"/>
                      <w:kern w:val="2"/>
                      <w:sz w:val="21"/>
                      <w:szCs w:val="24"/>
                      <w:lang w:val="en-US" w:eastAsia="zh-CN" w:bidi="ar-SA"/>
                    </w:rPr>
                    <w:t>t/a</w:t>
                  </w:r>
                </w:p>
              </w:tc>
            </w:tr>
            <w:tr w14:paraId="24EBA5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0" w:type="dxa"/>
                  <w:noWrap/>
                  <w:vAlign w:val="center"/>
                </w:tcPr>
                <w:p w14:paraId="6BAC426E">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氨氮</w:t>
                  </w:r>
                </w:p>
              </w:tc>
              <w:tc>
                <w:tcPr>
                  <w:tcW w:w="3049" w:type="dxa"/>
                  <w:noWrap/>
                  <w:vAlign w:val="center"/>
                </w:tcPr>
                <w:p w14:paraId="4B92BCF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cs="Times New Roman"/>
                      <w:color w:val="auto"/>
                      <w:lang w:val="en-US" w:eastAsia="zh-CN"/>
                    </w:rPr>
                  </w:pPr>
                  <w:r>
                    <w:rPr>
                      <w:rFonts w:hint="eastAsia" w:ascii="Times New Roman" w:hAnsi="Times New Roman" w:eastAsia="宋体" w:cs="Times New Roman"/>
                      <w:color w:val="auto"/>
                      <w:kern w:val="2"/>
                      <w:sz w:val="21"/>
                      <w:szCs w:val="24"/>
                      <w:lang w:val="en-US" w:eastAsia="zh-CN" w:bidi="ar-SA"/>
                    </w:rPr>
                    <w:t>0.056t/a</w:t>
                  </w:r>
                </w:p>
              </w:tc>
              <w:tc>
                <w:tcPr>
                  <w:tcW w:w="2547" w:type="dxa"/>
                  <w:noWrap/>
                  <w:vAlign w:val="center"/>
                </w:tcPr>
                <w:p w14:paraId="66F4616B">
                  <w:pPr>
                    <w:pStyle w:val="29"/>
                    <w:keepNext w:val="0"/>
                    <w:keepLines w:val="0"/>
                    <w:pageBreakBefore w:val="0"/>
                    <w:widowControl w:val="0"/>
                    <w:kinsoku/>
                    <w:wordWrap/>
                    <w:overflowPunct/>
                    <w:topLinePunct w:val="0"/>
                    <w:autoSpaceDE/>
                    <w:autoSpaceDN/>
                    <w:bidi w:val="0"/>
                    <w:adjustRightInd w:val="0"/>
                    <w:snapToGrid w:val="0"/>
                    <w:spacing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0.056t/a</w:t>
                  </w:r>
                </w:p>
              </w:tc>
            </w:tr>
          </w:tbl>
          <w:p w14:paraId="21D20879">
            <w:pPr>
              <w:pStyle w:val="81"/>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Chars="200"/>
              <w:textAlignment w:val="auto"/>
              <w:rPr>
                <w:rFonts w:hint="default" w:ascii="Times New Roman" w:hAnsi="Times New Roman" w:eastAsia="宋体" w:cs="Times New Roman"/>
                <w:color w:val="auto"/>
                <w:kern w:val="0"/>
                <w:sz w:val="24"/>
                <w:szCs w:val="28"/>
                <w:lang w:val="en-US" w:eastAsia="zh-CN" w:bidi="ar-SA"/>
              </w:rPr>
            </w:pPr>
          </w:p>
          <w:p w14:paraId="1AF863A4">
            <w:pPr>
              <w:pStyle w:val="81"/>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Chars="200"/>
              <w:textAlignment w:val="auto"/>
              <w:rPr>
                <w:rFonts w:hint="default" w:ascii="Times New Roman" w:hAnsi="Times New Roman" w:eastAsia="宋体" w:cs="Times New Roman"/>
                <w:color w:val="auto"/>
                <w:kern w:val="0"/>
                <w:sz w:val="24"/>
                <w:szCs w:val="28"/>
                <w:lang w:val="en-US" w:eastAsia="zh-CN" w:bidi="ar-SA"/>
              </w:rPr>
            </w:pPr>
          </w:p>
          <w:p w14:paraId="47E96BB3">
            <w:pPr>
              <w:pStyle w:val="81"/>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Chars="200"/>
              <w:textAlignment w:val="auto"/>
              <w:rPr>
                <w:rFonts w:hint="default" w:ascii="Times New Roman" w:hAnsi="Times New Roman" w:eastAsia="宋体" w:cs="Times New Roman"/>
                <w:color w:val="auto"/>
                <w:kern w:val="0"/>
                <w:sz w:val="24"/>
                <w:szCs w:val="28"/>
                <w:lang w:val="en-US" w:eastAsia="zh-CN" w:bidi="ar-SA"/>
              </w:rPr>
            </w:pPr>
          </w:p>
          <w:p w14:paraId="3ED5734C">
            <w:pPr>
              <w:pStyle w:val="81"/>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Chars="200"/>
              <w:textAlignment w:val="auto"/>
              <w:rPr>
                <w:rFonts w:hint="default" w:ascii="Times New Roman" w:hAnsi="Times New Roman" w:eastAsia="宋体" w:cs="Times New Roman"/>
                <w:color w:val="auto"/>
                <w:kern w:val="0"/>
                <w:sz w:val="24"/>
                <w:szCs w:val="28"/>
                <w:lang w:val="en-US" w:eastAsia="zh-CN" w:bidi="ar-SA"/>
              </w:rPr>
            </w:pPr>
          </w:p>
          <w:p w14:paraId="10D28D15">
            <w:pPr>
              <w:pStyle w:val="81"/>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Chars="200"/>
              <w:textAlignment w:val="auto"/>
              <w:rPr>
                <w:rFonts w:hint="default" w:ascii="Times New Roman" w:hAnsi="Times New Roman" w:eastAsia="宋体" w:cs="Times New Roman"/>
                <w:color w:val="auto"/>
                <w:kern w:val="0"/>
                <w:sz w:val="24"/>
                <w:szCs w:val="28"/>
                <w:lang w:val="en-US" w:eastAsia="zh-CN" w:bidi="ar-SA"/>
              </w:rPr>
            </w:pPr>
          </w:p>
          <w:p w14:paraId="0CE2465C">
            <w:pPr>
              <w:pStyle w:val="81"/>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Chars="200"/>
              <w:textAlignment w:val="auto"/>
              <w:rPr>
                <w:rFonts w:hint="default" w:ascii="Times New Roman" w:hAnsi="Times New Roman" w:eastAsia="宋体" w:cs="Times New Roman"/>
                <w:color w:val="auto"/>
                <w:kern w:val="0"/>
                <w:sz w:val="24"/>
                <w:szCs w:val="28"/>
                <w:lang w:val="en-US" w:eastAsia="zh-CN" w:bidi="ar-SA"/>
              </w:rPr>
            </w:pPr>
          </w:p>
          <w:p w14:paraId="2D71A340">
            <w:pPr>
              <w:pStyle w:val="81"/>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Chars="200"/>
              <w:textAlignment w:val="auto"/>
              <w:rPr>
                <w:rFonts w:hint="default" w:ascii="Times New Roman" w:hAnsi="Times New Roman" w:eastAsia="宋体" w:cs="Times New Roman"/>
                <w:color w:val="auto"/>
                <w:kern w:val="0"/>
                <w:sz w:val="24"/>
                <w:szCs w:val="28"/>
                <w:lang w:val="en-US" w:eastAsia="zh-CN" w:bidi="ar-SA"/>
              </w:rPr>
            </w:pPr>
          </w:p>
          <w:p w14:paraId="5946BB77">
            <w:pPr>
              <w:pStyle w:val="81"/>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Chars="200"/>
              <w:textAlignment w:val="auto"/>
              <w:rPr>
                <w:rFonts w:hint="default" w:ascii="Times New Roman" w:hAnsi="Times New Roman" w:eastAsia="宋体" w:cs="Times New Roman"/>
                <w:color w:val="auto"/>
                <w:kern w:val="0"/>
                <w:sz w:val="24"/>
                <w:szCs w:val="28"/>
                <w:lang w:val="en-US" w:eastAsia="zh-CN" w:bidi="ar-SA"/>
              </w:rPr>
            </w:pPr>
          </w:p>
          <w:p w14:paraId="6D52ED77">
            <w:pPr>
              <w:pStyle w:val="81"/>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ind w:leftChars="200"/>
              <w:textAlignment w:val="auto"/>
              <w:rPr>
                <w:rFonts w:hint="default" w:ascii="Times New Roman" w:hAnsi="Times New Roman" w:eastAsia="宋体" w:cs="Times New Roman"/>
                <w:color w:val="auto"/>
                <w:kern w:val="0"/>
                <w:sz w:val="24"/>
                <w:szCs w:val="28"/>
                <w:lang w:val="en-US" w:eastAsia="zh-CN" w:bidi="ar-SA"/>
              </w:rPr>
            </w:pPr>
          </w:p>
          <w:p w14:paraId="03EC0ECD">
            <w:pPr>
              <w:pStyle w:val="81"/>
              <w:keepNext w:val="0"/>
              <w:keepLines w:val="0"/>
              <w:pageBreakBefore w:val="0"/>
              <w:widowControl/>
              <w:numPr>
                <w:ilvl w:val="0"/>
                <w:numId w:val="0"/>
              </w:numPr>
              <w:kinsoku/>
              <w:wordWrap/>
              <w:overflowPunct/>
              <w:topLinePunct w:val="0"/>
              <w:autoSpaceDE/>
              <w:autoSpaceDN/>
              <w:bidi w:val="0"/>
              <w:adjustRightInd w:val="0"/>
              <w:snapToGrid w:val="0"/>
              <w:spacing w:before="0" w:line="360" w:lineRule="auto"/>
              <w:textAlignment w:val="auto"/>
              <w:rPr>
                <w:rFonts w:hint="default" w:ascii="Times New Roman" w:hAnsi="Times New Roman" w:eastAsia="宋体" w:cs="Times New Roman"/>
                <w:color w:val="auto"/>
                <w:kern w:val="0"/>
                <w:sz w:val="24"/>
                <w:szCs w:val="28"/>
                <w:lang w:val="en-US" w:eastAsia="zh-CN" w:bidi="ar-SA"/>
              </w:rPr>
            </w:pPr>
          </w:p>
        </w:tc>
      </w:tr>
    </w:tbl>
    <w:p w14:paraId="2A1CD490">
      <w:pPr>
        <w:adjustRightInd w:val="0"/>
        <w:snapToGrid w:val="0"/>
        <w:jc w:val="center"/>
        <w:rPr>
          <w:b/>
          <w:bCs/>
          <w:color w:val="auto"/>
          <w:kern w:val="0"/>
          <w:szCs w:val="21"/>
        </w:rPr>
        <w:sectPr>
          <w:pgSz w:w="11907" w:h="16840"/>
          <w:pgMar w:top="1701" w:right="1531" w:bottom="2127" w:left="1531" w:header="851" w:footer="1701" w:gutter="0"/>
          <w:pgBorders>
            <w:top w:val="none" w:sz="0" w:space="0"/>
            <w:left w:val="none" w:sz="0" w:space="0"/>
            <w:bottom w:val="none" w:sz="0" w:space="0"/>
            <w:right w:val="none" w:sz="0" w:space="0"/>
          </w:pgBorders>
          <w:pgNumType w:fmt="decimal"/>
          <w:cols w:space="720" w:num="1"/>
          <w:docGrid w:linePitch="312" w:charSpace="0"/>
        </w:sectPr>
      </w:pPr>
    </w:p>
    <w:p w14:paraId="62A24B88">
      <w:pPr>
        <w:pStyle w:val="26"/>
        <w:spacing w:before="0" w:beforeAutospacing="0" w:after="0" w:afterAutospacing="0"/>
        <w:jc w:val="center"/>
        <w:outlineLvl w:val="0"/>
        <w:rPr>
          <w:rFonts w:ascii="Times New Roman" w:hAnsi="Times New Roman"/>
          <w:b/>
          <w:snapToGrid w:val="0"/>
          <w:color w:val="auto"/>
          <w:sz w:val="30"/>
          <w:szCs w:val="30"/>
        </w:rPr>
      </w:pPr>
      <w:bookmarkStart w:id="25" w:name="_Toc16729"/>
      <w:r>
        <w:rPr>
          <w:rFonts w:ascii="Times New Roman" w:hAnsi="Times New Roman"/>
          <w:b/>
          <w:snapToGrid w:val="0"/>
          <w:color w:val="auto"/>
          <w:sz w:val="30"/>
          <w:szCs w:val="30"/>
        </w:rPr>
        <w:t>四、主要环境影响和保护措施</w:t>
      </w:r>
      <w:bookmarkEnd w:id="25"/>
    </w:p>
    <w:tbl>
      <w:tblPr>
        <w:tblStyle w:val="31"/>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15"/>
        <w:gridCol w:w="8366"/>
      </w:tblGrid>
      <w:tr w14:paraId="203885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84" w:hRule="atLeast"/>
          <w:jc w:val="center"/>
        </w:trPr>
        <w:tc>
          <w:tcPr>
            <w:tcW w:w="615" w:type="dxa"/>
            <w:tcMar>
              <w:left w:w="28" w:type="dxa"/>
              <w:right w:w="28" w:type="dxa"/>
            </w:tcMar>
            <w:vAlign w:val="center"/>
          </w:tcPr>
          <w:p w14:paraId="4460A37F">
            <w:pPr>
              <w:pStyle w:val="26"/>
              <w:adjustRightInd w:val="0"/>
              <w:snapToGrid w:val="0"/>
              <w:spacing w:before="0" w:beforeAutospacing="0" w:after="0" w:afterAutospacing="0"/>
              <w:jc w:val="center"/>
              <w:rPr>
                <w:rFonts w:ascii="Times New Roman" w:hAnsi="Times New Roman"/>
                <w:b/>
                <w:color w:val="auto"/>
                <w:kern w:val="2"/>
                <w:sz w:val="21"/>
                <w:szCs w:val="21"/>
              </w:rPr>
            </w:pPr>
            <w:r>
              <w:rPr>
                <w:rFonts w:ascii="Times New Roman" w:hAnsi="Times New Roman"/>
                <w:b/>
                <w:color w:val="auto"/>
                <w:kern w:val="2"/>
                <w:sz w:val="21"/>
                <w:szCs w:val="21"/>
              </w:rPr>
              <w:t>施工</w:t>
            </w:r>
          </w:p>
          <w:p w14:paraId="4734AD13">
            <w:pPr>
              <w:pStyle w:val="26"/>
              <w:adjustRightInd w:val="0"/>
              <w:snapToGrid w:val="0"/>
              <w:spacing w:before="0" w:beforeAutospacing="0" w:after="0" w:afterAutospacing="0"/>
              <w:jc w:val="center"/>
              <w:rPr>
                <w:rFonts w:ascii="Times New Roman" w:hAnsi="Times New Roman"/>
                <w:b/>
                <w:color w:val="auto"/>
                <w:kern w:val="2"/>
                <w:sz w:val="21"/>
                <w:szCs w:val="21"/>
              </w:rPr>
            </w:pPr>
            <w:r>
              <w:rPr>
                <w:rFonts w:ascii="Times New Roman" w:hAnsi="Times New Roman"/>
                <w:b/>
                <w:color w:val="auto"/>
                <w:kern w:val="2"/>
                <w:sz w:val="21"/>
                <w:szCs w:val="21"/>
              </w:rPr>
              <w:t>期环</w:t>
            </w:r>
          </w:p>
          <w:p w14:paraId="47584493">
            <w:pPr>
              <w:pStyle w:val="26"/>
              <w:adjustRightInd w:val="0"/>
              <w:snapToGrid w:val="0"/>
              <w:spacing w:before="0" w:beforeAutospacing="0" w:after="0" w:afterAutospacing="0"/>
              <w:jc w:val="center"/>
              <w:rPr>
                <w:rFonts w:ascii="Times New Roman" w:hAnsi="Times New Roman"/>
                <w:b/>
                <w:color w:val="auto"/>
                <w:kern w:val="2"/>
                <w:sz w:val="21"/>
                <w:szCs w:val="21"/>
              </w:rPr>
            </w:pPr>
            <w:r>
              <w:rPr>
                <w:rFonts w:ascii="Times New Roman" w:hAnsi="Times New Roman"/>
                <w:b/>
                <w:color w:val="auto"/>
                <w:kern w:val="2"/>
                <w:sz w:val="21"/>
                <w:szCs w:val="21"/>
              </w:rPr>
              <w:t>境保</w:t>
            </w:r>
          </w:p>
          <w:p w14:paraId="46205032">
            <w:pPr>
              <w:pStyle w:val="26"/>
              <w:adjustRightInd w:val="0"/>
              <w:snapToGrid w:val="0"/>
              <w:spacing w:before="0" w:beforeAutospacing="0" w:after="0" w:afterAutospacing="0"/>
              <w:jc w:val="center"/>
              <w:rPr>
                <w:rFonts w:ascii="Times New Roman" w:hAnsi="Times New Roman"/>
                <w:b/>
                <w:color w:val="auto"/>
                <w:kern w:val="2"/>
                <w:sz w:val="21"/>
                <w:szCs w:val="21"/>
              </w:rPr>
            </w:pPr>
            <w:r>
              <w:rPr>
                <w:rFonts w:ascii="Times New Roman" w:hAnsi="Times New Roman"/>
                <w:b/>
                <w:color w:val="auto"/>
                <w:kern w:val="2"/>
                <w:sz w:val="21"/>
                <w:szCs w:val="21"/>
              </w:rPr>
              <w:t>护措</w:t>
            </w:r>
          </w:p>
          <w:p w14:paraId="21E8270A">
            <w:pPr>
              <w:pStyle w:val="26"/>
              <w:adjustRightInd w:val="0"/>
              <w:snapToGrid w:val="0"/>
              <w:spacing w:before="0" w:beforeAutospacing="0" w:after="0" w:afterAutospacing="0"/>
              <w:jc w:val="center"/>
              <w:rPr>
                <w:rFonts w:ascii="Times New Roman" w:hAnsi="Times New Roman"/>
                <w:b/>
                <w:bCs/>
                <w:color w:val="auto"/>
                <w:kern w:val="2"/>
                <w:sz w:val="21"/>
                <w:szCs w:val="21"/>
              </w:rPr>
            </w:pPr>
            <w:r>
              <w:rPr>
                <w:rFonts w:ascii="Times New Roman" w:hAnsi="Times New Roman"/>
                <w:b/>
                <w:color w:val="auto"/>
                <w:kern w:val="2"/>
                <w:sz w:val="21"/>
                <w:szCs w:val="21"/>
              </w:rPr>
              <w:t>施</w:t>
            </w:r>
          </w:p>
        </w:tc>
        <w:tc>
          <w:tcPr>
            <w:tcW w:w="8366" w:type="dxa"/>
            <w:vAlign w:val="center"/>
          </w:tcPr>
          <w:p w14:paraId="4A269949">
            <w:pPr>
              <w:pStyle w:val="64"/>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eastAsia" w:ascii="Times New Roman" w:hAnsi="Times New Roman" w:cs="Times New Roman" w:eastAsiaTheme="minorEastAsia"/>
                <w:color w:val="auto"/>
                <w:kern w:val="0"/>
                <w:sz w:val="24"/>
                <w:highlight w:val="none"/>
                <w:lang w:val="en-US" w:eastAsia="zh-CN"/>
              </w:rPr>
            </w:pPr>
            <w:r>
              <w:rPr>
                <w:rFonts w:hint="eastAsia" w:ascii="Times New Roman" w:hAnsi="Times New Roman" w:cs="Times New Roman" w:eastAsiaTheme="minorEastAsia"/>
                <w:color w:val="auto"/>
                <w:kern w:val="0"/>
                <w:sz w:val="24"/>
                <w:highlight w:val="none"/>
                <w:lang w:val="en-US" w:eastAsia="zh-CN"/>
              </w:rPr>
              <w:t>项目租赁已有厂房进行生产，施工期主要工作内容有厂区及危废暂存点防渗、设备安装、调试等，施工期废气主要是厂区扬尘，设备安装噪声，包装废物等，施工期内容少，施工时间短，施工期对周围环境影响小。</w:t>
            </w:r>
          </w:p>
          <w:p w14:paraId="3D396D8B">
            <w:pPr>
              <w:pStyle w:val="64"/>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eastAsia" w:ascii="Times New Roman" w:hAnsi="Times New Roman" w:cs="Times New Roman" w:eastAsiaTheme="minorEastAsia"/>
                <w:color w:val="auto"/>
                <w:kern w:val="0"/>
                <w:sz w:val="24"/>
                <w:highlight w:val="none"/>
                <w:lang w:val="en-US" w:eastAsia="zh-CN"/>
              </w:rPr>
            </w:pPr>
            <w:r>
              <w:rPr>
                <w:rFonts w:hint="eastAsia" w:ascii="Times New Roman" w:hAnsi="Times New Roman" w:cs="Times New Roman" w:eastAsiaTheme="minorEastAsia"/>
                <w:color w:val="auto"/>
                <w:kern w:val="0"/>
                <w:sz w:val="24"/>
                <w:highlight w:val="none"/>
                <w:lang w:val="en-US" w:eastAsia="zh-CN"/>
              </w:rPr>
              <w:t>一、施工期废水污染防治措施</w:t>
            </w:r>
          </w:p>
          <w:p w14:paraId="07521AA4">
            <w:pPr>
              <w:pStyle w:val="64"/>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eastAsia" w:ascii="Times New Roman" w:hAnsi="Times New Roman" w:cs="Times New Roman" w:eastAsiaTheme="minorEastAsia"/>
                <w:color w:val="auto"/>
                <w:kern w:val="0"/>
                <w:sz w:val="24"/>
                <w:highlight w:val="none"/>
                <w:lang w:val="en-US" w:eastAsia="zh-CN"/>
              </w:rPr>
            </w:pPr>
            <w:r>
              <w:rPr>
                <w:rFonts w:hint="eastAsia" w:ascii="Times New Roman" w:hAnsi="Times New Roman" w:cs="Times New Roman" w:eastAsiaTheme="minorEastAsia"/>
                <w:color w:val="auto"/>
                <w:kern w:val="0"/>
                <w:sz w:val="24"/>
                <w:highlight w:val="none"/>
                <w:lang w:val="en-US" w:eastAsia="zh-CN"/>
              </w:rPr>
              <w:t>工程施工期间，施工单位应严格执行《建设工程施工场地文明施工及环境管理暂行规定》，对地面污水的排放进行组织设计，严禁乱排和污染道路、环境等，严禁将施工污水散排。施工过程中产生的施工废水应进行收集、沉淀处理后用于场内洒水压尘。生活污水排入防渗旱厕定期清掏。在认真落实上述措施的基础上，施工废水对施工现场周围的环境影响较小，伴随施工期的结束也将结束。</w:t>
            </w:r>
          </w:p>
          <w:p w14:paraId="15E4011F">
            <w:pPr>
              <w:pStyle w:val="64"/>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eastAsia" w:ascii="Times New Roman" w:hAnsi="Times New Roman" w:cs="Times New Roman" w:eastAsiaTheme="minorEastAsia"/>
                <w:color w:val="auto"/>
                <w:kern w:val="0"/>
                <w:sz w:val="24"/>
                <w:highlight w:val="none"/>
                <w:lang w:val="en-US" w:eastAsia="zh-CN"/>
              </w:rPr>
            </w:pPr>
            <w:r>
              <w:rPr>
                <w:rFonts w:hint="eastAsia" w:ascii="Times New Roman" w:hAnsi="Times New Roman" w:cs="Times New Roman" w:eastAsiaTheme="minorEastAsia"/>
                <w:color w:val="auto"/>
                <w:kern w:val="0"/>
                <w:sz w:val="24"/>
                <w:highlight w:val="none"/>
                <w:lang w:val="en-US" w:eastAsia="zh-CN"/>
              </w:rPr>
              <w:t>二、施工期大气污染防治措施</w:t>
            </w:r>
          </w:p>
          <w:p w14:paraId="23D2EBC1">
            <w:pPr>
              <w:pStyle w:val="64"/>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eastAsia" w:ascii="Times New Roman" w:hAnsi="Times New Roman" w:cs="Times New Roman" w:eastAsiaTheme="minorEastAsia"/>
                <w:color w:val="auto"/>
                <w:kern w:val="0"/>
                <w:sz w:val="24"/>
                <w:highlight w:val="none"/>
                <w:lang w:val="en-US" w:eastAsia="zh-CN"/>
              </w:rPr>
            </w:pPr>
            <w:r>
              <w:rPr>
                <w:rFonts w:hint="eastAsia" w:ascii="Times New Roman" w:hAnsi="Times New Roman" w:cs="Times New Roman" w:eastAsiaTheme="minorEastAsia"/>
                <w:color w:val="auto"/>
                <w:kern w:val="0"/>
                <w:sz w:val="24"/>
                <w:highlight w:val="none"/>
                <w:lang w:val="en-US" w:eastAsia="zh-CN"/>
              </w:rPr>
              <w:t>为使施工过程中产生的粉尘和废气对周围环境空气的影响降低到最小程度，建议采取以下防护措施：</w:t>
            </w:r>
          </w:p>
          <w:p w14:paraId="60D0BB0B">
            <w:pPr>
              <w:pStyle w:val="64"/>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eastAsia" w:ascii="Times New Roman" w:hAnsi="Times New Roman" w:cs="Times New Roman" w:eastAsiaTheme="minorEastAsia"/>
                <w:color w:val="auto"/>
                <w:kern w:val="0"/>
                <w:sz w:val="24"/>
                <w:highlight w:val="none"/>
                <w:lang w:val="en-US" w:eastAsia="zh-CN"/>
              </w:rPr>
            </w:pPr>
            <w:r>
              <w:rPr>
                <w:rFonts w:hint="eastAsia" w:ascii="Times New Roman" w:hAnsi="Times New Roman" w:cs="Times New Roman" w:eastAsiaTheme="minorEastAsia"/>
                <w:color w:val="auto"/>
                <w:kern w:val="0"/>
                <w:sz w:val="24"/>
                <w:highlight w:val="none"/>
                <w:lang w:val="en-US" w:eastAsia="zh-CN"/>
              </w:rPr>
              <w:t>在施工作业现场设置围挡。容易产生粉尘的施工过程应洒水作业，使作业面保持一定的湿度；</w:t>
            </w:r>
          </w:p>
          <w:p w14:paraId="0DBD831F">
            <w:pPr>
              <w:pStyle w:val="64"/>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eastAsia" w:ascii="Times New Roman" w:hAnsi="Times New Roman" w:cs="Times New Roman" w:eastAsiaTheme="minorEastAsia"/>
                <w:color w:val="auto"/>
                <w:kern w:val="0"/>
                <w:sz w:val="24"/>
                <w:highlight w:val="none"/>
                <w:lang w:val="en-US" w:eastAsia="zh-CN"/>
              </w:rPr>
            </w:pPr>
            <w:r>
              <w:rPr>
                <w:rFonts w:hint="eastAsia" w:ascii="Times New Roman" w:hAnsi="Times New Roman" w:cs="Times New Roman" w:eastAsiaTheme="minorEastAsia"/>
                <w:color w:val="auto"/>
                <w:kern w:val="0"/>
                <w:sz w:val="24"/>
                <w:highlight w:val="none"/>
                <w:lang w:val="en-US" w:eastAsia="zh-CN"/>
              </w:rPr>
              <w:t>对施工场地内松散、干涸的表土也应经常洒水防止粉尘、扬尘；</w:t>
            </w:r>
          </w:p>
          <w:p w14:paraId="66E39F86">
            <w:pPr>
              <w:pStyle w:val="64"/>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eastAsia" w:ascii="Times New Roman" w:hAnsi="Times New Roman" w:cs="Times New Roman" w:eastAsiaTheme="minorEastAsia"/>
                <w:color w:val="auto"/>
                <w:kern w:val="0"/>
                <w:sz w:val="24"/>
                <w:highlight w:val="none"/>
                <w:lang w:val="en-US" w:eastAsia="zh-CN"/>
              </w:rPr>
            </w:pPr>
            <w:r>
              <w:rPr>
                <w:rFonts w:hint="eastAsia" w:ascii="Times New Roman" w:hAnsi="Times New Roman" w:cs="Times New Roman" w:eastAsiaTheme="minorEastAsia"/>
                <w:color w:val="auto"/>
                <w:kern w:val="0"/>
                <w:sz w:val="24"/>
                <w:highlight w:val="none"/>
                <w:lang w:val="en-US" w:eastAsia="zh-CN"/>
              </w:rPr>
              <w:t>回填土方时，在表层土质干燥时应适当洒水，防止粉尘飞扬；</w:t>
            </w:r>
          </w:p>
          <w:p w14:paraId="29A58F08">
            <w:pPr>
              <w:pStyle w:val="64"/>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eastAsia" w:ascii="Times New Roman" w:hAnsi="Times New Roman" w:cs="Times New Roman" w:eastAsiaTheme="minorEastAsia"/>
                <w:color w:val="auto"/>
                <w:kern w:val="0"/>
                <w:sz w:val="24"/>
                <w:highlight w:val="none"/>
                <w:lang w:val="en-US" w:eastAsia="zh-CN"/>
              </w:rPr>
            </w:pPr>
            <w:r>
              <w:rPr>
                <w:rFonts w:hint="eastAsia" w:ascii="Times New Roman" w:hAnsi="Times New Roman" w:cs="Times New Roman" w:eastAsiaTheme="minorEastAsia"/>
                <w:color w:val="auto"/>
                <w:kern w:val="0"/>
                <w:sz w:val="24"/>
                <w:highlight w:val="none"/>
                <w:lang w:val="en-US" w:eastAsia="zh-CN"/>
              </w:rPr>
              <w:t>运输车辆加蓬盖，且出装、卸场地前应先冲洗干净，减少车轮，底盘等携带泥土散落路面；</w:t>
            </w:r>
          </w:p>
          <w:p w14:paraId="076A6F5A">
            <w:pPr>
              <w:pStyle w:val="64"/>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eastAsia" w:ascii="Times New Roman" w:hAnsi="Times New Roman" w:cs="Times New Roman" w:eastAsiaTheme="minorEastAsia"/>
                <w:color w:val="auto"/>
                <w:kern w:val="0"/>
                <w:sz w:val="24"/>
                <w:highlight w:val="none"/>
                <w:lang w:val="en-US" w:eastAsia="zh-CN"/>
              </w:rPr>
            </w:pPr>
            <w:r>
              <w:rPr>
                <w:rFonts w:hint="eastAsia" w:ascii="Times New Roman" w:hAnsi="Times New Roman" w:cs="Times New Roman" w:eastAsiaTheme="minorEastAsia"/>
                <w:color w:val="auto"/>
                <w:kern w:val="0"/>
                <w:sz w:val="24"/>
                <w:highlight w:val="none"/>
                <w:lang w:val="en-US" w:eastAsia="zh-CN"/>
              </w:rPr>
              <w:t>对运输过程中散落在路面上的泥土要及时清扫，以减少运行过程中的扬尘；</w:t>
            </w:r>
          </w:p>
          <w:p w14:paraId="14DE306A">
            <w:pPr>
              <w:pStyle w:val="64"/>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eastAsia" w:ascii="Times New Roman" w:hAnsi="Times New Roman" w:cs="Times New Roman" w:eastAsiaTheme="minorEastAsia"/>
                <w:color w:val="auto"/>
                <w:kern w:val="0"/>
                <w:sz w:val="24"/>
                <w:highlight w:val="none"/>
                <w:lang w:val="en-US" w:eastAsia="zh-CN"/>
              </w:rPr>
            </w:pPr>
            <w:r>
              <w:rPr>
                <w:rFonts w:hint="eastAsia" w:ascii="Times New Roman" w:hAnsi="Times New Roman" w:cs="Times New Roman" w:eastAsiaTheme="minorEastAsia"/>
                <w:color w:val="auto"/>
                <w:kern w:val="0"/>
                <w:sz w:val="24"/>
                <w:highlight w:val="none"/>
                <w:lang w:val="en-US" w:eastAsia="zh-CN"/>
              </w:rPr>
              <w:t>施工过程中，应严禁将废弃的建筑材料作为燃料燃烧；</w:t>
            </w:r>
          </w:p>
          <w:p w14:paraId="48B9B787">
            <w:pPr>
              <w:pStyle w:val="64"/>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eastAsia" w:ascii="Times New Roman" w:hAnsi="Times New Roman" w:cs="Times New Roman" w:eastAsiaTheme="minorEastAsia"/>
                <w:color w:val="auto"/>
                <w:kern w:val="0"/>
                <w:sz w:val="24"/>
                <w:highlight w:val="none"/>
                <w:lang w:val="en-US" w:eastAsia="zh-CN"/>
              </w:rPr>
            </w:pPr>
            <w:r>
              <w:rPr>
                <w:rFonts w:hint="eastAsia" w:ascii="Times New Roman" w:hAnsi="Times New Roman" w:cs="Times New Roman" w:eastAsiaTheme="minorEastAsia"/>
                <w:color w:val="auto"/>
                <w:kern w:val="0"/>
                <w:sz w:val="24"/>
                <w:highlight w:val="none"/>
                <w:lang w:val="en-US" w:eastAsia="zh-CN"/>
              </w:rPr>
              <w:t>施工结束时，应及时对施工占用场地恢复地面道路及植被。</w:t>
            </w:r>
          </w:p>
          <w:p w14:paraId="65F4232A">
            <w:pPr>
              <w:pStyle w:val="64"/>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eastAsia" w:ascii="Times New Roman" w:hAnsi="Times New Roman" w:cs="Times New Roman" w:eastAsiaTheme="minorEastAsia"/>
                <w:color w:val="auto"/>
                <w:kern w:val="0"/>
                <w:sz w:val="24"/>
                <w:highlight w:val="none"/>
                <w:lang w:val="en-US" w:eastAsia="zh-CN"/>
              </w:rPr>
            </w:pPr>
            <w:r>
              <w:rPr>
                <w:rFonts w:hint="eastAsia" w:ascii="Times New Roman" w:hAnsi="Times New Roman" w:cs="Times New Roman" w:eastAsiaTheme="minorEastAsia"/>
                <w:color w:val="auto"/>
                <w:kern w:val="0"/>
                <w:sz w:val="24"/>
                <w:highlight w:val="none"/>
                <w:lang w:val="en-US" w:eastAsia="zh-CN"/>
              </w:rPr>
              <w:t>三、施工期噪声污染防治措施</w:t>
            </w:r>
          </w:p>
          <w:p w14:paraId="186EF35D">
            <w:pPr>
              <w:pStyle w:val="64"/>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eastAsia" w:ascii="Times New Roman" w:hAnsi="Times New Roman" w:cs="Times New Roman" w:eastAsiaTheme="minorEastAsia"/>
                <w:color w:val="auto"/>
                <w:kern w:val="0"/>
                <w:sz w:val="24"/>
                <w:highlight w:val="none"/>
                <w:lang w:val="en-US" w:eastAsia="zh-CN"/>
              </w:rPr>
            </w:pPr>
            <w:r>
              <w:rPr>
                <w:rFonts w:hint="eastAsia" w:ascii="Times New Roman" w:hAnsi="Times New Roman" w:cs="Times New Roman" w:eastAsiaTheme="minorEastAsia"/>
                <w:color w:val="auto"/>
                <w:kern w:val="0"/>
                <w:sz w:val="24"/>
                <w:highlight w:val="none"/>
                <w:lang w:val="en-US" w:eastAsia="zh-CN"/>
              </w:rPr>
              <w:t>施工噪声的防治主要是通过合理安排施工时间、距离防护、使用低噪声机械设备等措施来实施的。</w:t>
            </w:r>
          </w:p>
          <w:p w14:paraId="73B08690">
            <w:pPr>
              <w:pStyle w:val="64"/>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eastAsia" w:ascii="Times New Roman" w:hAnsi="Times New Roman" w:cs="Times New Roman" w:eastAsiaTheme="minorEastAsia"/>
                <w:color w:val="auto"/>
                <w:kern w:val="0"/>
                <w:sz w:val="24"/>
                <w:highlight w:val="none"/>
                <w:lang w:val="en-US" w:eastAsia="zh-CN"/>
              </w:rPr>
            </w:pPr>
            <w:r>
              <w:rPr>
                <w:rFonts w:hint="eastAsia" w:ascii="Times New Roman" w:hAnsi="Times New Roman" w:cs="Times New Roman" w:eastAsiaTheme="minorEastAsia"/>
                <w:color w:val="auto"/>
                <w:kern w:val="0"/>
                <w:sz w:val="24"/>
                <w:highlight w:val="none"/>
                <w:lang w:val="en-US" w:eastAsia="zh-CN"/>
              </w:rPr>
              <w:t>（1）合理安排施工时间，可避免施工噪声扰民。</w:t>
            </w:r>
          </w:p>
          <w:p w14:paraId="443494EC">
            <w:pPr>
              <w:pStyle w:val="64"/>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eastAsia" w:ascii="Times New Roman" w:hAnsi="Times New Roman" w:cs="Times New Roman" w:eastAsiaTheme="minorEastAsia"/>
                <w:color w:val="auto"/>
                <w:kern w:val="0"/>
                <w:sz w:val="24"/>
                <w:highlight w:val="none"/>
                <w:lang w:val="en-US" w:eastAsia="zh-CN"/>
              </w:rPr>
            </w:pPr>
            <w:r>
              <w:rPr>
                <w:rFonts w:hint="eastAsia" w:ascii="Times New Roman" w:hAnsi="Times New Roman" w:cs="Times New Roman" w:eastAsiaTheme="minorEastAsia"/>
                <w:color w:val="auto"/>
                <w:kern w:val="0"/>
                <w:sz w:val="24"/>
                <w:highlight w:val="none"/>
                <w:lang w:val="en-US" w:eastAsia="zh-CN"/>
              </w:rPr>
              <w:t>（2）选用低噪声机械、设备是从声源上对噪声进行控制，淘汰高噪声施工机械，推广使用低噪声的施工机械，产生噪声的施工设备加强维护和维修工作，对控制施工噪声的影响很有效，如液压机械较燃油机械平稳，噪声低10dB（A）以上。夜间22时至次日6时禁止施工。</w:t>
            </w:r>
          </w:p>
          <w:p w14:paraId="25B67FB4">
            <w:pPr>
              <w:pStyle w:val="64"/>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eastAsia" w:ascii="Times New Roman" w:hAnsi="Times New Roman" w:cs="Times New Roman" w:eastAsiaTheme="minorEastAsia"/>
                <w:color w:val="auto"/>
                <w:kern w:val="0"/>
                <w:sz w:val="24"/>
                <w:highlight w:val="none"/>
                <w:lang w:val="en-US" w:eastAsia="zh-CN"/>
              </w:rPr>
            </w:pPr>
            <w:r>
              <w:rPr>
                <w:rFonts w:hint="eastAsia" w:ascii="Times New Roman" w:hAnsi="Times New Roman" w:cs="Times New Roman" w:eastAsiaTheme="minorEastAsia"/>
                <w:color w:val="auto"/>
                <w:kern w:val="0"/>
                <w:sz w:val="24"/>
                <w:highlight w:val="none"/>
                <w:lang w:val="en-US" w:eastAsia="zh-CN"/>
              </w:rPr>
              <w:t>经上述治理后，施工期产生的噪声满足《建筑施工场界环境噪声排放标准》（GB12523-2011）中要求。</w:t>
            </w:r>
          </w:p>
          <w:p w14:paraId="5C67EF5B">
            <w:pPr>
              <w:pStyle w:val="64"/>
              <w:keepNext w:val="0"/>
              <w:keepLines w:val="0"/>
              <w:pageBreakBefore w:val="0"/>
              <w:numPr>
                <w:ilvl w:val="0"/>
                <w:numId w:val="6"/>
              </w:numPr>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eastAsia" w:ascii="Times New Roman" w:hAnsi="Times New Roman" w:cs="Times New Roman" w:eastAsiaTheme="minorEastAsia"/>
                <w:color w:val="auto"/>
                <w:kern w:val="0"/>
                <w:sz w:val="24"/>
                <w:highlight w:val="none"/>
                <w:lang w:val="en-US" w:eastAsia="zh-CN"/>
              </w:rPr>
            </w:pPr>
            <w:r>
              <w:rPr>
                <w:rFonts w:hint="eastAsia" w:ascii="Times New Roman" w:hAnsi="Times New Roman" w:cs="Times New Roman" w:eastAsiaTheme="minorEastAsia"/>
                <w:color w:val="auto"/>
                <w:kern w:val="0"/>
                <w:sz w:val="24"/>
                <w:highlight w:val="none"/>
                <w:lang w:val="en-US" w:eastAsia="zh-CN"/>
              </w:rPr>
              <w:t>施工期固体废物防治措施</w:t>
            </w:r>
          </w:p>
          <w:p w14:paraId="6AD34A4E">
            <w:pPr>
              <w:pStyle w:val="64"/>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color w:val="auto"/>
              </w:rPr>
            </w:pPr>
            <w:r>
              <w:rPr>
                <w:rFonts w:hint="eastAsia" w:ascii="Times New Roman" w:hAnsi="Times New Roman" w:cs="Times New Roman" w:eastAsiaTheme="minorEastAsia"/>
                <w:color w:val="auto"/>
                <w:kern w:val="0"/>
                <w:sz w:val="24"/>
                <w:highlight w:val="none"/>
                <w:lang w:val="en-US" w:eastAsia="zh-CN"/>
              </w:rPr>
              <w:t>车辆运输散体物料和废弃物时，必须密闭、包扎、覆盖，不得沿途漏撒；运载土方的车辆必须在规定的时间内，按指定路段行驶。经上述治理后，施工期产生的固体废物对周围环境的影响较小。</w:t>
            </w:r>
          </w:p>
        </w:tc>
      </w:tr>
      <w:tr w14:paraId="4FA276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84" w:hRule="atLeast"/>
          <w:jc w:val="center"/>
        </w:trPr>
        <w:tc>
          <w:tcPr>
            <w:tcW w:w="615" w:type="dxa"/>
            <w:tcMar>
              <w:left w:w="28" w:type="dxa"/>
              <w:right w:w="28" w:type="dxa"/>
            </w:tcMar>
            <w:vAlign w:val="center"/>
          </w:tcPr>
          <w:p w14:paraId="3EFF7720">
            <w:pPr>
              <w:keepNext w:val="0"/>
              <w:keepLines w:val="0"/>
              <w:suppressLineNumbers w:val="0"/>
              <w:adjustRightInd w:val="0"/>
              <w:snapToGrid w:val="0"/>
              <w:spacing w:before="0" w:beforeAutospacing="0" w:after="0" w:afterAutospacing="0" w:line="240" w:lineRule="auto"/>
              <w:ind w:left="0" w:leftChars="0" w:right="0" w:rightChars="0"/>
              <w:jc w:val="center"/>
              <w:rPr>
                <w:rFonts w:ascii="Times New Roman" w:hAnsi="Times New Roman"/>
                <w:b/>
                <w:color w:val="auto"/>
                <w:kern w:val="2"/>
                <w:sz w:val="21"/>
                <w:szCs w:val="21"/>
              </w:rPr>
            </w:pPr>
            <w:r>
              <w:rPr>
                <w:rFonts w:hint="eastAsia" w:ascii="Times New Roman" w:hAnsi="Times New Roman" w:eastAsia="宋体" w:cs="Times New Roman"/>
                <w:b/>
                <w:bCs/>
                <w:color w:val="auto"/>
                <w:sz w:val="21"/>
                <w:szCs w:val="24"/>
                <w:highlight w:val="none"/>
              </w:rPr>
              <w:t>运营期环境影响和保护措施</w:t>
            </w:r>
          </w:p>
        </w:tc>
        <w:tc>
          <w:tcPr>
            <w:tcW w:w="8366" w:type="dxa"/>
            <w:vAlign w:val="top"/>
          </w:tcPr>
          <w:p w14:paraId="6DC30A03">
            <w:pPr>
              <w:pStyle w:val="2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2" w:firstLineChars="200"/>
              <w:textAlignment w:val="auto"/>
              <w:rPr>
                <w:rFonts w:hint="default" w:ascii="Times New Roman" w:hAnsi="Times New Roman" w:eastAsia="宋体" w:cs="Times New Roman"/>
                <w:b/>
                <w:bCs/>
                <w:color w:val="auto"/>
                <w:kern w:val="0"/>
                <w:sz w:val="24"/>
                <w:szCs w:val="24"/>
                <w:highlight w:val="none"/>
                <w:lang w:val="en-US" w:eastAsia="zh-CN" w:bidi="ar-SA"/>
              </w:rPr>
            </w:pPr>
            <w:r>
              <w:rPr>
                <w:rFonts w:hint="eastAsia" w:ascii="Times New Roman" w:hAnsi="Times New Roman" w:eastAsia="宋体" w:cs="Times New Roman"/>
                <w:b/>
                <w:bCs/>
                <w:color w:val="auto"/>
                <w:kern w:val="0"/>
                <w:sz w:val="24"/>
                <w:szCs w:val="24"/>
                <w:highlight w:val="none"/>
                <w:lang w:val="en-US" w:eastAsia="zh-CN" w:bidi="ar-SA"/>
              </w:rPr>
              <w:t>一、</w:t>
            </w:r>
            <w:r>
              <w:rPr>
                <w:rFonts w:hint="default" w:ascii="Times New Roman" w:hAnsi="Times New Roman" w:eastAsia="宋体" w:cs="Times New Roman"/>
                <w:b/>
                <w:bCs/>
                <w:color w:val="auto"/>
                <w:kern w:val="0"/>
                <w:sz w:val="24"/>
                <w:szCs w:val="24"/>
                <w:highlight w:val="none"/>
                <w:lang w:val="en-US" w:eastAsia="zh-CN" w:bidi="ar-SA"/>
              </w:rPr>
              <w:t>废气</w:t>
            </w:r>
          </w:p>
          <w:p w14:paraId="099D4D07">
            <w:pPr>
              <w:pStyle w:val="11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（一）</w:t>
            </w:r>
            <w:r>
              <w:rPr>
                <w:rFonts w:hint="default" w:ascii="Times New Roman" w:hAnsi="Times New Roman" w:eastAsia="宋体" w:cs="Times New Roman"/>
                <w:color w:val="auto"/>
                <w:kern w:val="0"/>
                <w:sz w:val="24"/>
                <w:szCs w:val="24"/>
                <w:highlight w:val="none"/>
                <w:lang w:val="en-US" w:eastAsia="zh-CN" w:bidi="ar-SA"/>
              </w:rPr>
              <w:t>源强核算及达标排放情况</w:t>
            </w:r>
          </w:p>
          <w:p w14:paraId="1815B3F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报废农机拆解企业在作业过程中，产生的废气很少，大气污染物主要是预处理过程挥发</w:t>
            </w:r>
            <w:r>
              <w:rPr>
                <w:rFonts w:hint="eastAsia" w:cs="Times New Roman"/>
                <w:color w:val="auto"/>
                <w:kern w:val="0"/>
                <w:sz w:val="24"/>
                <w:szCs w:val="24"/>
                <w:highlight w:val="none"/>
                <w:lang w:val="en-US" w:eastAsia="zh-CN" w:bidi="ar-SA"/>
              </w:rPr>
              <w:t>的有机</w:t>
            </w:r>
            <w:r>
              <w:rPr>
                <w:rFonts w:hint="eastAsia" w:ascii="Times New Roman" w:hAnsi="Times New Roman" w:eastAsia="宋体" w:cs="Times New Roman"/>
                <w:color w:val="auto"/>
                <w:kern w:val="0"/>
                <w:sz w:val="24"/>
                <w:szCs w:val="24"/>
                <w:highlight w:val="none"/>
                <w:lang w:val="en-US" w:eastAsia="zh-CN" w:bidi="ar-SA"/>
              </w:rPr>
              <w:t>废气</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切割产生的切割废气</w:t>
            </w:r>
            <w:r>
              <w:rPr>
                <w:rFonts w:hint="eastAsia" w:cs="Times New Roman"/>
                <w:color w:val="auto"/>
                <w:kern w:val="0"/>
                <w:sz w:val="24"/>
                <w:szCs w:val="24"/>
                <w:highlight w:val="none"/>
                <w:lang w:val="en-US" w:eastAsia="zh-CN" w:bidi="ar-SA"/>
              </w:rPr>
              <w:t>、锅炉产生的锅炉烟气。（</w:t>
            </w:r>
            <w:r>
              <w:rPr>
                <w:rFonts w:hint="eastAsia" w:ascii="Times New Roman" w:hAnsi="Times New Roman" w:eastAsia="宋体" w:cs="Times New Roman"/>
                <w:color w:val="auto"/>
                <w:kern w:val="0"/>
                <w:sz w:val="24"/>
                <w:szCs w:val="24"/>
                <w:highlight w:val="none"/>
                <w:lang w:val="en-US" w:eastAsia="zh-CN" w:bidi="ar-SA"/>
              </w:rPr>
              <w:t>报废车辆一般使用拖车或者运输车辆运到报废拆解工厂。报废汽车进入拆解工厂时，一般有价值的油液大部分已被抽走，只剩下残留的极少部分油液。本项目抽取得到的废油极少，采用相应的密封性的油桶进行储存，储存量少，油</w:t>
            </w:r>
            <w:r>
              <w:rPr>
                <w:rFonts w:hint="eastAsia" w:cs="Times New Roman"/>
                <w:color w:val="auto"/>
                <w:kern w:val="0"/>
                <w:sz w:val="24"/>
                <w:szCs w:val="24"/>
                <w:highlight w:val="none"/>
                <w:lang w:val="en-US" w:eastAsia="zh-CN" w:bidi="ar-SA"/>
              </w:rPr>
              <w:t>桶</w:t>
            </w:r>
            <w:r>
              <w:rPr>
                <w:rFonts w:hint="eastAsia" w:ascii="Times New Roman" w:hAnsi="Times New Roman" w:eastAsia="宋体" w:cs="Times New Roman"/>
                <w:color w:val="auto"/>
                <w:kern w:val="0"/>
                <w:sz w:val="24"/>
                <w:szCs w:val="24"/>
                <w:highlight w:val="none"/>
                <w:lang w:val="en-US" w:eastAsia="zh-CN" w:bidi="ar-SA"/>
              </w:rPr>
              <w:t>不属于储罐，无大小呼吸，仅考虑灌桶过程挥发的有机废气</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w:t>
            </w:r>
          </w:p>
          <w:p w14:paraId="5E6A877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1、达标分析</w:t>
            </w:r>
          </w:p>
          <w:p w14:paraId="26C8BBD5">
            <w:pPr>
              <w:keepNext w:val="0"/>
              <w:keepLines w:val="0"/>
              <w:pageBreakBefore w:val="0"/>
              <w:widowControl w:val="0"/>
              <w:numPr>
                <w:ilvl w:val="0"/>
                <w:numId w:val="0"/>
              </w:numPr>
              <w:suppressLineNumbers w:val="0"/>
              <w:kinsoku/>
              <w:wordWrap w:val="0"/>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（1）</w:t>
            </w:r>
            <w:r>
              <w:rPr>
                <w:rFonts w:hint="eastAsia" w:ascii="Times New Roman" w:hAnsi="Times New Roman" w:eastAsia="宋体" w:cs="Times New Roman"/>
                <w:color w:val="auto"/>
                <w:kern w:val="0"/>
                <w:sz w:val="24"/>
                <w:szCs w:val="24"/>
                <w:highlight w:val="none"/>
                <w:lang w:val="en-US" w:eastAsia="zh-CN" w:bidi="ar-SA"/>
              </w:rPr>
              <w:t>预处理过程挥发</w:t>
            </w:r>
            <w:r>
              <w:rPr>
                <w:rFonts w:hint="eastAsia" w:cs="Times New Roman"/>
                <w:color w:val="auto"/>
                <w:kern w:val="0"/>
                <w:sz w:val="24"/>
                <w:szCs w:val="24"/>
                <w:highlight w:val="none"/>
                <w:lang w:val="en-US" w:eastAsia="zh-CN" w:bidi="ar-SA"/>
              </w:rPr>
              <w:t>的有机</w:t>
            </w:r>
            <w:r>
              <w:rPr>
                <w:rFonts w:hint="eastAsia" w:ascii="Times New Roman" w:hAnsi="Times New Roman" w:eastAsia="宋体" w:cs="Times New Roman"/>
                <w:color w:val="auto"/>
                <w:kern w:val="0"/>
                <w:sz w:val="24"/>
                <w:szCs w:val="24"/>
                <w:highlight w:val="none"/>
                <w:lang w:val="en-US" w:eastAsia="zh-CN" w:bidi="ar-SA"/>
              </w:rPr>
              <w:t>废气</w:t>
            </w:r>
          </w:p>
          <w:p w14:paraId="2233E311">
            <w:pPr>
              <w:keepNext w:val="0"/>
              <w:keepLines w:val="0"/>
              <w:pageBreakBefore w:val="0"/>
              <w:widowControl w:val="0"/>
              <w:numPr>
                <w:ilvl w:val="0"/>
                <w:numId w:val="0"/>
              </w:numPr>
              <w:suppressLineNumbers w:val="0"/>
              <w:kinsoku/>
              <w:wordWrap w:val="0"/>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本项目废气主要来自于废机油、柴油及废防冻液的挥发。报废农机在入厂后，首先对农机进行检查，对出现泄漏的总成部件，收集泄漏的液体或封住泄漏处，故泄漏的废油液量很少。项目废油液抽取前和抽取后均在密闭容器内封存，可能产生VOCs的环节主要为预处理过程，排空油液的过程中油液的挥发。参照《散装液态石油产品损耗》</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GB11085-89</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中灌桶</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0.18%</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和零售加注时</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0.29%</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的两部分的损失率，按总体0.47%的损失率进行计算，类比同类项目，项目预处理中转量约为</w:t>
            </w:r>
            <w:r>
              <w:rPr>
                <w:rFonts w:hint="eastAsia" w:cs="Times New Roman"/>
                <w:color w:val="auto"/>
                <w:kern w:val="0"/>
                <w:sz w:val="24"/>
                <w:szCs w:val="24"/>
                <w:highlight w:val="none"/>
                <w:lang w:val="en-US" w:eastAsia="zh-CN" w:bidi="ar-SA"/>
              </w:rPr>
              <w:t>8</w:t>
            </w:r>
            <w:r>
              <w:rPr>
                <w:rFonts w:hint="eastAsia" w:ascii="Times New Roman" w:hAnsi="Times New Roman" w:eastAsia="宋体" w:cs="Times New Roman"/>
                <w:color w:val="auto"/>
                <w:kern w:val="0"/>
                <w:sz w:val="24"/>
                <w:szCs w:val="24"/>
                <w:highlight w:val="none"/>
                <w:lang w:val="en-US" w:eastAsia="zh-CN" w:bidi="ar-SA"/>
              </w:rPr>
              <w:t>t</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a，则VOCs产生量约为</w:t>
            </w:r>
            <w:r>
              <w:rPr>
                <w:rFonts w:hint="eastAsia" w:cs="Times New Roman"/>
                <w:color w:val="auto"/>
                <w:kern w:val="0"/>
                <w:sz w:val="24"/>
                <w:szCs w:val="24"/>
                <w:highlight w:val="none"/>
                <w:lang w:val="en-US" w:eastAsia="zh-CN" w:bidi="ar-SA"/>
              </w:rPr>
              <w:t>0.038</w:t>
            </w:r>
            <w:r>
              <w:rPr>
                <w:rFonts w:hint="eastAsia" w:ascii="Times New Roman" w:hAnsi="Times New Roman" w:eastAsia="宋体" w:cs="Times New Roman"/>
                <w:color w:val="auto"/>
                <w:kern w:val="0"/>
                <w:sz w:val="24"/>
                <w:szCs w:val="24"/>
                <w:highlight w:val="none"/>
                <w:lang w:val="en-US" w:eastAsia="zh-CN" w:bidi="ar-SA"/>
              </w:rPr>
              <w:t>t</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a</w:t>
            </w:r>
            <w:r>
              <w:rPr>
                <w:rFonts w:hint="eastAsia" w:cs="Times New Roman"/>
                <w:color w:val="auto"/>
                <w:kern w:val="0"/>
                <w:sz w:val="24"/>
                <w:szCs w:val="24"/>
                <w:highlight w:val="none"/>
                <w:lang w:val="en-US" w:eastAsia="zh-CN" w:bidi="ar-SA"/>
              </w:rPr>
              <w:t>（0.019</w:t>
            </w:r>
            <w:r>
              <w:rPr>
                <w:rFonts w:hint="eastAsia" w:ascii="Times New Roman" w:hAnsi="Times New Roman" w:eastAsia="宋体" w:cs="Times New Roman"/>
                <w:color w:val="auto"/>
                <w:kern w:val="0"/>
                <w:sz w:val="24"/>
                <w:szCs w:val="24"/>
                <w:highlight w:val="none"/>
                <w:lang w:val="en-US" w:eastAsia="zh-CN" w:bidi="ar-SA"/>
              </w:rPr>
              <w:t>kg</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h</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。项目采用油液抽取机抽取油液及防冻液，在工位上方设置集气罩，废气经集气罩收集后经活性炭吸附装置处理，后经15m高排气</w:t>
            </w:r>
            <w:r>
              <w:rPr>
                <w:rFonts w:hint="eastAsia" w:cs="Times New Roman"/>
                <w:color w:val="auto"/>
                <w:kern w:val="0"/>
                <w:sz w:val="24"/>
                <w:szCs w:val="24"/>
                <w:highlight w:val="none"/>
                <w:lang w:val="en-US" w:eastAsia="zh-CN" w:bidi="ar-SA"/>
              </w:rPr>
              <w:t>筒（DA001）</w:t>
            </w:r>
            <w:r>
              <w:rPr>
                <w:rFonts w:hint="eastAsia" w:ascii="Times New Roman" w:hAnsi="Times New Roman" w:eastAsia="宋体" w:cs="Times New Roman"/>
                <w:color w:val="auto"/>
                <w:kern w:val="0"/>
                <w:sz w:val="24"/>
                <w:szCs w:val="24"/>
                <w:highlight w:val="none"/>
                <w:lang w:val="en-US" w:eastAsia="zh-CN" w:bidi="ar-SA"/>
              </w:rPr>
              <w:t>排放，风机量为3000m</w:t>
            </w:r>
            <w:r>
              <w:rPr>
                <w:rFonts w:hint="eastAsia" w:cs="Times New Roman"/>
                <w:color w:val="auto"/>
                <w:kern w:val="0"/>
                <w:sz w:val="24"/>
                <w:szCs w:val="24"/>
                <w:highlight w:val="none"/>
                <w:vertAlign w:val="superscript"/>
                <w:lang w:val="en-US" w:eastAsia="zh-CN" w:bidi="ar-SA"/>
              </w:rPr>
              <w:t>3</w:t>
            </w:r>
            <w:r>
              <w:rPr>
                <w:rFonts w:hint="eastAsia" w:cs="Times New Roman"/>
                <w:color w:val="auto"/>
                <w:kern w:val="0"/>
                <w:sz w:val="24"/>
                <w:szCs w:val="24"/>
                <w:highlight w:val="none"/>
                <w:lang w:val="en-US" w:eastAsia="zh-CN" w:bidi="ar-SA"/>
              </w:rPr>
              <w:t>/h</w:t>
            </w:r>
            <w:r>
              <w:rPr>
                <w:rFonts w:hint="eastAsia" w:ascii="Times New Roman" w:hAnsi="Times New Roman" w:eastAsia="宋体" w:cs="Times New Roman"/>
                <w:color w:val="auto"/>
                <w:kern w:val="0"/>
                <w:sz w:val="24"/>
                <w:szCs w:val="24"/>
                <w:highlight w:val="none"/>
                <w:lang w:val="en-US" w:eastAsia="zh-CN" w:bidi="ar-SA"/>
              </w:rPr>
              <w:t>，收集效率约90%，处理效率约80%。因此，项目有组织非甲烷总烃排放量为0.00</w:t>
            </w:r>
            <w:r>
              <w:rPr>
                <w:rFonts w:hint="eastAsia" w:cs="Times New Roman"/>
                <w:color w:val="auto"/>
                <w:kern w:val="0"/>
                <w:sz w:val="24"/>
                <w:szCs w:val="24"/>
                <w:highlight w:val="none"/>
                <w:lang w:val="en-US" w:eastAsia="zh-CN" w:bidi="ar-SA"/>
              </w:rPr>
              <w:t>7</w:t>
            </w:r>
            <w:r>
              <w:rPr>
                <w:rFonts w:hint="eastAsia" w:ascii="Times New Roman" w:hAnsi="Times New Roman" w:eastAsia="宋体" w:cs="Times New Roman"/>
                <w:color w:val="auto"/>
                <w:kern w:val="0"/>
                <w:sz w:val="24"/>
                <w:szCs w:val="24"/>
                <w:highlight w:val="none"/>
                <w:lang w:val="en-US" w:eastAsia="zh-CN" w:bidi="ar-SA"/>
              </w:rPr>
              <w:t>t</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a，无组织排放量为0.00</w:t>
            </w:r>
            <w:r>
              <w:rPr>
                <w:rFonts w:hint="eastAsia" w:cs="Times New Roman"/>
                <w:color w:val="auto"/>
                <w:kern w:val="0"/>
                <w:sz w:val="24"/>
                <w:szCs w:val="24"/>
                <w:highlight w:val="none"/>
                <w:lang w:val="en-US" w:eastAsia="zh-CN" w:bidi="ar-SA"/>
              </w:rPr>
              <w:t>4</w:t>
            </w:r>
            <w:r>
              <w:rPr>
                <w:rFonts w:hint="eastAsia" w:ascii="Times New Roman" w:hAnsi="Times New Roman" w:eastAsia="宋体" w:cs="Times New Roman"/>
                <w:color w:val="auto"/>
                <w:kern w:val="0"/>
                <w:sz w:val="24"/>
                <w:szCs w:val="24"/>
                <w:highlight w:val="none"/>
                <w:lang w:val="en-US" w:eastAsia="zh-CN" w:bidi="ar-SA"/>
              </w:rPr>
              <w:t>t/a。</w:t>
            </w:r>
          </w:p>
          <w:p w14:paraId="2B87CB8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（2）</w:t>
            </w:r>
            <w:r>
              <w:rPr>
                <w:rFonts w:hint="eastAsia" w:ascii="Times New Roman" w:hAnsi="Times New Roman" w:eastAsia="宋体" w:cs="Times New Roman"/>
                <w:color w:val="auto"/>
                <w:kern w:val="0"/>
                <w:sz w:val="24"/>
                <w:szCs w:val="24"/>
                <w:highlight w:val="none"/>
                <w:lang w:val="en-US" w:eastAsia="zh-CN" w:bidi="ar-SA"/>
              </w:rPr>
              <w:t>切割废气</w:t>
            </w:r>
          </w:p>
          <w:p w14:paraId="63011C5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报废农机在拆解后较大部件需进行切割，切割采用离子切割。切割过程农机被切割位置的受热金属熔化，由于局部的高温作用部分金属离子直接以气态形式进入空气中或者被熔化金属中杂质燃烧产生的气体</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如C燃烧产生的CO</w:t>
            </w:r>
            <w:r>
              <w:rPr>
                <w:rFonts w:hint="eastAsia" w:cs="Times New Roman"/>
                <w:color w:val="auto"/>
                <w:kern w:val="0"/>
                <w:sz w:val="24"/>
                <w:szCs w:val="24"/>
                <w:highlight w:val="none"/>
                <w:vertAlign w:val="subscript"/>
                <w:lang w:val="en-US" w:eastAsia="zh-CN" w:bidi="ar-SA"/>
              </w:rPr>
              <w:t>2</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带入到空气中，金属离子在空气中随即冷却形成颗粒物因此而产生的切割烟尘环境影响较大。根据被切割件的性质特点，本项目切割烟尘主要成份为金属颗粒物（Fe</w:t>
            </w:r>
            <w:r>
              <w:rPr>
                <w:rFonts w:hint="eastAsia" w:ascii="Times New Roman" w:hAnsi="Times New Roman" w:eastAsia="宋体" w:cs="Times New Roman"/>
                <w:color w:val="auto"/>
                <w:kern w:val="0"/>
                <w:sz w:val="24"/>
                <w:szCs w:val="24"/>
                <w:highlight w:val="none"/>
                <w:vertAlign w:val="subscript"/>
                <w:lang w:val="en-US" w:eastAsia="zh-CN" w:bidi="ar-SA"/>
              </w:rPr>
              <w:t>2</w:t>
            </w:r>
            <w:r>
              <w:rPr>
                <w:rFonts w:hint="eastAsia" w:cs="Times New Roman"/>
                <w:color w:val="auto"/>
                <w:kern w:val="0"/>
                <w:sz w:val="24"/>
                <w:szCs w:val="24"/>
                <w:highlight w:val="none"/>
                <w:lang w:val="en-US" w:eastAsia="zh-CN" w:bidi="ar-SA"/>
              </w:rPr>
              <w:t>O</w:t>
            </w:r>
            <w:r>
              <w:rPr>
                <w:rFonts w:hint="eastAsia" w:cs="Times New Roman"/>
                <w:color w:val="auto"/>
                <w:kern w:val="0"/>
                <w:sz w:val="24"/>
                <w:szCs w:val="24"/>
                <w:highlight w:val="none"/>
                <w:vertAlign w:val="subscript"/>
                <w:lang w:val="en-US" w:eastAsia="zh-CN" w:bidi="ar-SA"/>
              </w:rPr>
              <w:t>3</w:t>
            </w:r>
            <w:r>
              <w:rPr>
                <w:rFonts w:hint="eastAsia" w:ascii="Times New Roman" w:hAnsi="Times New Roman" w:eastAsia="宋体" w:cs="Times New Roman"/>
                <w:color w:val="auto"/>
                <w:kern w:val="0"/>
                <w:sz w:val="24"/>
                <w:szCs w:val="24"/>
                <w:highlight w:val="none"/>
                <w:lang w:val="en-US" w:eastAsia="zh-CN" w:bidi="ar-SA"/>
              </w:rPr>
              <w:t>、FeO</w:t>
            </w:r>
            <w:r>
              <w:rPr>
                <w:rFonts w:hint="eastAsia" w:ascii="Times New Roman" w:hAnsi="Times New Roman" w:eastAsia="宋体" w:cs="Times New Roman"/>
                <w:color w:val="auto"/>
                <w:kern w:val="0"/>
                <w:sz w:val="24"/>
                <w:szCs w:val="24"/>
                <w:highlight w:val="none"/>
                <w:vertAlign w:val="subscript"/>
                <w:lang w:val="en-US" w:eastAsia="zh-CN" w:bidi="ar-SA"/>
              </w:rPr>
              <w:t>2</w:t>
            </w:r>
            <w:r>
              <w:rPr>
                <w:rFonts w:hint="eastAsia" w:ascii="Times New Roman" w:hAnsi="Times New Roman" w:eastAsia="宋体" w:cs="Times New Roman"/>
                <w:color w:val="auto"/>
                <w:kern w:val="0"/>
                <w:sz w:val="24"/>
                <w:szCs w:val="24"/>
                <w:highlight w:val="none"/>
                <w:lang w:val="en-US" w:eastAsia="zh-CN" w:bidi="ar-SA"/>
              </w:rPr>
              <w:t>、MnO</w:t>
            </w:r>
            <w:r>
              <w:rPr>
                <w:rFonts w:hint="eastAsia" w:ascii="Times New Roman" w:hAnsi="Times New Roman" w:eastAsia="宋体" w:cs="Times New Roman"/>
                <w:color w:val="auto"/>
                <w:kern w:val="0"/>
                <w:sz w:val="24"/>
                <w:szCs w:val="24"/>
                <w:highlight w:val="none"/>
                <w:vertAlign w:val="subscript"/>
                <w:lang w:val="en-US" w:eastAsia="zh-CN" w:bidi="ar-SA"/>
              </w:rPr>
              <w:t>2</w:t>
            </w:r>
            <w:r>
              <w:rPr>
                <w:rFonts w:hint="eastAsia" w:ascii="Times New Roman" w:hAnsi="Times New Roman" w:eastAsia="宋体" w:cs="Times New Roman"/>
                <w:color w:val="auto"/>
                <w:kern w:val="0"/>
                <w:sz w:val="24"/>
                <w:szCs w:val="24"/>
                <w:highlight w:val="none"/>
                <w:lang w:val="en-US" w:eastAsia="zh-CN" w:bidi="ar-SA"/>
              </w:rPr>
              <w:t>、</w:t>
            </w:r>
            <w:r>
              <w:rPr>
                <w:rFonts w:hint="eastAsia" w:cs="Times New Roman"/>
                <w:color w:val="auto"/>
                <w:kern w:val="0"/>
                <w:sz w:val="24"/>
                <w:szCs w:val="24"/>
                <w:highlight w:val="none"/>
                <w:lang w:val="en-US" w:eastAsia="zh-CN" w:bidi="ar-SA"/>
              </w:rPr>
              <w:t>SiO</w:t>
            </w:r>
            <w:r>
              <w:rPr>
                <w:rFonts w:hint="eastAsia" w:ascii="Times New Roman" w:hAnsi="Times New Roman" w:eastAsia="宋体" w:cs="Times New Roman"/>
                <w:color w:val="auto"/>
                <w:kern w:val="0"/>
                <w:sz w:val="24"/>
                <w:szCs w:val="24"/>
                <w:highlight w:val="none"/>
                <w:vertAlign w:val="subscript"/>
                <w:lang w:val="en-US" w:eastAsia="zh-CN" w:bidi="ar-SA"/>
              </w:rPr>
              <w:t>2</w:t>
            </w:r>
            <w:r>
              <w:rPr>
                <w:rFonts w:hint="eastAsia" w:ascii="Times New Roman" w:hAnsi="Times New Roman" w:eastAsia="宋体" w:cs="Times New Roman"/>
                <w:color w:val="auto"/>
                <w:kern w:val="0"/>
                <w:sz w:val="24"/>
                <w:szCs w:val="24"/>
                <w:highlight w:val="none"/>
                <w:lang w:val="en-US" w:eastAsia="zh-CN" w:bidi="ar-SA"/>
              </w:rPr>
              <w:t>）等参考《第二次全国污染源普查产排污核算系数手册》33-37</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431-434机械行业系数手册，采用等离子切割产生的颗粒物1.1kg</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t-原料，根据物料平衡分析，农机拆解得到钢铁约为</w:t>
            </w:r>
            <w:r>
              <w:rPr>
                <w:rFonts w:hint="eastAsia" w:cs="Times New Roman"/>
                <w:color w:val="auto"/>
                <w:kern w:val="0"/>
                <w:sz w:val="24"/>
                <w:szCs w:val="24"/>
                <w:highlight w:val="none"/>
                <w:lang w:val="en-US" w:eastAsia="zh-CN" w:bidi="ar-SA"/>
              </w:rPr>
              <w:t>2677.54</w:t>
            </w:r>
            <w:r>
              <w:rPr>
                <w:rFonts w:hint="eastAsia" w:ascii="Times New Roman" w:hAnsi="Times New Roman" w:eastAsia="宋体" w:cs="Times New Roman"/>
                <w:color w:val="auto"/>
                <w:kern w:val="0"/>
                <w:sz w:val="24"/>
                <w:szCs w:val="24"/>
                <w:highlight w:val="none"/>
                <w:lang w:val="en-US" w:eastAsia="zh-CN" w:bidi="ar-SA"/>
              </w:rPr>
              <w:t>t</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a，其中约5%需进行切割处理，则切割废气中粉尘颗粒物总产生量为</w:t>
            </w:r>
            <w:r>
              <w:rPr>
                <w:rFonts w:hint="eastAsia" w:cs="Times New Roman"/>
                <w:color w:val="auto"/>
                <w:kern w:val="0"/>
                <w:sz w:val="24"/>
                <w:szCs w:val="24"/>
                <w:highlight w:val="none"/>
                <w:lang w:val="en-US" w:eastAsia="zh-CN" w:bidi="ar-SA"/>
              </w:rPr>
              <w:t>0.147</w:t>
            </w:r>
            <w:r>
              <w:rPr>
                <w:rFonts w:hint="eastAsia" w:ascii="Times New Roman" w:hAnsi="Times New Roman" w:eastAsia="宋体" w:cs="Times New Roman"/>
                <w:color w:val="auto"/>
                <w:kern w:val="0"/>
                <w:sz w:val="24"/>
                <w:szCs w:val="24"/>
                <w:highlight w:val="none"/>
                <w:lang w:val="en-US" w:eastAsia="zh-CN" w:bidi="ar-SA"/>
              </w:rPr>
              <w:t>t/a。切割工位设置集气罩，切割粉尘采用集气罩收集，经布袋除尘器处理后经15m高排气筒</w:t>
            </w:r>
            <w:r>
              <w:rPr>
                <w:rFonts w:hint="eastAsia" w:cs="Times New Roman"/>
                <w:color w:val="auto"/>
                <w:kern w:val="0"/>
                <w:sz w:val="24"/>
                <w:szCs w:val="24"/>
                <w:highlight w:val="none"/>
                <w:lang w:val="en-US" w:eastAsia="zh-CN" w:bidi="ar-SA"/>
              </w:rPr>
              <w:t>（DA001）</w:t>
            </w:r>
            <w:r>
              <w:rPr>
                <w:rFonts w:hint="eastAsia" w:ascii="Times New Roman" w:hAnsi="Times New Roman" w:eastAsia="宋体" w:cs="Times New Roman"/>
                <w:color w:val="auto"/>
                <w:kern w:val="0"/>
                <w:sz w:val="24"/>
                <w:szCs w:val="24"/>
                <w:highlight w:val="none"/>
                <w:lang w:val="en-US" w:eastAsia="zh-CN" w:bidi="ar-SA"/>
              </w:rPr>
              <w:t>排放，风机量为3000m</w:t>
            </w:r>
            <w:r>
              <w:rPr>
                <w:rFonts w:hint="eastAsia" w:ascii="Times New Roman" w:hAnsi="Times New Roman" w:eastAsia="宋体" w:cs="Times New Roman"/>
                <w:color w:val="auto"/>
                <w:kern w:val="0"/>
                <w:sz w:val="24"/>
                <w:szCs w:val="24"/>
                <w:highlight w:val="none"/>
                <w:vertAlign w:val="superscript"/>
                <w:lang w:val="en-US" w:eastAsia="zh-CN" w:bidi="ar-SA"/>
              </w:rPr>
              <w:t>3</w:t>
            </w:r>
            <w:r>
              <w:rPr>
                <w:rFonts w:hint="eastAsia" w:ascii="Times New Roman" w:hAnsi="Times New Roman" w:eastAsia="宋体" w:cs="Times New Roman"/>
                <w:color w:val="auto"/>
                <w:kern w:val="0"/>
                <w:sz w:val="24"/>
                <w:szCs w:val="24"/>
                <w:highlight w:val="none"/>
                <w:lang w:val="en-US" w:eastAsia="zh-CN" w:bidi="ar-SA"/>
              </w:rPr>
              <w:t>/h，收集效率约90%，处理效率约99%。因此项目无组织粉尘排放量约0.01</w:t>
            </w:r>
            <w:r>
              <w:rPr>
                <w:rFonts w:hint="eastAsia" w:cs="Times New Roman"/>
                <w:color w:val="auto"/>
                <w:kern w:val="0"/>
                <w:sz w:val="24"/>
                <w:szCs w:val="24"/>
                <w:highlight w:val="none"/>
                <w:lang w:val="en-US" w:eastAsia="zh-CN" w:bidi="ar-SA"/>
              </w:rPr>
              <w:t>5</w:t>
            </w:r>
            <w:r>
              <w:rPr>
                <w:rFonts w:hint="eastAsia" w:ascii="Times New Roman" w:hAnsi="Times New Roman" w:eastAsia="宋体" w:cs="Times New Roman"/>
                <w:color w:val="auto"/>
                <w:kern w:val="0"/>
                <w:sz w:val="24"/>
                <w:szCs w:val="24"/>
                <w:highlight w:val="none"/>
                <w:lang w:val="en-US" w:eastAsia="zh-CN" w:bidi="ar-SA"/>
              </w:rPr>
              <w:t>t</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a，有组织粉尘排放量为0.001</w:t>
            </w:r>
            <w:r>
              <w:rPr>
                <w:rFonts w:hint="eastAsia" w:cs="Times New Roman"/>
                <w:color w:val="auto"/>
                <w:kern w:val="0"/>
                <w:sz w:val="24"/>
                <w:szCs w:val="24"/>
                <w:highlight w:val="none"/>
                <w:lang w:val="en-US" w:eastAsia="zh-CN" w:bidi="ar-SA"/>
              </w:rPr>
              <w:t>3</w:t>
            </w:r>
            <w:r>
              <w:rPr>
                <w:rFonts w:hint="eastAsia" w:ascii="Times New Roman" w:hAnsi="Times New Roman" w:eastAsia="宋体" w:cs="Times New Roman"/>
                <w:color w:val="auto"/>
                <w:kern w:val="0"/>
                <w:sz w:val="24"/>
                <w:szCs w:val="24"/>
                <w:highlight w:val="none"/>
                <w:lang w:val="en-US" w:eastAsia="zh-CN" w:bidi="ar-SA"/>
              </w:rPr>
              <w:t>t</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a</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无组织排放量为0.0</w:t>
            </w:r>
            <w:r>
              <w:rPr>
                <w:rFonts w:hint="eastAsia" w:cs="Times New Roman"/>
                <w:color w:val="auto"/>
                <w:kern w:val="0"/>
                <w:sz w:val="24"/>
                <w:szCs w:val="24"/>
                <w:highlight w:val="none"/>
                <w:lang w:val="en-US" w:eastAsia="zh-CN" w:bidi="ar-SA"/>
              </w:rPr>
              <w:t>15</w:t>
            </w:r>
            <w:r>
              <w:rPr>
                <w:rFonts w:hint="eastAsia" w:ascii="Times New Roman" w:hAnsi="Times New Roman" w:eastAsia="宋体" w:cs="Times New Roman"/>
                <w:color w:val="auto"/>
                <w:kern w:val="0"/>
                <w:sz w:val="24"/>
                <w:szCs w:val="24"/>
                <w:highlight w:val="none"/>
                <w:lang w:val="en-US" w:eastAsia="zh-CN" w:bidi="ar-SA"/>
              </w:rPr>
              <w:t>t/a。</w:t>
            </w:r>
          </w:p>
          <w:p w14:paraId="555CDBC2">
            <w:pPr>
              <w:pStyle w:val="127"/>
              <w:spacing w:line="360" w:lineRule="auto"/>
              <w:ind w:firstLine="480"/>
              <w:rPr>
                <w:rFonts w:hint="default" w:ascii="Times New Roman" w:hAnsi="Times New Roman" w:eastAsia="宋体" w:cs="Times New Roman"/>
                <w:color w:val="auto"/>
                <w:lang w:val="en-US" w:eastAsia="zh-CN"/>
              </w:rPr>
            </w:pPr>
            <w:r>
              <w:rPr>
                <w:rFonts w:hint="eastAsia" w:cs="Times New Roman"/>
                <w:color w:val="auto"/>
                <w:lang w:val="en-US" w:eastAsia="zh-CN"/>
              </w:rPr>
              <w:t>（3）锅炉废气</w:t>
            </w:r>
          </w:p>
          <w:p w14:paraId="143AB079">
            <w:pPr>
              <w:pStyle w:val="127"/>
              <w:spacing w:line="360" w:lineRule="auto"/>
              <w:ind w:firstLine="480"/>
              <w:rPr>
                <w:rFonts w:hint="eastAsia"/>
                <w:color w:val="auto"/>
                <w:lang w:val="en-US" w:eastAsia="zh-CN"/>
              </w:rPr>
            </w:pPr>
            <w:r>
              <w:rPr>
                <w:rFonts w:hint="eastAsia"/>
                <w:color w:val="auto"/>
                <w:sz w:val="24"/>
                <w:highlight w:val="none"/>
                <w:lang w:val="en-US" w:eastAsia="zh-CN"/>
              </w:rPr>
              <w:t>本项目冬季厂区供暖和生产供热</w:t>
            </w:r>
            <w:r>
              <w:rPr>
                <w:rFonts w:hint="eastAsia" w:eastAsia="宋体"/>
                <w:color w:val="auto"/>
                <w:sz w:val="24"/>
                <w:highlight w:val="none"/>
                <w:lang w:val="en-US" w:eastAsia="zh-CN"/>
              </w:rPr>
              <w:t>由</w:t>
            </w:r>
            <w:r>
              <w:rPr>
                <w:rFonts w:hint="eastAsia"/>
                <w:color w:val="auto"/>
                <w:sz w:val="24"/>
                <w:highlight w:val="none"/>
                <w:lang w:val="en-US" w:eastAsia="zh-CN"/>
              </w:rPr>
              <w:t>1</w:t>
            </w:r>
            <w:r>
              <w:rPr>
                <w:rFonts w:hint="eastAsia" w:eastAsia="宋体"/>
                <w:color w:val="auto"/>
                <w:sz w:val="24"/>
                <w:highlight w:val="none"/>
                <w:lang w:val="en-US" w:eastAsia="zh-CN"/>
              </w:rPr>
              <w:t>台</w:t>
            </w:r>
            <w:r>
              <w:rPr>
                <w:rFonts w:hint="eastAsia" w:cs="Times New Roman"/>
                <w:bCs/>
                <w:color w:val="auto"/>
                <w:sz w:val="24"/>
                <w:lang w:val="en-US" w:eastAsia="zh-CN"/>
              </w:rPr>
              <w:t>2.5t</w:t>
            </w:r>
            <w:r>
              <w:rPr>
                <w:rFonts w:hint="eastAsia" w:ascii="Times New Roman" w:hAnsi="Times New Roman" w:cs="Times New Roman"/>
                <w:bCs/>
                <w:color w:val="auto"/>
                <w:sz w:val="24"/>
                <w:lang w:val="en-US" w:eastAsia="zh-CN"/>
              </w:rPr>
              <w:t>/h</w:t>
            </w:r>
            <w:r>
              <w:rPr>
                <w:rFonts w:hint="eastAsia" w:ascii="Times New Roman" w:hAnsi="Times New Roman" w:eastAsia="宋体" w:cs="Times New Roman"/>
                <w:bCs/>
                <w:color w:val="auto"/>
                <w:sz w:val="24"/>
                <w:lang w:val="en-US" w:eastAsia="zh-CN"/>
              </w:rPr>
              <w:t>燃</w:t>
            </w:r>
            <w:r>
              <w:rPr>
                <w:rFonts w:hint="eastAsia" w:ascii="Times New Roman" w:hAnsi="Times New Roman" w:cs="Times New Roman"/>
                <w:bCs/>
                <w:color w:val="auto"/>
                <w:sz w:val="24"/>
                <w:lang w:val="en-US" w:eastAsia="zh-CN"/>
              </w:rPr>
              <w:t>生物质</w:t>
            </w:r>
            <w:r>
              <w:rPr>
                <w:rFonts w:hint="eastAsia" w:ascii="Times New Roman" w:hAnsi="Times New Roman" w:eastAsia="宋体" w:cs="Times New Roman"/>
                <w:bCs/>
                <w:color w:val="auto"/>
                <w:sz w:val="24"/>
                <w:lang w:val="en-US" w:eastAsia="zh-CN"/>
              </w:rPr>
              <w:t>锅炉</w:t>
            </w:r>
            <w:r>
              <w:rPr>
                <w:rFonts w:hint="eastAsia" w:eastAsia="宋体"/>
                <w:color w:val="auto"/>
                <w:sz w:val="24"/>
                <w:highlight w:val="none"/>
                <w:lang w:val="en-US" w:eastAsia="zh-CN"/>
              </w:rPr>
              <w:t>提供。</w:t>
            </w:r>
            <w:r>
              <w:rPr>
                <w:rFonts w:hint="eastAsia"/>
                <w:color w:val="auto"/>
                <w:lang w:val="en-US" w:eastAsia="zh-CN"/>
              </w:rPr>
              <w:t>锅炉每天运行8小时，年运行180天。燃生物质锅炉</w:t>
            </w:r>
            <w:r>
              <w:rPr>
                <w:rFonts w:hint="eastAsia"/>
                <w:color w:val="auto"/>
              </w:rPr>
              <w:t>烟气</w:t>
            </w:r>
            <w:r>
              <w:rPr>
                <w:rFonts w:hint="eastAsia"/>
                <w:color w:val="auto"/>
                <w:lang w:val="en-US" w:eastAsia="zh-CN"/>
              </w:rPr>
              <w:t>分别</w:t>
            </w:r>
            <w:r>
              <w:rPr>
                <w:rFonts w:hint="eastAsia"/>
                <w:color w:val="auto"/>
              </w:rPr>
              <w:t>经</w:t>
            </w:r>
            <w:r>
              <w:rPr>
                <w:rFonts w:hint="eastAsia"/>
                <w:color w:val="auto"/>
                <w:lang w:val="en-US" w:eastAsia="zh-CN"/>
              </w:rPr>
              <w:t>旋风除尘器+布袋除尘器</w:t>
            </w:r>
            <w:r>
              <w:rPr>
                <w:rFonts w:hint="eastAsia"/>
                <w:color w:val="auto"/>
              </w:rPr>
              <w:t>（除尘效率为</w:t>
            </w:r>
            <w:r>
              <w:rPr>
                <w:rFonts w:hint="eastAsia"/>
                <w:color w:val="auto"/>
                <w:lang w:eastAsia="zh-CN"/>
              </w:rPr>
              <w:t>99%</w:t>
            </w:r>
            <w:r>
              <w:rPr>
                <w:rFonts w:hint="eastAsia"/>
                <w:color w:val="auto"/>
              </w:rPr>
              <w:t>）处理，由1根</w:t>
            </w:r>
            <w:r>
              <w:rPr>
                <w:rFonts w:hint="eastAsia"/>
                <w:color w:val="auto"/>
                <w:lang w:val="en-US" w:eastAsia="zh-CN"/>
              </w:rPr>
              <w:t>30米</w:t>
            </w:r>
            <w:r>
              <w:rPr>
                <w:rFonts w:hint="eastAsia"/>
                <w:color w:val="auto"/>
              </w:rPr>
              <w:t>高烟囱</w:t>
            </w:r>
            <w:r>
              <w:rPr>
                <w:rFonts w:hint="eastAsia"/>
                <w:color w:val="auto"/>
                <w:lang w:eastAsia="zh-CN"/>
              </w:rPr>
              <w:t>（</w:t>
            </w:r>
            <w:r>
              <w:rPr>
                <w:rFonts w:hint="eastAsia"/>
                <w:color w:val="auto"/>
                <w:lang w:val="en-US" w:eastAsia="zh-CN"/>
              </w:rPr>
              <w:t>DA002</w:t>
            </w:r>
            <w:r>
              <w:rPr>
                <w:rFonts w:hint="eastAsia"/>
                <w:color w:val="auto"/>
                <w:lang w:eastAsia="zh-CN"/>
              </w:rPr>
              <w:t>）</w:t>
            </w:r>
            <w:r>
              <w:rPr>
                <w:rFonts w:hint="eastAsia"/>
                <w:color w:val="auto"/>
              </w:rPr>
              <w:t>排放</w:t>
            </w:r>
            <w:r>
              <w:rPr>
                <w:rFonts w:hint="eastAsia"/>
                <w:color w:val="auto"/>
                <w:lang w:eastAsia="zh-CN"/>
              </w:rPr>
              <w:t>，</w:t>
            </w:r>
            <w:r>
              <w:rPr>
                <w:rFonts w:hint="eastAsia"/>
                <w:color w:val="auto"/>
                <w:lang w:val="en-US" w:eastAsia="zh-CN"/>
              </w:rPr>
              <w:t>烟囱</w:t>
            </w:r>
            <w:r>
              <w:rPr>
                <w:color w:val="auto"/>
              </w:rPr>
              <w:t>出口内径：</w:t>
            </w:r>
            <w:r>
              <w:rPr>
                <w:rFonts w:hint="eastAsia"/>
                <w:color w:val="auto"/>
                <w:lang w:val="en-US" w:eastAsia="zh-CN"/>
              </w:rPr>
              <w:t>1.0</w:t>
            </w:r>
            <w:r>
              <w:rPr>
                <w:color w:val="auto"/>
              </w:rPr>
              <w:t>m。</w:t>
            </w:r>
          </w:p>
          <w:p w14:paraId="03C2ADC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本项目</w:t>
            </w:r>
            <w:r>
              <w:rPr>
                <w:rFonts w:hint="eastAsia" w:cs="Times New Roman"/>
                <w:color w:val="auto"/>
                <w:kern w:val="0"/>
                <w:sz w:val="24"/>
                <w:szCs w:val="24"/>
                <w:highlight w:val="none"/>
                <w:lang w:val="en-US" w:eastAsia="zh-CN" w:bidi="ar-SA"/>
              </w:rPr>
              <w:t>燃生物质</w:t>
            </w:r>
            <w:r>
              <w:rPr>
                <w:rFonts w:hint="eastAsia" w:ascii="Times New Roman" w:hAnsi="Times New Roman" w:eastAsia="宋体" w:cs="Times New Roman"/>
                <w:color w:val="auto"/>
                <w:kern w:val="0"/>
                <w:sz w:val="24"/>
                <w:szCs w:val="24"/>
                <w:highlight w:val="none"/>
                <w:lang w:val="en-US" w:eastAsia="zh-CN" w:bidi="ar-SA"/>
              </w:rPr>
              <w:t>锅炉排放的烟气主要为</w:t>
            </w:r>
            <w:r>
              <w:rPr>
                <w:rFonts w:hint="default" w:ascii="Times New Roman" w:hAnsi="Times New Roman" w:eastAsia="宋体" w:cs="Times New Roman"/>
                <w:color w:val="auto"/>
                <w:kern w:val="0"/>
                <w:sz w:val="24"/>
                <w:szCs w:val="24"/>
                <w:highlight w:val="none"/>
                <w:lang w:val="en-US" w:eastAsia="zh-CN" w:bidi="ar-SA"/>
              </w:rPr>
              <w:t>SO</w:t>
            </w:r>
            <w:r>
              <w:rPr>
                <w:rFonts w:hint="default" w:ascii="Times New Roman" w:hAnsi="Times New Roman" w:eastAsia="宋体" w:cs="Times New Roman"/>
                <w:color w:val="auto"/>
                <w:kern w:val="0"/>
                <w:sz w:val="24"/>
                <w:szCs w:val="24"/>
                <w:highlight w:val="none"/>
                <w:vertAlign w:val="subscript"/>
                <w:lang w:val="en-US" w:eastAsia="zh-CN" w:bidi="ar-SA"/>
              </w:rPr>
              <w:t>2</w:t>
            </w:r>
            <w:r>
              <w:rPr>
                <w:rFonts w:hint="default" w:ascii="Times New Roman" w:hAnsi="Times New Roman" w:eastAsia="宋体" w:cs="Times New Roman"/>
                <w:color w:val="auto"/>
                <w:kern w:val="0"/>
                <w:sz w:val="24"/>
                <w:szCs w:val="24"/>
                <w:highlight w:val="none"/>
                <w:lang w:val="en-US" w:eastAsia="zh-CN" w:bidi="ar-SA"/>
              </w:rPr>
              <w:t>、NO</w:t>
            </w:r>
            <w:r>
              <w:rPr>
                <w:rFonts w:hint="default" w:ascii="Times New Roman" w:hAnsi="Times New Roman" w:eastAsia="宋体" w:cs="Times New Roman"/>
                <w:color w:val="auto"/>
                <w:kern w:val="0"/>
                <w:sz w:val="24"/>
                <w:szCs w:val="24"/>
                <w:highlight w:val="none"/>
                <w:vertAlign w:val="subscript"/>
                <w:lang w:val="en-US" w:eastAsia="zh-CN" w:bidi="ar-SA"/>
              </w:rPr>
              <w:t>x</w:t>
            </w:r>
            <w:r>
              <w:rPr>
                <w:rFonts w:hint="default" w:ascii="Times New Roman" w:hAnsi="Times New Roman" w:eastAsia="宋体" w:cs="Times New Roman"/>
                <w:color w:val="auto"/>
                <w:kern w:val="0"/>
                <w:sz w:val="24"/>
                <w:szCs w:val="24"/>
                <w:highlight w:val="none"/>
                <w:lang w:val="en-US" w:eastAsia="zh-CN" w:bidi="ar-SA"/>
              </w:rPr>
              <w:t>和</w:t>
            </w:r>
            <w:r>
              <w:rPr>
                <w:rFonts w:hint="eastAsia" w:ascii="Times New Roman" w:hAnsi="Times New Roman" w:eastAsia="宋体" w:cs="Times New Roman"/>
                <w:color w:val="auto"/>
                <w:kern w:val="0"/>
                <w:sz w:val="24"/>
                <w:szCs w:val="24"/>
                <w:highlight w:val="none"/>
                <w:lang w:val="en-US" w:eastAsia="zh-CN" w:bidi="ar-SA"/>
              </w:rPr>
              <w:t>颗粒物。</w:t>
            </w:r>
            <w:r>
              <w:rPr>
                <w:rFonts w:hint="default" w:ascii="Times New Roman" w:hAnsi="Times New Roman" w:eastAsia="宋体" w:cs="Times New Roman"/>
                <w:color w:val="auto"/>
                <w:kern w:val="0"/>
                <w:sz w:val="24"/>
                <w:szCs w:val="24"/>
                <w:highlight w:val="none"/>
                <w:lang w:val="en-US" w:eastAsia="zh-CN" w:bidi="ar-SA"/>
              </w:rPr>
              <w:t>SO</w:t>
            </w:r>
            <w:r>
              <w:rPr>
                <w:rFonts w:hint="default" w:ascii="Times New Roman" w:hAnsi="Times New Roman" w:eastAsia="宋体" w:cs="Times New Roman"/>
                <w:color w:val="auto"/>
                <w:kern w:val="0"/>
                <w:sz w:val="24"/>
                <w:szCs w:val="24"/>
                <w:highlight w:val="none"/>
                <w:vertAlign w:val="subscript"/>
                <w:lang w:val="en-US" w:eastAsia="zh-CN" w:bidi="ar-SA"/>
              </w:rPr>
              <w:t>2</w:t>
            </w:r>
            <w:r>
              <w:rPr>
                <w:rFonts w:hint="default" w:ascii="Times New Roman" w:hAnsi="Times New Roman" w:eastAsia="宋体" w:cs="Times New Roman"/>
                <w:color w:val="auto"/>
                <w:kern w:val="0"/>
                <w:sz w:val="24"/>
                <w:szCs w:val="24"/>
                <w:highlight w:val="none"/>
                <w:lang w:val="en-US" w:eastAsia="zh-CN" w:bidi="ar-SA"/>
              </w:rPr>
              <w:t>、NO</w:t>
            </w:r>
            <w:r>
              <w:rPr>
                <w:rFonts w:hint="default" w:ascii="Times New Roman" w:hAnsi="Times New Roman" w:eastAsia="宋体" w:cs="Times New Roman"/>
                <w:color w:val="auto"/>
                <w:kern w:val="0"/>
                <w:sz w:val="24"/>
                <w:szCs w:val="24"/>
                <w:highlight w:val="none"/>
                <w:vertAlign w:val="subscript"/>
                <w:lang w:val="en-US" w:eastAsia="zh-CN" w:bidi="ar-SA"/>
              </w:rPr>
              <w:t>x</w:t>
            </w:r>
            <w:r>
              <w:rPr>
                <w:rFonts w:hint="default" w:ascii="Times New Roman" w:hAnsi="Times New Roman" w:eastAsia="宋体" w:cs="Times New Roman"/>
                <w:color w:val="auto"/>
                <w:kern w:val="0"/>
                <w:sz w:val="24"/>
                <w:szCs w:val="24"/>
                <w:highlight w:val="none"/>
                <w:lang w:val="en-US" w:eastAsia="zh-CN" w:bidi="ar-SA"/>
              </w:rPr>
              <w:t>和</w:t>
            </w:r>
            <w:r>
              <w:rPr>
                <w:rFonts w:hint="eastAsia" w:ascii="Times New Roman" w:hAnsi="Times New Roman" w:eastAsia="宋体" w:cs="Times New Roman"/>
                <w:color w:val="auto"/>
                <w:kern w:val="0"/>
                <w:sz w:val="24"/>
                <w:szCs w:val="24"/>
                <w:highlight w:val="none"/>
                <w:lang w:val="en-US" w:eastAsia="zh-CN" w:bidi="ar-SA"/>
              </w:rPr>
              <w:t>颗粒物排放量</w:t>
            </w:r>
            <w:r>
              <w:rPr>
                <w:rFonts w:hint="default" w:ascii="Times New Roman" w:hAnsi="Times New Roman" w:eastAsia="宋体" w:cs="Times New Roman"/>
                <w:color w:val="auto"/>
                <w:kern w:val="0"/>
                <w:sz w:val="24"/>
                <w:szCs w:val="24"/>
                <w:highlight w:val="none"/>
                <w:lang w:val="en-US" w:eastAsia="zh-CN" w:bidi="ar-SA"/>
              </w:rPr>
              <w:t>参照</w:t>
            </w:r>
            <w:r>
              <w:rPr>
                <w:rFonts w:hint="eastAsia"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fldChar w:fldCharType="begin"/>
            </w:r>
            <w:r>
              <w:rPr>
                <w:rFonts w:hint="eastAsia" w:ascii="Times New Roman" w:hAnsi="Times New Roman" w:eastAsia="宋体" w:cs="Times New Roman"/>
                <w:color w:val="auto"/>
                <w:kern w:val="0"/>
                <w:sz w:val="24"/>
                <w:szCs w:val="24"/>
                <w:highlight w:val="none"/>
                <w:lang w:val="en-US" w:eastAsia="zh-CN" w:bidi="ar-SA"/>
              </w:rPr>
              <w:instrText xml:space="preserve"> HYPERLINK "https://www.mee.gov.cn/ywgz/fgbz/bz/bzwb/wrfzjszc/201901/W020190111333910366938.pdf" </w:instrText>
            </w:r>
            <w:r>
              <w:rPr>
                <w:rFonts w:hint="eastAsia" w:ascii="Times New Roman" w:hAnsi="Times New Roman" w:eastAsia="宋体" w:cs="Times New Roman"/>
                <w:color w:val="auto"/>
                <w:kern w:val="0"/>
                <w:sz w:val="24"/>
                <w:szCs w:val="24"/>
                <w:highlight w:val="none"/>
                <w:lang w:val="en-US" w:eastAsia="zh-CN" w:bidi="ar-SA"/>
              </w:rPr>
              <w:fldChar w:fldCharType="separate"/>
            </w:r>
            <w:r>
              <w:rPr>
                <w:rFonts w:hint="eastAsia" w:ascii="Times New Roman" w:hAnsi="Times New Roman" w:eastAsia="宋体" w:cs="Times New Roman"/>
                <w:color w:val="auto"/>
                <w:kern w:val="0"/>
                <w:sz w:val="24"/>
                <w:szCs w:val="24"/>
                <w:highlight w:val="none"/>
                <w:lang w:val="en-US" w:eastAsia="zh-CN" w:bidi="ar-SA"/>
              </w:rPr>
              <w:t>污染源源强核算技术指南 锅炉》（HJ 991—2018）</w:t>
            </w:r>
            <w:r>
              <w:rPr>
                <w:rFonts w:hint="eastAsia" w:ascii="Times New Roman" w:hAnsi="Times New Roman" w:eastAsia="宋体" w:cs="Times New Roman"/>
                <w:color w:val="auto"/>
                <w:kern w:val="0"/>
                <w:sz w:val="24"/>
                <w:szCs w:val="24"/>
                <w:highlight w:val="none"/>
                <w:lang w:val="en-US" w:eastAsia="zh-CN" w:bidi="ar-SA"/>
              </w:rPr>
              <w:fldChar w:fldCharType="end"/>
            </w:r>
            <w:r>
              <w:rPr>
                <w:rFonts w:hint="eastAsia" w:ascii="Times New Roman" w:hAnsi="Times New Roman" w:eastAsia="宋体" w:cs="Times New Roman"/>
                <w:color w:val="auto"/>
                <w:kern w:val="0"/>
                <w:sz w:val="24"/>
                <w:szCs w:val="24"/>
                <w:highlight w:val="none"/>
                <w:lang w:val="en-US" w:eastAsia="zh-CN" w:bidi="ar-SA"/>
              </w:rPr>
              <w:t>。</w:t>
            </w:r>
          </w:p>
          <w:p w14:paraId="3536EC47">
            <w:pPr>
              <w:pStyle w:val="127"/>
              <w:spacing w:line="360" w:lineRule="auto"/>
              <w:ind w:firstLine="480"/>
              <w:rPr>
                <w:rFonts w:hint="eastAsia"/>
                <w:color w:val="auto"/>
                <w:sz w:val="24"/>
                <w:highlight w:val="none"/>
                <w:lang w:val="en-US" w:eastAsia="zh-CN"/>
              </w:rPr>
            </w:pPr>
            <w:r>
              <w:rPr>
                <w:rFonts w:hint="eastAsia"/>
                <w:color w:val="auto"/>
                <w:sz w:val="24"/>
                <w:highlight w:val="none"/>
                <w:lang w:val="en-US" w:eastAsia="zh-CN"/>
              </w:rPr>
              <w:t>①锅炉烟气量的计算</w:t>
            </w:r>
          </w:p>
          <w:p w14:paraId="5856F63B">
            <w:pPr>
              <w:pStyle w:val="127"/>
              <w:spacing w:line="360" w:lineRule="auto"/>
              <w:ind w:firstLine="480"/>
              <w:rPr>
                <w:rFonts w:hint="eastAsia" w:eastAsia="宋体"/>
                <w:color w:val="auto"/>
                <w:sz w:val="24"/>
                <w:highlight w:val="none"/>
                <w:lang w:val="en-US" w:eastAsia="zh-CN"/>
              </w:rPr>
            </w:pPr>
            <w:r>
              <w:rPr>
                <w:rFonts w:hint="eastAsia"/>
                <w:color w:val="auto"/>
                <w:sz w:val="24"/>
                <w:highlight w:val="none"/>
                <w:lang w:val="en-US" w:eastAsia="zh-CN"/>
              </w:rPr>
              <w:t>本项目</w:t>
            </w:r>
            <w:r>
              <w:rPr>
                <w:rFonts w:hint="eastAsia"/>
                <w:color w:val="auto"/>
                <w:lang w:val="en-US" w:eastAsia="zh-CN"/>
              </w:rPr>
              <w:t>锅炉每天运行8小时，年运行180天</w:t>
            </w:r>
            <w:r>
              <w:rPr>
                <w:rFonts w:hint="eastAsia"/>
                <w:color w:val="auto"/>
                <w:sz w:val="24"/>
                <w:highlight w:val="none"/>
                <w:lang w:val="en-US" w:eastAsia="zh-CN"/>
              </w:rPr>
              <w:t>，生物质燃料年用量为1048.32t/a。根据《污染源源强核算技术指南 锅炉》附录 C.5，干烟气排放量的经验公式计算参照 HJ953</w:t>
            </w:r>
            <w:r>
              <w:rPr>
                <w:rFonts w:hint="eastAsia"/>
                <w:color w:val="auto"/>
                <w:lang w:eastAsia="zh-CN"/>
              </w:rPr>
              <w:t>。</w:t>
            </w:r>
          </w:p>
          <w:p w14:paraId="650B2F76">
            <w:pPr>
              <w:pStyle w:val="119"/>
              <w:keepNext w:val="0"/>
              <w:keepLines w:val="0"/>
              <w:pageBreakBefore w:val="0"/>
              <w:suppressLineNumbers w:val="0"/>
              <w:wordWrap/>
              <w:topLinePunct w:val="0"/>
              <w:bidi w:val="0"/>
              <w:spacing w:before="0" w:beforeAutospacing="0" w:after="0" w:afterAutospacing="0" w:line="240" w:lineRule="auto"/>
              <w:ind w:left="0" w:leftChars="0" w:right="0" w:rightChars="0" w:firstLine="422" w:firstLineChars="200"/>
              <w:jc w:val="center"/>
              <w:rPr>
                <w:rFonts w:hint="default" w:ascii="Times New Roman" w:hAnsi="Times New Roman" w:eastAsia="宋体" w:cs="Times New Roman"/>
                <w:b/>
                <w:bCs/>
                <w:iCs/>
                <w:color w:val="auto"/>
                <w:kern w:val="0"/>
                <w:sz w:val="21"/>
                <w:szCs w:val="21"/>
                <w:highlight w:val="none"/>
                <w:lang w:val="en-US" w:eastAsia="zh-CN" w:bidi="ar-SA"/>
              </w:rPr>
            </w:pPr>
            <w:r>
              <w:rPr>
                <w:rFonts w:hint="default" w:ascii="Times New Roman" w:hAnsi="Times New Roman" w:eastAsia="宋体" w:cs="Times New Roman"/>
                <w:b/>
                <w:bCs/>
                <w:iCs/>
                <w:color w:val="auto"/>
                <w:kern w:val="0"/>
                <w:sz w:val="21"/>
                <w:szCs w:val="21"/>
                <w:highlight w:val="none"/>
                <w:lang w:val="en-US" w:eastAsia="zh-CN" w:bidi="ar-SA"/>
              </w:rPr>
              <w:t>表4</w:t>
            </w:r>
            <w:r>
              <w:rPr>
                <w:rFonts w:hint="eastAsia" w:cs="Times New Roman"/>
                <w:b/>
                <w:bCs/>
                <w:iCs/>
                <w:color w:val="auto"/>
                <w:kern w:val="0"/>
                <w:sz w:val="21"/>
                <w:szCs w:val="21"/>
                <w:highlight w:val="none"/>
                <w:lang w:val="en-US" w:eastAsia="zh-CN" w:bidi="ar-SA"/>
              </w:rPr>
              <w:t>-1</w:t>
            </w:r>
            <w:r>
              <w:rPr>
                <w:rFonts w:hint="default" w:ascii="Times New Roman" w:hAnsi="Times New Roman" w:eastAsia="宋体" w:cs="Times New Roman"/>
                <w:b/>
                <w:bCs/>
                <w:iCs/>
                <w:color w:val="auto"/>
                <w:kern w:val="0"/>
                <w:sz w:val="21"/>
                <w:szCs w:val="21"/>
                <w:highlight w:val="none"/>
                <w:lang w:val="en-US" w:eastAsia="zh-CN" w:bidi="ar-SA"/>
              </w:rPr>
              <w:t xml:space="preserve"> </w:t>
            </w:r>
            <w:r>
              <w:rPr>
                <w:rFonts w:hint="eastAsia" w:ascii="Times New Roman" w:hAnsi="Times New Roman" w:eastAsia="宋体" w:cs="Times New Roman"/>
                <w:b/>
                <w:bCs/>
                <w:iCs/>
                <w:color w:val="auto"/>
                <w:kern w:val="0"/>
                <w:sz w:val="21"/>
                <w:szCs w:val="21"/>
                <w:highlight w:val="none"/>
                <w:lang w:val="en-US" w:eastAsia="zh-CN" w:bidi="ar-SA"/>
              </w:rPr>
              <w:t xml:space="preserve"> </w:t>
            </w:r>
            <w:r>
              <w:rPr>
                <w:rFonts w:hint="default" w:ascii="Times New Roman" w:hAnsi="Times New Roman" w:eastAsia="宋体" w:cs="Times New Roman"/>
                <w:b/>
                <w:bCs/>
                <w:iCs/>
                <w:color w:val="auto"/>
                <w:kern w:val="0"/>
                <w:sz w:val="21"/>
                <w:szCs w:val="21"/>
                <w:highlight w:val="none"/>
                <w:lang w:val="en-US" w:eastAsia="zh-CN" w:bidi="ar-SA"/>
              </w:rPr>
              <w:t>基准烟气量取值表</w:t>
            </w:r>
          </w:p>
          <w:tbl>
            <w:tblPr>
              <w:tblStyle w:val="32"/>
              <w:tblW w:w="811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23"/>
              <w:gridCol w:w="2095"/>
              <w:gridCol w:w="1364"/>
              <w:gridCol w:w="2438"/>
              <w:gridCol w:w="1199"/>
            </w:tblGrid>
            <w:tr w14:paraId="302549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4482" w:type="dxa"/>
                  <w:gridSpan w:val="3"/>
                  <w:tcBorders>
                    <w:tl2br w:val="nil"/>
                    <w:tr2bl w:val="nil"/>
                  </w:tcBorders>
                  <w:vAlign w:val="center"/>
                </w:tcPr>
                <w:p w14:paraId="4B5B41C8">
                  <w:pPr>
                    <w:pStyle w:val="11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vertAlign w:val="baseline"/>
                    </w:rPr>
                  </w:pPr>
                  <w:r>
                    <w:rPr>
                      <w:rFonts w:hint="default" w:ascii="Times New Roman" w:hAnsi="Times New Roman" w:cs="Times New Roman"/>
                      <w:color w:val="auto"/>
                      <w:sz w:val="21"/>
                      <w:szCs w:val="21"/>
                      <w:highlight w:val="none"/>
                      <w:vertAlign w:val="baseline"/>
                      <w:lang w:val="en-US" w:eastAsia="zh-CN"/>
                    </w:rPr>
                    <w:t>锅炉</w:t>
                  </w:r>
                </w:p>
              </w:tc>
              <w:tc>
                <w:tcPr>
                  <w:tcW w:w="2438" w:type="dxa"/>
                  <w:tcBorders>
                    <w:tl2br w:val="nil"/>
                    <w:tr2bl w:val="nil"/>
                  </w:tcBorders>
                  <w:vAlign w:val="center"/>
                </w:tcPr>
                <w:p w14:paraId="42327B60">
                  <w:pPr>
                    <w:pStyle w:val="11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基准烟气量</w:t>
                  </w:r>
                </w:p>
              </w:tc>
              <w:tc>
                <w:tcPr>
                  <w:tcW w:w="1199" w:type="dxa"/>
                  <w:tcBorders>
                    <w:tl2br w:val="nil"/>
                    <w:tr2bl w:val="nil"/>
                  </w:tcBorders>
                  <w:vAlign w:val="center"/>
                </w:tcPr>
                <w:p w14:paraId="1527FA5B">
                  <w:pPr>
                    <w:pStyle w:val="11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单位</w:t>
                  </w:r>
                </w:p>
              </w:tc>
            </w:tr>
            <w:tr w14:paraId="588734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1023" w:type="dxa"/>
                  <w:vMerge w:val="restart"/>
                  <w:tcBorders>
                    <w:tl2br w:val="nil"/>
                    <w:tr2bl w:val="nil"/>
                  </w:tcBorders>
                  <w:vAlign w:val="center"/>
                </w:tcPr>
                <w:p w14:paraId="778970DC">
                  <w:pPr>
                    <w:pStyle w:val="11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燃生物质</w:t>
                  </w:r>
                  <w:r>
                    <w:rPr>
                      <w:rFonts w:hint="eastAsia" w:ascii="Times New Roman" w:hAnsi="Times New Roman" w:cs="Times New Roman"/>
                      <w:color w:val="auto"/>
                      <w:sz w:val="21"/>
                      <w:szCs w:val="21"/>
                      <w:highlight w:val="none"/>
                      <w:vertAlign w:val="baseline"/>
                      <w:lang w:val="en-US" w:eastAsia="zh-CN"/>
                    </w:rPr>
                    <w:t>锅</w:t>
                  </w:r>
                  <w:r>
                    <w:rPr>
                      <w:rFonts w:hint="default" w:ascii="Times New Roman" w:hAnsi="Times New Roman" w:cs="Times New Roman"/>
                      <w:color w:val="auto"/>
                      <w:sz w:val="21"/>
                      <w:szCs w:val="21"/>
                      <w:highlight w:val="none"/>
                      <w:vertAlign w:val="baseline"/>
                      <w:lang w:val="en-US" w:eastAsia="zh-CN"/>
                    </w:rPr>
                    <w:t>炉</w:t>
                  </w:r>
                </w:p>
              </w:tc>
              <w:tc>
                <w:tcPr>
                  <w:tcW w:w="2095" w:type="dxa"/>
                  <w:vMerge w:val="restart"/>
                  <w:tcBorders>
                    <w:tl2br w:val="nil"/>
                    <w:tr2bl w:val="nil"/>
                  </w:tcBorders>
                  <w:vAlign w:val="center"/>
                </w:tcPr>
                <w:p w14:paraId="3828ED48">
                  <w:pPr>
                    <w:pStyle w:val="11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vertAlign w:val="baseline"/>
                      <w:lang w:val="en-US"/>
                    </w:rPr>
                  </w:pPr>
                  <w:r>
                    <w:rPr>
                      <w:rFonts w:hint="default" w:ascii="Times New Roman" w:hAnsi="Times New Roman" w:eastAsia="宋体" w:cs="Times New Roman"/>
                      <w:color w:val="auto"/>
                      <w:kern w:val="2"/>
                      <w:sz w:val="21"/>
                      <w:szCs w:val="21"/>
                      <w:highlight w:val="none"/>
                      <w:lang w:val="zh-CN" w:eastAsia="zh-CN" w:bidi="ar-SA"/>
                    </w:rPr>
                    <w:t>Q</w:t>
                  </w:r>
                  <w:r>
                    <w:rPr>
                      <w:rFonts w:hint="default" w:ascii="Times New Roman" w:hAnsi="Times New Roman" w:eastAsia="宋体" w:cs="Times New Roman"/>
                      <w:color w:val="auto"/>
                      <w:kern w:val="2"/>
                      <w:sz w:val="21"/>
                      <w:szCs w:val="21"/>
                      <w:highlight w:val="none"/>
                      <w:vertAlign w:val="subscript"/>
                      <w:lang w:val="zh-CN" w:eastAsia="zh-CN" w:bidi="ar-SA"/>
                    </w:rPr>
                    <w:t>net</w:t>
                  </w:r>
                  <w:r>
                    <w:rPr>
                      <w:rFonts w:hint="eastAsia" w:cs="Times New Roman"/>
                      <w:color w:val="auto"/>
                      <w:kern w:val="2"/>
                      <w:sz w:val="21"/>
                      <w:szCs w:val="21"/>
                      <w:highlight w:val="none"/>
                      <w:vertAlign w:val="subscript"/>
                      <w:lang w:val="zh-CN" w:eastAsia="zh-CN" w:bidi="ar-SA"/>
                    </w:rPr>
                    <w:t>，</w:t>
                  </w:r>
                  <w:r>
                    <w:rPr>
                      <w:rFonts w:hint="default" w:ascii="Times New Roman" w:hAnsi="Times New Roman" w:eastAsia="宋体" w:cs="Times New Roman"/>
                      <w:color w:val="auto"/>
                      <w:kern w:val="2"/>
                      <w:sz w:val="21"/>
                      <w:szCs w:val="21"/>
                      <w:highlight w:val="none"/>
                      <w:vertAlign w:val="subscript"/>
                      <w:lang w:val="zh-CN" w:eastAsia="zh-CN" w:bidi="ar-SA"/>
                    </w:rPr>
                    <w:t>ar</w:t>
                  </w:r>
                  <w:r>
                    <w:rPr>
                      <w:rFonts w:hint="default" w:ascii="Times New Roman" w:hAnsi="Times New Roman" w:cs="Times New Roman"/>
                      <w:color w:val="auto"/>
                      <w:kern w:val="2"/>
                      <w:sz w:val="21"/>
                      <w:szCs w:val="21"/>
                      <w:highlight w:val="none"/>
                      <w:lang w:val="zh-CN" w:eastAsia="zh-CN" w:bidi="ar-SA"/>
                    </w:rPr>
                    <w:t>≥</w:t>
                  </w:r>
                  <w:r>
                    <w:rPr>
                      <w:rFonts w:hint="default" w:ascii="Times New Roman" w:hAnsi="Times New Roman" w:cs="Times New Roman"/>
                      <w:color w:val="auto"/>
                      <w:kern w:val="2"/>
                      <w:sz w:val="21"/>
                      <w:szCs w:val="21"/>
                      <w:highlight w:val="none"/>
                      <w:lang w:val="en-US" w:eastAsia="zh-CN" w:bidi="ar-SA"/>
                    </w:rPr>
                    <w:t>12.54MJ/kg</w:t>
                  </w:r>
                </w:p>
              </w:tc>
              <w:tc>
                <w:tcPr>
                  <w:tcW w:w="1364" w:type="dxa"/>
                  <w:tcBorders>
                    <w:tl2br w:val="nil"/>
                    <w:tr2bl w:val="nil"/>
                  </w:tcBorders>
                  <w:vAlign w:val="center"/>
                </w:tcPr>
                <w:p w14:paraId="51A9C638">
                  <w:pPr>
                    <w:pStyle w:val="11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V</w:t>
                  </w:r>
                  <w:r>
                    <w:rPr>
                      <w:rFonts w:hint="default" w:ascii="Times New Roman" w:hAnsi="Times New Roman" w:cs="Times New Roman"/>
                      <w:color w:val="auto"/>
                      <w:sz w:val="21"/>
                      <w:szCs w:val="21"/>
                      <w:highlight w:val="none"/>
                      <w:vertAlign w:val="subscript"/>
                      <w:lang w:val="en-US" w:eastAsia="zh-CN"/>
                    </w:rPr>
                    <w:t>daf</w:t>
                  </w:r>
                  <w:r>
                    <w:rPr>
                      <w:rFonts w:hint="default" w:ascii="Times New Roman" w:hAnsi="Times New Roman" w:cs="Times New Roman"/>
                      <w:color w:val="auto"/>
                      <w:kern w:val="2"/>
                      <w:sz w:val="21"/>
                      <w:szCs w:val="21"/>
                      <w:highlight w:val="none"/>
                      <w:vertAlign w:val="baseline"/>
                      <w:lang w:val="zh-CN" w:eastAsia="zh-CN" w:bidi="ar-SA"/>
                    </w:rPr>
                    <w:t>≥</w:t>
                  </w:r>
                  <w:r>
                    <w:rPr>
                      <w:rFonts w:hint="default" w:ascii="Times New Roman" w:hAnsi="Times New Roman" w:cs="Times New Roman"/>
                      <w:color w:val="auto"/>
                      <w:kern w:val="2"/>
                      <w:sz w:val="21"/>
                      <w:szCs w:val="21"/>
                      <w:highlight w:val="none"/>
                      <w:lang w:val="en-US" w:eastAsia="zh-CN" w:bidi="ar-SA"/>
                    </w:rPr>
                    <w:t>15%</w:t>
                  </w:r>
                </w:p>
              </w:tc>
              <w:tc>
                <w:tcPr>
                  <w:tcW w:w="2438" w:type="dxa"/>
                  <w:tcBorders>
                    <w:tl2br w:val="nil"/>
                    <w:tr2bl w:val="nil"/>
                  </w:tcBorders>
                  <w:vAlign w:val="center"/>
                </w:tcPr>
                <w:p w14:paraId="14E98A0E">
                  <w:pPr>
                    <w:pStyle w:val="11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V</w:t>
                  </w:r>
                  <w:r>
                    <w:rPr>
                      <w:rFonts w:hint="default" w:ascii="Times New Roman" w:hAnsi="Times New Roman" w:cs="Times New Roman"/>
                      <w:color w:val="auto"/>
                      <w:sz w:val="21"/>
                      <w:szCs w:val="21"/>
                      <w:highlight w:val="none"/>
                      <w:vertAlign w:val="subscript"/>
                      <w:lang w:val="en-US" w:eastAsia="zh-CN"/>
                    </w:rPr>
                    <w:t>gy</w:t>
                  </w:r>
                  <w:r>
                    <w:rPr>
                      <w:rFonts w:hint="default" w:ascii="Times New Roman" w:hAnsi="Times New Roman" w:cs="Times New Roman"/>
                      <w:color w:val="auto"/>
                      <w:sz w:val="21"/>
                      <w:szCs w:val="21"/>
                      <w:highlight w:val="none"/>
                      <w:vertAlign w:val="baseline"/>
                      <w:lang w:val="en-US" w:eastAsia="zh-CN"/>
                    </w:rPr>
                    <w:t>=0.393</w:t>
                  </w:r>
                  <w:r>
                    <w:rPr>
                      <w:rFonts w:hint="default" w:ascii="Times New Roman" w:hAnsi="Times New Roman" w:eastAsia="宋体" w:cs="Times New Roman"/>
                      <w:color w:val="auto"/>
                      <w:kern w:val="2"/>
                      <w:sz w:val="21"/>
                      <w:szCs w:val="21"/>
                      <w:highlight w:val="none"/>
                      <w:lang w:val="zh-CN" w:eastAsia="zh-CN" w:bidi="ar-SA"/>
                    </w:rPr>
                    <w:t>Q</w:t>
                  </w:r>
                  <w:r>
                    <w:rPr>
                      <w:rFonts w:hint="default" w:ascii="Times New Roman" w:hAnsi="Times New Roman" w:eastAsia="宋体" w:cs="Times New Roman"/>
                      <w:color w:val="auto"/>
                      <w:kern w:val="2"/>
                      <w:sz w:val="21"/>
                      <w:szCs w:val="21"/>
                      <w:highlight w:val="none"/>
                      <w:vertAlign w:val="subscript"/>
                      <w:lang w:val="zh-CN" w:eastAsia="zh-CN" w:bidi="ar-SA"/>
                    </w:rPr>
                    <w:t>net</w:t>
                  </w:r>
                  <w:r>
                    <w:rPr>
                      <w:rFonts w:hint="eastAsia" w:cs="Times New Roman"/>
                      <w:color w:val="auto"/>
                      <w:kern w:val="2"/>
                      <w:sz w:val="21"/>
                      <w:szCs w:val="21"/>
                      <w:highlight w:val="none"/>
                      <w:vertAlign w:val="subscript"/>
                      <w:lang w:val="zh-CN" w:eastAsia="zh-CN" w:bidi="ar-SA"/>
                    </w:rPr>
                    <w:t>，</w:t>
                  </w:r>
                  <w:r>
                    <w:rPr>
                      <w:rFonts w:hint="default" w:ascii="Times New Roman" w:hAnsi="Times New Roman" w:eastAsia="宋体" w:cs="Times New Roman"/>
                      <w:color w:val="auto"/>
                      <w:kern w:val="2"/>
                      <w:sz w:val="21"/>
                      <w:szCs w:val="21"/>
                      <w:highlight w:val="none"/>
                      <w:vertAlign w:val="subscript"/>
                      <w:lang w:val="zh-CN" w:eastAsia="zh-CN" w:bidi="ar-SA"/>
                    </w:rPr>
                    <w:t>ar</w:t>
                  </w:r>
                  <w:r>
                    <w:rPr>
                      <w:rFonts w:hint="default" w:ascii="Times New Roman" w:hAnsi="Times New Roman" w:cs="Times New Roman"/>
                      <w:color w:val="auto"/>
                      <w:kern w:val="2"/>
                      <w:sz w:val="21"/>
                      <w:szCs w:val="21"/>
                      <w:highlight w:val="none"/>
                      <w:vertAlign w:val="baseline"/>
                      <w:lang w:val="en-US" w:eastAsia="zh-CN" w:bidi="ar-SA"/>
                    </w:rPr>
                    <w:t>+0.876</w:t>
                  </w:r>
                </w:p>
              </w:tc>
              <w:tc>
                <w:tcPr>
                  <w:tcW w:w="1199" w:type="dxa"/>
                  <w:tcBorders>
                    <w:tl2br w:val="nil"/>
                    <w:tr2bl w:val="nil"/>
                  </w:tcBorders>
                  <w:vAlign w:val="center"/>
                </w:tcPr>
                <w:p w14:paraId="4ADBF0E6">
                  <w:pPr>
                    <w:pStyle w:val="11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Nm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/kg</w:t>
                  </w:r>
                </w:p>
              </w:tc>
            </w:tr>
            <w:tr w14:paraId="53373E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1023" w:type="dxa"/>
                  <w:vMerge w:val="continue"/>
                  <w:tcBorders>
                    <w:tl2br w:val="nil"/>
                    <w:tr2bl w:val="nil"/>
                  </w:tcBorders>
                  <w:vAlign w:val="center"/>
                </w:tcPr>
                <w:p w14:paraId="10B3D68C">
                  <w:pPr>
                    <w:pStyle w:val="11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vertAlign w:val="baseline"/>
                    </w:rPr>
                  </w:pPr>
                </w:p>
              </w:tc>
              <w:tc>
                <w:tcPr>
                  <w:tcW w:w="2095" w:type="dxa"/>
                  <w:vMerge w:val="continue"/>
                  <w:tcBorders>
                    <w:tl2br w:val="nil"/>
                    <w:tr2bl w:val="nil"/>
                  </w:tcBorders>
                  <w:vAlign w:val="center"/>
                </w:tcPr>
                <w:p w14:paraId="7EAF084C">
                  <w:pPr>
                    <w:pStyle w:val="11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vertAlign w:val="baseline"/>
                    </w:rPr>
                  </w:pPr>
                </w:p>
              </w:tc>
              <w:tc>
                <w:tcPr>
                  <w:tcW w:w="1364" w:type="dxa"/>
                  <w:tcBorders>
                    <w:tl2br w:val="nil"/>
                    <w:tr2bl w:val="nil"/>
                  </w:tcBorders>
                  <w:vAlign w:val="center"/>
                </w:tcPr>
                <w:p w14:paraId="4CD11925">
                  <w:pPr>
                    <w:pStyle w:val="11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vertAlign w:val="baseline"/>
                    </w:rPr>
                  </w:pPr>
                  <w:r>
                    <w:rPr>
                      <w:rFonts w:hint="default" w:ascii="Times New Roman" w:hAnsi="Times New Roman" w:cs="Times New Roman"/>
                      <w:color w:val="auto"/>
                      <w:sz w:val="21"/>
                      <w:szCs w:val="21"/>
                      <w:highlight w:val="none"/>
                      <w:vertAlign w:val="baseline"/>
                      <w:lang w:val="en-US" w:eastAsia="zh-CN"/>
                    </w:rPr>
                    <w:t>V</w:t>
                  </w:r>
                  <w:r>
                    <w:rPr>
                      <w:rFonts w:hint="default" w:ascii="Times New Roman" w:hAnsi="Times New Roman" w:cs="Times New Roman"/>
                      <w:color w:val="auto"/>
                      <w:sz w:val="21"/>
                      <w:szCs w:val="21"/>
                      <w:highlight w:val="none"/>
                      <w:vertAlign w:val="subscript"/>
                      <w:lang w:val="en-US" w:eastAsia="zh-CN"/>
                    </w:rPr>
                    <w:t>daf</w:t>
                  </w:r>
                  <w:r>
                    <w:rPr>
                      <w:rFonts w:hint="default" w:ascii="Times New Roman" w:hAnsi="Times New Roman" w:cs="Times New Roman"/>
                      <w:color w:val="auto"/>
                      <w:kern w:val="2"/>
                      <w:sz w:val="21"/>
                      <w:szCs w:val="21"/>
                      <w:highlight w:val="none"/>
                      <w:lang w:val="en-US" w:eastAsia="zh-CN" w:bidi="ar-SA"/>
                    </w:rPr>
                    <w:t>＜15%</w:t>
                  </w:r>
                </w:p>
              </w:tc>
              <w:tc>
                <w:tcPr>
                  <w:tcW w:w="2438" w:type="dxa"/>
                  <w:tcBorders>
                    <w:tl2br w:val="nil"/>
                    <w:tr2bl w:val="nil"/>
                  </w:tcBorders>
                  <w:vAlign w:val="center"/>
                </w:tcPr>
                <w:p w14:paraId="1FEECC12">
                  <w:pPr>
                    <w:pStyle w:val="11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vertAlign w:val="baseline"/>
                      <w:lang w:val="en-US"/>
                    </w:rPr>
                  </w:pPr>
                  <w:r>
                    <w:rPr>
                      <w:rFonts w:hint="default" w:ascii="Times New Roman" w:hAnsi="Times New Roman" w:cs="Times New Roman"/>
                      <w:color w:val="auto"/>
                      <w:sz w:val="21"/>
                      <w:szCs w:val="21"/>
                      <w:highlight w:val="none"/>
                      <w:vertAlign w:val="baseline"/>
                      <w:lang w:val="en-US" w:eastAsia="zh-CN"/>
                    </w:rPr>
                    <w:t>V</w:t>
                  </w:r>
                  <w:r>
                    <w:rPr>
                      <w:rFonts w:hint="default" w:ascii="Times New Roman" w:hAnsi="Times New Roman" w:cs="Times New Roman"/>
                      <w:color w:val="auto"/>
                      <w:sz w:val="21"/>
                      <w:szCs w:val="21"/>
                      <w:highlight w:val="none"/>
                      <w:vertAlign w:val="subscript"/>
                      <w:lang w:val="en-US" w:eastAsia="zh-CN"/>
                    </w:rPr>
                    <w:t>gy</w:t>
                  </w:r>
                  <w:r>
                    <w:rPr>
                      <w:rFonts w:hint="default" w:ascii="Times New Roman" w:hAnsi="Times New Roman" w:cs="Times New Roman"/>
                      <w:color w:val="auto"/>
                      <w:sz w:val="21"/>
                      <w:szCs w:val="21"/>
                      <w:highlight w:val="none"/>
                      <w:vertAlign w:val="baseline"/>
                      <w:lang w:val="en-US" w:eastAsia="zh-CN"/>
                    </w:rPr>
                    <w:t>=0.385</w:t>
                  </w:r>
                  <w:r>
                    <w:rPr>
                      <w:rFonts w:hint="default" w:ascii="Times New Roman" w:hAnsi="Times New Roman" w:eastAsia="宋体" w:cs="Times New Roman"/>
                      <w:color w:val="auto"/>
                      <w:kern w:val="2"/>
                      <w:sz w:val="21"/>
                      <w:szCs w:val="21"/>
                      <w:highlight w:val="none"/>
                      <w:lang w:val="zh-CN" w:eastAsia="zh-CN" w:bidi="ar-SA"/>
                    </w:rPr>
                    <w:t>Q</w:t>
                  </w:r>
                  <w:r>
                    <w:rPr>
                      <w:rFonts w:hint="default" w:ascii="Times New Roman" w:hAnsi="Times New Roman" w:eastAsia="宋体" w:cs="Times New Roman"/>
                      <w:color w:val="auto"/>
                      <w:kern w:val="2"/>
                      <w:sz w:val="21"/>
                      <w:szCs w:val="21"/>
                      <w:highlight w:val="none"/>
                      <w:vertAlign w:val="subscript"/>
                      <w:lang w:val="zh-CN" w:eastAsia="zh-CN" w:bidi="ar-SA"/>
                    </w:rPr>
                    <w:t>net</w:t>
                  </w:r>
                  <w:r>
                    <w:rPr>
                      <w:rFonts w:hint="eastAsia" w:cs="Times New Roman"/>
                      <w:color w:val="auto"/>
                      <w:kern w:val="2"/>
                      <w:sz w:val="21"/>
                      <w:szCs w:val="21"/>
                      <w:highlight w:val="none"/>
                      <w:vertAlign w:val="subscript"/>
                      <w:lang w:val="zh-CN" w:eastAsia="zh-CN" w:bidi="ar-SA"/>
                    </w:rPr>
                    <w:t>，</w:t>
                  </w:r>
                  <w:r>
                    <w:rPr>
                      <w:rFonts w:hint="default" w:ascii="Times New Roman" w:hAnsi="Times New Roman" w:eastAsia="宋体" w:cs="Times New Roman"/>
                      <w:color w:val="auto"/>
                      <w:kern w:val="2"/>
                      <w:sz w:val="21"/>
                      <w:szCs w:val="21"/>
                      <w:highlight w:val="none"/>
                      <w:vertAlign w:val="subscript"/>
                      <w:lang w:val="zh-CN" w:eastAsia="zh-CN" w:bidi="ar-SA"/>
                    </w:rPr>
                    <w:t>ar</w:t>
                  </w:r>
                  <w:r>
                    <w:rPr>
                      <w:rFonts w:hint="default" w:ascii="Times New Roman" w:hAnsi="Times New Roman" w:cs="Times New Roman"/>
                      <w:color w:val="auto"/>
                      <w:kern w:val="2"/>
                      <w:sz w:val="21"/>
                      <w:szCs w:val="21"/>
                      <w:highlight w:val="none"/>
                      <w:vertAlign w:val="baseline"/>
                      <w:lang w:val="en-US" w:eastAsia="zh-CN" w:bidi="ar-SA"/>
                    </w:rPr>
                    <w:t>+1.095</w:t>
                  </w:r>
                </w:p>
              </w:tc>
              <w:tc>
                <w:tcPr>
                  <w:tcW w:w="1199" w:type="dxa"/>
                  <w:tcBorders>
                    <w:tl2br w:val="nil"/>
                    <w:tr2bl w:val="nil"/>
                  </w:tcBorders>
                  <w:vAlign w:val="center"/>
                </w:tcPr>
                <w:p w14:paraId="3682645F">
                  <w:pPr>
                    <w:pStyle w:val="11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vertAlign w:val="baseline"/>
                    </w:rPr>
                  </w:pPr>
                  <w:r>
                    <w:rPr>
                      <w:rFonts w:hint="default" w:ascii="Times New Roman" w:hAnsi="Times New Roman" w:cs="Times New Roman"/>
                      <w:color w:val="auto"/>
                      <w:sz w:val="21"/>
                      <w:szCs w:val="21"/>
                      <w:highlight w:val="none"/>
                      <w:vertAlign w:val="baseline"/>
                      <w:lang w:val="en-US" w:eastAsia="zh-CN"/>
                    </w:rPr>
                    <w:t>Nm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/kg</w:t>
                  </w:r>
                </w:p>
              </w:tc>
            </w:tr>
            <w:tr w14:paraId="03F69A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7" w:hRule="atLeast"/>
              </w:trPr>
              <w:tc>
                <w:tcPr>
                  <w:tcW w:w="1023" w:type="dxa"/>
                  <w:vMerge w:val="continue"/>
                  <w:tcBorders>
                    <w:tl2br w:val="nil"/>
                    <w:tr2bl w:val="nil"/>
                  </w:tcBorders>
                  <w:vAlign w:val="center"/>
                </w:tcPr>
                <w:p w14:paraId="7B91B243">
                  <w:pPr>
                    <w:pStyle w:val="11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vertAlign w:val="baseline"/>
                    </w:rPr>
                  </w:pPr>
                </w:p>
              </w:tc>
              <w:tc>
                <w:tcPr>
                  <w:tcW w:w="3459" w:type="dxa"/>
                  <w:gridSpan w:val="2"/>
                  <w:tcBorders>
                    <w:tl2br w:val="nil"/>
                    <w:tr2bl w:val="nil"/>
                  </w:tcBorders>
                  <w:vAlign w:val="center"/>
                </w:tcPr>
                <w:p w14:paraId="5D8BC7F1">
                  <w:pPr>
                    <w:pStyle w:val="11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kern w:val="2"/>
                      <w:sz w:val="21"/>
                      <w:szCs w:val="21"/>
                      <w:highlight w:val="none"/>
                      <w:lang w:val="zh-CN" w:eastAsia="zh-CN" w:bidi="ar-SA"/>
                    </w:rPr>
                    <w:t>Q</w:t>
                  </w:r>
                  <w:r>
                    <w:rPr>
                      <w:rFonts w:hint="default" w:ascii="Times New Roman" w:hAnsi="Times New Roman" w:eastAsia="宋体" w:cs="Times New Roman"/>
                      <w:color w:val="auto"/>
                      <w:kern w:val="2"/>
                      <w:sz w:val="21"/>
                      <w:szCs w:val="21"/>
                      <w:highlight w:val="none"/>
                      <w:vertAlign w:val="subscript"/>
                      <w:lang w:val="zh-CN" w:eastAsia="zh-CN" w:bidi="ar-SA"/>
                    </w:rPr>
                    <w:t>net</w:t>
                  </w:r>
                  <w:r>
                    <w:rPr>
                      <w:rFonts w:hint="eastAsia" w:cs="Times New Roman"/>
                      <w:color w:val="auto"/>
                      <w:kern w:val="2"/>
                      <w:sz w:val="21"/>
                      <w:szCs w:val="21"/>
                      <w:highlight w:val="none"/>
                      <w:vertAlign w:val="subscript"/>
                      <w:lang w:val="zh-CN" w:eastAsia="zh-CN" w:bidi="ar-SA"/>
                    </w:rPr>
                    <w:t>，</w:t>
                  </w:r>
                  <w:r>
                    <w:rPr>
                      <w:rFonts w:hint="default" w:ascii="Times New Roman" w:hAnsi="Times New Roman" w:eastAsia="宋体" w:cs="Times New Roman"/>
                      <w:color w:val="auto"/>
                      <w:kern w:val="2"/>
                      <w:sz w:val="21"/>
                      <w:szCs w:val="21"/>
                      <w:highlight w:val="none"/>
                      <w:vertAlign w:val="subscript"/>
                      <w:lang w:val="zh-CN" w:eastAsia="zh-CN" w:bidi="ar-SA"/>
                    </w:rPr>
                    <w:t>ar</w:t>
                  </w:r>
                  <w:r>
                    <w:rPr>
                      <w:rFonts w:hint="default" w:ascii="Times New Roman" w:hAnsi="Times New Roman" w:cs="Times New Roman"/>
                      <w:color w:val="auto"/>
                      <w:kern w:val="2"/>
                      <w:sz w:val="21"/>
                      <w:szCs w:val="21"/>
                      <w:highlight w:val="none"/>
                      <w:lang w:val="en-US" w:eastAsia="zh-CN" w:bidi="ar-SA"/>
                    </w:rPr>
                    <w:t>＜12.54MJ/kg</w:t>
                  </w:r>
                </w:p>
              </w:tc>
              <w:tc>
                <w:tcPr>
                  <w:tcW w:w="2438" w:type="dxa"/>
                  <w:tcBorders>
                    <w:tl2br w:val="nil"/>
                    <w:tr2bl w:val="nil"/>
                  </w:tcBorders>
                  <w:vAlign w:val="center"/>
                </w:tcPr>
                <w:p w14:paraId="51FBD582">
                  <w:pPr>
                    <w:pStyle w:val="11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vertAlign w:val="baseline"/>
                      <w:lang w:val="en-US"/>
                    </w:rPr>
                  </w:pPr>
                  <w:r>
                    <w:rPr>
                      <w:rFonts w:hint="default" w:ascii="Times New Roman" w:hAnsi="Times New Roman" w:cs="Times New Roman"/>
                      <w:color w:val="auto"/>
                      <w:sz w:val="21"/>
                      <w:szCs w:val="21"/>
                      <w:highlight w:val="none"/>
                      <w:vertAlign w:val="baseline"/>
                      <w:lang w:val="en-US" w:eastAsia="zh-CN"/>
                    </w:rPr>
                    <w:t>V</w:t>
                  </w:r>
                  <w:r>
                    <w:rPr>
                      <w:rFonts w:hint="default" w:ascii="Times New Roman" w:hAnsi="Times New Roman" w:cs="Times New Roman"/>
                      <w:color w:val="auto"/>
                      <w:sz w:val="21"/>
                      <w:szCs w:val="21"/>
                      <w:highlight w:val="none"/>
                      <w:vertAlign w:val="subscript"/>
                      <w:lang w:val="en-US" w:eastAsia="zh-CN"/>
                    </w:rPr>
                    <w:t>gy</w:t>
                  </w:r>
                  <w:r>
                    <w:rPr>
                      <w:rFonts w:hint="default" w:ascii="Times New Roman" w:hAnsi="Times New Roman" w:cs="Times New Roman"/>
                      <w:color w:val="auto"/>
                      <w:sz w:val="21"/>
                      <w:szCs w:val="21"/>
                      <w:highlight w:val="none"/>
                      <w:vertAlign w:val="baseline"/>
                      <w:lang w:val="en-US" w:eastAsia="zh-CN"/>
                    </w:rPr>
                    <w:t>=0.385</w:t>
                  </w:r>
                  <w:r>
                    <w:rPr>
                      <w:rFonts w:hint="default" w:ascii="Times New Roman" w:hAnsi="Times New Roman" w:eastAsia="宋体" w:cs="Times New Roman"/>
                      <w:color w:val="auto"/>
                      <w:kern w:val="2"/>
                      <w:sz w:val="21"/>
                      <w:szCs w:val="21"/>
                      <w:highlight w:val="none"/>
                      <w:lang w:val="zh-CN" w:eastAsia="zh-CN" w:bidi="ar-SA"/>
                    </w:rPr>
                    <w:t>Q</w:t>
                  </w:r>
                  <w:r>
                    <w:rPr>
                      <w:rFonts w:hint="default" w:ascii="Times New Roman" w:hAnsi="Times New Roman" w:eastAsia="宋体" w:cs="Times New Roman"/>
                      <w:color w:val="auto"/>
                      <w:kern w:val="2"/>
                      <w:sz w:val="21"/>
                      <w:szCs w:val="21"/>
                      <w:highlight w:val="none"/>
                      <w:vertAlign w:val="subscript"/>
                      <w:lang w:val="zh-CN" w:eastAsia="zh-CN" w:bidi="ar-SA"/>
                    </w:rPr>
                    <w:t>net</w:t>
                  </w:r>
                  <w:r>
                    <w:rPr>
                      <w:rFonts w:hint="eastAsia" w:cs="Times New Roman"/>
                      <w:color w:val="auto"/>
                      <w:kern w:val="2"/>
                      <w:sz w:val="21"/>
                      <w:szCs w:val="21"/>
                      <w:highlight w:val="none"/>
                      <w:vertAlign w:val="subscript"/>
                      <w:lang w:val="zh-CN" w:eastAsia="zh-CN" w:bidi="ar-SA"/>
                    </w:rPr>
                    <w:t>，</w:t>
                  </w:r>
                  <w:r>
                    <w:rPr>
                      <w:rFonts w:hint="default" w:ascii="Times New Roman" w:hAnsi="Times New Roman" w:eastAsia="宋体" w:cs="Times New Roman"/>
                      <w:color w:val="auto"/>
                      <w:kern w:val="2"/>
                      <w:sz w:val="21"/>
                      <w:szCs w:val="21"/>
                      <w:highlight w:val="none"/>
                      <w:vertAlign w:val="subscript"/>
                      <w:lang w:val="zh-CN" w:eastAsia="zh-CN" w:bidi="ar-SA"/>
                    </w:rPr>
                    <w:t>ar</w:t>
                  </w:r>
                  <w:r>
                    <w:rPr>
                      <w:rFonts w:hint="default" w:ascii="Times New Roman" w:hAnsi="Times New Roman" w:cs="Times New Roman"/>
                      <w:color w:val="auto"/>
                      <w:kern w:val="2"/>
                      <w:sz w:val="21"/>
                      <w:szCs w:val="21"/>
                      <w:highlight w:val="none"/>
                      <w:vertAlign w:val="baseline"/>
                      <w:lang w:val="en-US" w:eastAsia="zh-CN" w:bidi="ar-SA"/>
                    </w:rPr>
                    <w:t>+0.788</w:t>
                  </w:r>
                </w:p>
              </w:tc>
              <w:tc>
                <w:tcPr>
                  <w:tcW w:w="1199" w:type="dxa"/>
                  <w:tcBorders>
                    <w:tl2br w:val="nil"/>
                    <w:tr2bl w:val="nil"/>
                  </w:tcBorders>
                  <w:vAlign w:val="center"/>
                </w:tcPr>
                <w:p w14:paraId="504F872D">
                  <w:pPr>
                    <w:pStyle w:val="11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vertAlign w:val="baseline"/>
                    </w:rPr>
                  </w:pPr>
                  <w:r>
                    <w:rPr>
                      <w:rFonts w:hint="default" w:ascii="Times New Roman" w:hAnsi="Times New Roman" w:cs="Times New Roman"/>
                      <w:color w:val="auto"/>
                      <w:sz w:val="21"/>
                      <w:szCs w:val="21"/>
                      <w:highlight w:val="none"/>
                      <w:vertAlign w:val="baseline"/>
                      <w:lang w:val="en-US" w:eastAsia="zh-CN"/>
                    </w:rPr>
                    <w:t>Nm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/kg</w:t>
                  </w:r>
                </w:p>
              </w:tc>
            </w:tr>
          </w:tbl>
          <w:p w14:paraId="4E3A2C9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注：</w:t>
            </w:r>
            <w:r>
              <w:rPr>
                <w:rFonts w:hint="default" w:ascii="Times New Roman" w:hAnsi="Times New Roman" w:eastAsia="宋体" w:cs="Times New Roman"/>
                <w:color w:val="auto"/>
                <w:kern w:val="0"/>
                <w:sz w:val="24"/>
                <w:szCs w:val="24"/>
                <w:highlight w:val="none"/>
                <w:lang w:val="en-US" w:eastAsia="zh-CN" w:bidi="ar-SA"/>
              </w:rPr>
              <w:t>Vdaf</w:t>
            </w:r>
            <w:r>
              <w:rPr>
                <w:rFonts w:hint="eastAsia" w:ascii="Times New Roman" w:hAnsi="Times New Roman" w:eastAsia="宋体" w:cs="Times New Roman"/>
                <w:color w:val="auto"/>
                <w:kern w:val="0"/>
                <w:sz w:val="24"/>
                <w:szCs w:val="24"/>
                <w:highlight w:val="none"/>
                <w:lang w:val="en-US" w:eastAsia="zh-CN" w:bidi="ar-SA"/>
              </w:rPr>
              <w:t>燃料干燥无灰基挥发分（%），本次取值</w:t>
            </w:r>
            <w:r>
              <w:rPr>
                <w:rFonts w:hint="eastAsia" w:cs="Times New Roman"/>
                <w:color w:val="auto"/>
                <w:kern w:val="0"/>
                <w:sz w:val="24"/>
                <w:szCs w:val="24"/>
                <w:highlight w:val="none"/>
                <w:lang w:val="en-US" w:eastAsia="zh-CN" w:bidi="ar-SA"/>
              </w:rPr>
              <w:t>84.35</w:t>
            </w:r>
            <w:r>
              <w:rPr>
                <w:rFonts w:hint="eastAsia" w:ascii="Times New Roman" w:hAnsi="Times New Roman" w:eastAsia="宋体"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Vgy</w:t>
            </w:r>
            <w:r>
              <w:rPr>
                <w:rFonts w:hint="eastAsia" w:ascii="Times New Roman" w:hAnsi="Times New Roman" w:eastAsia="宋体" w:cs="Times New Roman"/>
                <w:color w:val="auto"/>
                <w:kern w:val="0"/>
                <w:sz w:val="24"/>
                <w:szCs w:val="24"/>
                <w:highlight w:val="none"/>
                <w:lang w:val="en-US" w:eastAsia="zh-CN" w:bidi="ar-SA"/>
              </w:rPr>
              <w:t>，基准烟气量（</w:t>
            </w:r>
            <w:r>
              <w:rPr>
                <w:rFonts w:hint="default" w:ascii="Times New Roman" w:hAnsi="Times New Roman" w:eastAsia="宋体" w:cs="Times New Roman"/>
                <w:color w:val="auto"/>
                <w:kern w:val="0"/>
                <w:sz w:val="24"/>
                <w:szCs w:val="24"/>
                <w:highlight w:val="none"/>
                <w:lang w:val="en-US" w:eastAsia="zh-CN" w:bidi="ar-SA"/>
              </w:rPr>
              <w:t>Nm</w:t>
            </w:r>
            <w:r>
              <w:rPr>
                <w:rFonts w:hint="default" w:ascii="Times New Roman" w:hAnsi="Times New Roman" w:eastAsia="宋体" w:cs="Times New Roman"/>
                <w:color w:val="auto"/>
                <w:kern w:val="0"/>
                <w:sz w:val="24"/>
                <w:szCs w:val="24"/>
                <w:highlight w:val="none"/>
                <w:vertAlign w:val="superscript"/>
                <w:lang w:val="en-US" w:eastAsia="zh-CN" w:bidi="ar-SA"/>
              </w:rPr>
              <w:t>3</w:t>
            </w:r>
            <w:r>
              <w:rPr>
                <w:rFonts w:hint="default" w:ascii="Times New Roman" w:hAnsi="Times New Roman" w:eastAsia="宋体" w:cs="Times New Roman"/>
                <w:color w:val="auto"/>
                <w:kern w:val="0"/>
                <w:sz w:val="24"/>
                <w:szCs w:val="24"/>
                <w:highlight w:val="none"/>
                <w:lang w:val="en-US" w:eastAsia="zh-CN" w:bidi="ar-SA"/>
              </w:rPr>
              <w:t>/kg</w:t>
            </w:r>
            <w:r>
              <w:rPr>
                <w:rFonts w:hint="eastAsia" w:ascii="Times New Roman" w:hAnsi="Times New Roman" w:eastAsia="宋体"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zh-CN" w:eastAsia="zh-CN" w:bidi="ar-SA"/>
              </w:rPr>
              <w:t>Qnet</w:t>
            </w:r>
            <w:r>
              <w:rPr>
                <w:rFonts w:hint="eastAsia" w:ascii="Times New Roman" w:hAnsi="Times New Roman" w:eastAsia="宋体" w:cs="Times New Roman"/>
                <w:color w:val="auto"/>
                <w:kern w:val="0"/>
                <w:sz w:val="24"/>
                <w:szCs w:val="24"/>
                <w:highlight w:val="none"/>
                <w:lang w:val="zh-CN" w:eastAsia="zh-CN" w:bidi="ar-SA"/>
              </w:rPr>
              <w:t>，</w:t>
            </w:r>
            <w:r>
              <w:rPr>
                <w:rFonts w:hint="default" w:ascii="Times New Roman" w:hAnsi="Times New Roman" w:eastAsia="宋体" w:cs="Times New Roman"/>
                <w:color w:val="auto"/>
                <w:kern w:val="0"/>
                <w:sz w:val="24"/>
                <w:szCs w:val="24"/>
                <w:highlight w:val="none"/>
                <w:lang w:val="zh-CN" w:eastAsia="zh-CN" w:bidi="ar-SA"/>
              </w:rPr>
              <w:t>ar</w:t>
            </w:r>
            <w:r>
              <w:rPr>
                <w:rFonts w:hint="eastAsia" w:ascii="Times New Roman" w:hAnsi="Times New Roman" w:eastAsia="宋体" w:cs="Times New Roman"/>
                <w:color w:val="auto"/>
                <w:kern w:val="0"/>
                <w:sz w:val="24"/>
                <w:szCs w:val="24"/>
                <w:highlight w:val="none"/>
                <w:lang w:val="zh-CN" w:eastAsia="zh-CN" w:bidi="ar-SA"/>
              </w:rPr>
              <w:t>，</w:t>
            </w:r>
            <w:r>
              <w:rPr>
                <w:rFonts w:hint="eastAsia" w:ascii="Times New Roman" w:hAnsi="Times New Roman" w:eastAsia="宋体" w:cs="Times New Roman"/>
                <w:color w:val="auto"/>
                <w:kern w:val="0"/>
                <w:sz w:val="24"/>
                <w:szCs w:val="24"/>
                <w:highlight w:val="none"/>
                <w:lang w:val="en-US" w:eastAsia="zh-CN" w:bidi="ar-SA"/>
              </w:rPr>
              <w:t>燃料收到基低位发热量（MJ/kg），本次取值</w:t>
            </w:r>
            <w:r>
              <w:rPr>
                <w:rFonts w:hint="eastAsia" w:cs="Times New Roman"/>
                <w:color w:val="auto"/>
                <w:kern w:val="0"/>
                <w:sz w:val="24"/>
                <w:szCs w:val="24"/>
                <w:highlight w:val="none"/>
                <w:lang w:val="en-US" w:eastAsia="zh-CN" w:bidi="ar-SA"/>
              </w:rPr>
              <w:t>9.58</w:t>
            </w:r>
            <w:r>
              <w:rPr>
                <w:rFonts w:hint="eastAsia" w:ascii="Times New Roman" w:hAnsi="Times New Roman" w:eastAsia="宋体" w:cs="Times New Roman"/>
                <w:color w:val="auto"/>
                <w:kern w:val="0"/>
                <w:sz w:val="24"/>
                <w:szCs w:val="24"/>
                <w:highlight w:val="none"/>
                <w:lang w:val="en-US" w:eastAsia="zh-CN" w:bidi="ar-SA"/>
              </w:rPr>
              <w:t>MJ/kg。</w:t>
            </w:r>
          </w:p>
          <w:p w14:paraId="25964F78">
            <w:pPr>
              <w:keepNext w:val="0"/>
              <w:keepLines w:val="0"/>
              <w:pageBreakBefore w:val="0"/>
              <w:widowControl w:val="0"/>
              <w:numPr>
                <w:ilvl w:val="0"/>
                <w:numId w:val="0"/>
              </w:numPr>
              <w:suppressLineNumbers w:val="0"/>
              <w:kinsoku/>
              <w:wordWrap w:val="0"/>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经计算得出，基准烟气量为4.4763</w:t>
            </w:r>
            <w:r>
              <w:rPr>
                <w:rFonts w:hint="default" w:ascii="Times New Roman" w:hAnsi="Times New Roman" w:eastAsia="宋体" w:cs="Times New Roman"/>
                <w:color w:val="auto"/>
                <w:kern w:val="0"/>
                <w:sz w:val="24"/>
                <w:szCs w:val="24"/>
                <w:highlight w:val="none"/>
                <w:lang w:val="en-US" w:eastAsia="zh-CN" w:bidi="ar-SA"/>
              </w:rPr>
              <w:t>Nm</w:t>
            </w:r>
            <w:r>
              <w:rPr>
                <w:rFonts w:hint="default" w:ascii="Times New Roman" w:hAnsi="Times New Roman" w:eastAsia="宋体" w:cs="Times New Roman"/>
                <w:color w:val="auto"/>
                <w:kern w:val="0"/>
                <w:sz w:val="24"/>
                <w:szCs w:val="24"/>
                <w:highlight w:val="none"/>
                <w:vertAlign w:val="superscript"/>
                <w:lang w:val="en-US" w:eastAsia="zh-CN" w:bidi="ar-SA"/>
              </w:rPr>
              <w:t>3</w:t>
            </w:r>
            <w:r>
              <w:rPr>
                <w:rFonts w:hint="default" w:ascii="Times New Roman" w:hAnsi="Times New Roman" w:eastAsia="宋体" w:cs="Times New Roman"/>
                <w:color w:val="auto"/>
                <w:kern w:val="0"/>
                <w:sz w:val="24"/>
                <w:szCs w:val="24"/>
                <w:highlight w:val="none"/>
                <w:lang w:val="en-US" w:eastAsia="zh-CN" w:bidi="ar-SA"/>
              </w:rPr>
              <w:t>/kg</w:t>
            </w:r>
            <w:r>
              <w:rPr>
                <w:rFonts w:hint="eastAsia" w:ascii="Times New Roman" w:hAnsi="Times New Roman" w:eastAsia="宋体" w:cs="Times New Roman"/>
                <w:color w:val="auto"/>
                <w:kern w:val="0"/>
                <w:sz w:val="24"/>
                <w:szCs w:val="24"/>
                <w:highlight w:val="none"/>
                <w:lang w:val="en-US" w:eastAsia="zh-CN" w:bidi="ar-SA"/>
              </w:rPr>
              <w:t>，</w:t>
            </w:r>
            <w:r>
              <w:rPr>
                <w:rFonts w:hint="eastAsia" w:cs="Times New Roman"/>
                <w:color w:val="auto"/>
                <w:kern w:val="0"/>
                <w:sz w:val="24"/>
                <w:szCs w:val="24"/>
                <w:highlight w:val="none"/>
                <w:lang w:val="en-US" w:eastAsia="zh-CN" w:bidi="ar-SA"/>
              </w:rPr>
              <w:t>则燃生物质</w:t>
            </w:r>
            <w:r>
              <w:rPr>
                <w:rFonts w:hint="eastAsia" w:ascii="Times New Roman" w:hAnsi="Times New Roman" w:eastAsia="宋体" w:cs="Times New Roman"/>
                <w:color w:val="auto"/>
                <w:kern w:val="0"/>
                <w:sz w:val="24"/>
                <w:szCs w:val="24"/>
                <w:highlight w:val="none"/>
                <w:lang w:val="en-US" w:eastAsia="zh-CN" w:bidi="ar-SA"/>
              </w:rPr>
              <w:t>锅炉标态干烟气量为</w:t>
            </w:r>
            <w:r>
              <w:rPr>
                <w:rFonts w:hint="eastAsia" w:cs="Times New Roman"/>
                <w:color w:val="auto"/>
                <w:kern w:val="0"/>
                <w:sz w:val="24"/>
                <w:szCs w:val="24"/>
                <w:highlight w:val="none"/>
                <w:lang w:val="en-US" w:eastAsia="zh-CN" w:bidi="ar-SA"/>
              </w:rPr>
              <w:t>4692594.816</w:t>
            </w:r>
            <w:r>
              <w:rPr>
                <w:rFonts w:hint="eastAsia" w:ascii="Times New Roman" w:hAnsi="Times New Roman" w:eastAsia="宋体" w:cs="Times New Roman"/>
                <w:color w:val="auto"/>
                <w:kern w:val="0"/>
                <w:sz w:val="24"/>
                <w:szCs w:val="24"/>
                <w:highlight w:val="none"/>
                <w:lang w:val="en-US" w:eastAsia="zh-CN" w:bidi="ar-SA"/>
              </w:rPr>
              <w:t>m</w:t>
            </w:r>
            <w:r>
              <w:rPr>
                <w:rFonts w:hint="eastAsia" w:ascii="Times New Roman" w:hAnsi="Times New Roman" w:eastAsia="宋体" w:cs="Times New Roman"/>
                <w:color w:val="auto"/>
                <w:kern w:val="0"/>
                <w:sz w:val="24"/>
                <w:szCs w:val="24"/>
                <w:highlight w:val="none"/>
                <w:vertAlign w:val="superscript"/>
                <w:lang w:val="en-US" w:eastAsia="zh-CN" w:bidi="ar-SA"/>
              </w:rPr>
              <w:t>3</w:t>
            </w:r>
            <w:r>
              <w:rPr>
                <w:rFonts w:hint="eastAsia" w:ascii="Times New Roman" w:hAnsi="Times New Roman" w:eastAsia="宋体" w:cs="Times New Roman"/>
                <w:color w:val="auto"/>
                <w:kern w:val="0"/>
                <w:sz w:val="24"/>
                <w:szCs w:val="24"/>
                <w:highlight w:val="none"/>
                <w:lang w:val="en-US" w:eastAsia="zh-CN" w:bidi="ar-SA"/>
              </w:rPr>
              <w:t>/a。</w:t>
            </w:r>
          </w:p>
          <w:p w14:paraId="476CDC8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a.颗粒物排放量：</w:t>
            </w:r>
          </w:p>
          <w:p w14:paraId="34AD808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center"/>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drawing>
                <wp:inline distT="0" distB="0" distL="114300" distR="114300">
                  <wp:extent cx="3762375" cy="809625"/>
                  <wp:effectExtent l="0" t="0" r="9525" b="9525"/>
                  <wp:docPr id="32" name="图片 3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图片1"/>
                          <pic:cNvPicPr>
                            <a:picLocks noChangeAspect="1"/>
                          </pic:cNvPicPr>
                        </pic:nvPicPr>
                        <pic:blipFill>
                          <a:blip r:embed="rId15"/>
                          <a:stretch>
                            <a:fillRect/>
                          </a:stretch>
                        </pic:blipFill>
                        <pic:spPr>
                          <a:xfrm>
                            <a:off x="0" y="0"/>
                            <a:ext cx="3762375" cy="809625"/>
                          </a:xfrm>
                          <a:prstGeom prst="rect">
                            <a:avLst/>
                          </a:prstGeom>
                        </pic:spPr>
                      </pic:pic>
                    </a:graphicData>
                  </a:graphic>
                </wp:inline>
              </w:drawing>
            </w:r>
          </w:p>
          <w:p w14:paraId="660483B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式中：E</w:t>
            </w:r>
            <w:r>
              <w:rPr>
                <w:rFonts w:hint="eastAsia" w:ascii="Times New Roman" w:hAnsi="Times New Roman" w:eastAsia="宋体" w:cs="Times New Roman"/>
                <w:color w:val="auto"/>
                <w:kern w:val="0"/>
                <w:sz w:val="24"/>
                <w:szCs w:val="24"/>
                <w:highlight w:val="none"/>
                <w:vertAlign w:val="subscript"/>
                <w:lang w:val="en-US" w:eastAsia="zh-CN" w:bidi="ar-SA"/>
              </w:rPr>
              <w:t>A</w:t>
            </w:r>
            <w:r>
              <w:rPr>
                <w:rFonts w:hint="default"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核算时段内颗粒物（烟尘）排放量，t；</w:t>
            </w:r>
          </w:p>
          <w:p w14:paraId="5D31D57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R</w:t>
            </w:r>
            <w:r>
              <w:rPr>
                <w:rFonts w:hint="default"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核算时段内锅炉燃料耗量，</w:t>
            </w:r>
            <w:r>
              <w:rPr>
                <w:rFonts w:hint="eastAsia"/>
                <w:color w:val="auto"/>
                <w:sz w:val="24"/>
                <w:highlight w:val="none"/>
                <w:lang w:val="en-US" w:eastAsia="zh-CN"/>
              </w:rPr>
              <w:t>1048.32</w:t>
            </w:r>
            <w:r>
              <w:rPr>
                <w:rFonts w:hint="eastAsia" w:ascii="Times New Roman" w:hAnsi="Times New Roman" w:eastAsia="宋体" w:cs="Times New Roman"/>
                <w:color w:val="auto"/>
                <w:kern w:val="0"/>
                <w:sz w:val="24"/>
                <w:szCs w:val="24"/>
                <w:highlight w:val="none"/>
                <w:lang w:val="en-US" w:eastAsia="zh-CN" w:bidi="ar-SA"/>
              </w:rPr>
              <w:t>t；</w:t>
            </w:r>
          </w:p>
          <w:p w14:paraId="13ECB75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0"/>
                <w:sz w:val="24"/>
                <w:szCs w:val="24"/>
                <w:highlight w:val="yellow"/>
                <w:lang w:val="en-US" w:eastAsia="zh-CN" w:bidi="ar-SA"/>
              </w:rPr>
            </w:pPr>
            <w:r>
              <w:rPr>
                <w:rFonts w:hint="eastAsia" w:ascii="Times New Roman" w:hAnsi="Times New Roman" w:eastAsia="宋体" w:cs="Times New Roman"/>
                <w:color w:val="auto"/>
                <w:kern w:val="0"/>
                <w:sz w:val="24"/>
                <w:szCs w:val="24"/>
                <w:highlight w:val="none"/>
                <w:lang w:val="en-US" w:eastAsia="zh-CN" w:bidi="ar-SA"/>
              </w:rPr>
              <w:t>A</w:t>
            </w:r>
            <w:r>
              <w:rPr>
                <w:rFonts w:hint="eastAsia" w:ascii="Times New Roman" w:hAnsi="Times New Roman" w:eastAsia="宋体" w:cs="Times New Roman"/>
                <w:color w:val="auto"/>
                <w:kern w:val="0"/>
                <w:sz w:val="24"/>
                <w:szCs w:val="24"/>
                <w:highlight w:val="none"/>
                <w:vertAlign w:val="subscript"/>
                <w:lang w:val="en-US" w:eastAsia="zh-CN" w:bidi="ar-SA"/>
              </w:rPr>
              <w:t>ar</w:t>
            </w:r>
            <w:r>
              <w:rPr>
                <w:rFonts w:hint="default"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收到基灰分的质量分数</w:t>
            </w:r>
            <w:r>
              <w:rPr>
                <w:rFonts w:hint="eastAsia" w:cs="Times New Roman"/>
                <w:color w:val="auto"/>
                <w:kern w:val="0"/>
                <w:sz w:val="24"/>
                <w:szCs w:val="24"/>
                <w:highlight w:val="none"/>
                <w:lang w:val="en-US" w:eastAsia="zh-CN" w:bidi="ar-SA"/>
              </w:rPr>
              <w:t>，3.06%</w:t>
            </w:r>
            <w:r>
              <w:rPr>
                <w:rFonts w:hint="eastAsia" w:ascii="Times New Roman" w:hAnsi="Times New Roman" w:eastAsia="宋体" w:cs="Times New Roman"/>
                <w:color w:val="auto"/>
                <w:kern w:val="0"/>
                <w:sz w:val="24"/>
                <w:szCs w:val="24"/>
                <w:highlight w:val="none"/>
                <w:lang w:val="en-US" w:eastAsia="zh-CN" w:bidi="ar-SA"/>
              </w:rPr>
              <w:t>；</w:t>
            </w:r>
          </w:p>
          <w:p w14:paraId="0D64554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d</w:t>
            </w:r>
            <w:r>
              <w:rPr>
                <w:rFonts w:hint="eastAsia" w:ascii="Times New Roman" w:hAnsi="Times New Roman" w:eastAsia="宋体" w:cs="Times New Roman"/>
                <w:color w:val="auto"/>
                <w:kern w:val="0"/>
                <w:sz w:val="24"/>
                <w:szCs w:val="24"/>
                <w:highlight w:val="none"/>
                <w:vertAlign w:val="subscript"/>
                <w:lang w:val="en-US" w:eastAsia="zh-CN" w:bidi="ar-SA"/>
              </w:rPr>
              <w:t>fh</w:t>
            </w:r>
            <w:r>
              <w:rPr>
                <w:rFonts w:hint="default"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锅炉烟气带出的飞灰份额，45%；</w:t>
            </w:r>
          </w:p>
          <w:p w14:paraId="1314C4F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η</w:t>
            </w:r>
            <w:r>
              <w:rPr>
                <w:rFonts w:hint="default" w:ascii="Times New Roman" w:hAnsi="Times New Roman" w:eastAsia="宋体" w:cs="Times New Roman"/>
                <w:color w:val="auto"/>
                <w:kern w:val="0"/>
                <w:sz w:val="24"/>
                <w:szCs w:val="24"/>
                <w:highlight w:val="none"/>
                <w:vertAlign w:val="subscript"/>
                <w:lang w:val="en-US" w:eastAsia="zh-CN" w:bidi="ar-SA"/>
              </w:rPr>
              <w:t>c</w:t>
            </w:r>
            <w:r>
              <w:rPr>
                <w:rFonts w:hint="default"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综合除尘效率，99%；</w:t>
            </w:r>
          </w:p>
          <w:p w14:paraId="6D320C3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C</w:t>
            </w:r>
            <w:r>
              <w:rPr>
                <w:rFonts w:hint="eastAsia" w:ascii="Times New Roman" w:hAnsi="Times New Roman" w:eastAsia="宋体" w:cs="Times New Roman"/>
                <w:color w:val="auto"/>
                <w:kern w:val="0"/>
                <w:sz w:val="24"/>
                <w:szCs w:val="24"/>
                <w:highlight w:val="none"/>
                <w:vertAlign w:val="subscript"/>
                <w:lang w:val="en-US" w:eastAsia="zh-CN" w:bidi="ar-SA"/>
              </w:rPr>
              <w:t>fh</w:t>
            </w:r>
            <w:r>
              <w:rPr>
                <w:rFonts w:hint="default"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飞灰中的可燃物含量，</w:t>
            </w:r>
            <w:r>
              <w:rPr>
                <w:rFonts w:hint="eastAsia" w:ascii="Times New Roman" w:hAnsi="Times New Roman" w:eastAsia="宋体" w:cs="Times New Roman"/>
                <w:color w:val="auto"/>
                <w:kern w:val="0"/>
                <w:sz w:val="24"/>
                <w:szCs w:val="24"/>
                <w:highlight w:val="none"/>
                <w:lang w:val="en-US" w:eastAsia="zh-CN" w:bidi="ar-SA"/>
              </w:rPr>
              <w:t>项目使用生物质成型燃料，飞灰中可燃物含量类比烟煤Ⅱ类，根据《工业锅炉经济运行》（GB/T17954-2007），</w:t>
            </w:r>
            <w:r>
              <w:rPr>
                <w:rFonts w:hint="eastAsia" w:cs="Times New Roman"/>
                <w:color w:val="auto"/>
                <w:kern w:val="0"/>
                <w:sz w:val="24"/>
                <w:szCs w:val="24"/>
                <w:highlight w:val="none"/>
                <w:lang w:val="en-US" w:eastAsia="zh-CN" w:bidi="ar-SA"/>
              </w:rPr>
              <w:t>本项目</w:t>
            </w:r>
            <w:r>
              <w:rPr>
                <w:rFonts w:hint="eastAsia" w:ascii="Times New Roman" w:hAnsi="Times New Roman" w:eastAsia="宋体" w:cs="Times New Roman"/>
                <w:color w:val="auto"/>
                <w:kern w:val="0"/>
                <w:sz w:val="24"/>
                <w:szCs w:val="24"/>
                <w:highlight w:val="none"/>
                <w:lang w:val="en-US" w:eastAsia="zh-CN" w:bidi="ar-SA"/>
              </w:rPr>
              <w:t>取16%。</w:t>
            </w:r>
          </w:p>
          <w:p w14:paraId="5893634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E</w:t>
            </w:r>
            <w:r>
              <w:rPr>
                <w:rFonts w:hint="eastAsia" w:ascii="Times New Roman" w:hAnsi="Times New Roman" w:eastAsia="宋体" w:cs="Times New Roman"/>
                <w:color w:val="auto"/>
                <w:kern w:val="0"/>
                <w:sz w:val="24"/>
                <w:szCs w:val="24"/>
                <w:highlight w:val="none"/>
                <w:vertAlign w:val="subscript"/>
                <w:lang w:val="en-US" w:eastAsia="zh-CN" w:bidi="ar-SA"/>
              </w:rPr>
              <w:t>A</w:t>
            </w:r>
            <w:r>
              <w:rPr>
                <w:rFonts w:hint="eastAsia" w:ascii="Times New Roman" w:hAnsi="Times New Roman" w:eastAsia="宋体" w:cs="Times New Roman"/>
                <w:color w:val="auto"/>
                <w:kern w:val="0"/>
                <w:sz w:val="24"/>
                <w:szCs w:val="24"/>
                <w:highlight w:val="none"/>
                <w:lang w:val="en-US" w:eastAsia="zh-CN" w:bidi="ar-SA"/>
              </w:rPr>
              <w:t>=（</w:t>
            </w:r>
            <w:r>
              <w:rPr>
                <w:rFonts w:hint="eastAsia"/>
                <w:color w:val="auto"/>
                <w:sz w:val="24"/>
                <w:highlight w:val="none"/>
                <w:lang w:val="en-US" w:eastAsia="zh-CN"/>
              </w:rPr>
              <w:t>1048.32</w:t>
            </w:r>
            <w:r>
              <w:rPr>
                <w:rFonts w:hint="eastAsia" w:ascii="Times New Roman" w:hAnsi="Times New Roman" w:eastAsia="宋体" w:cs="Times New Roman"/>
                <w:color w:val="auto"/>
                <w:kern w:val="0"/>
                <w:sz w:val="24"/>
                <w:szCs w:val="24"/>
                <w:highlight w:val="none"/>
                <w:lang w:val="en-US" w:eastAsia="zh-CN" w:bidi="ar-SA"/>
              </w:rPr>
              <w:t>×0.0306×0.45×0.01）÷</w:t>
            </w:r>
            <w:r>
              <w:rPr>
                <w:rFonts w:hint="eastAsia" w:ascii="Times New Roman" w:hAnsi="Times New Roman" w:eastAsia="宋体" w:cs="Times New Roman"/>
                <w:color w:val="auto"/>
                <w:kern w:val="0"/>
                <w:sz w:val="24"/>
                <w:szCs w:val="24"/>
                <w:highlight w:val="none"/>
                <w:lang w:val="en-US" w:eastAsia="zh-CN" w:bidi="ar-SA"/>
              </w:rPr>
              <w:t>0.8</w:t>
            </w:r>
            <w:r>
              <w:rPr>
                <w:rFonts w:hint="eastAsia" w:cs="Times New Roman"/>
                <w:color w:val="auto"/>
                <w:kern w:val="0"/>
                <w:sz w:val="24"/>
                <w:szCs w:val="24"/>
                <w:highlight w:val="none"/>
                <w:lang w:val="en-US" w:eastAsia="zh-CN" w:bidi="ar-SA"/>
              </w:rPr>
              <w:t>4</w:t>
            </w:r>
            <w:r>
              <w:rPr>
                <w:rFonts w:hint="eastAsia" w:ascii="Times New Roman" w:hAnsi="Times New Roman" w:eastAsia="宋体" w:cs="Times New Roman"/>
                <w:color w:val="auto"/>
                <w:kern w:val="0"/>
                <w:sz w:val="24"/>
                <w:szCs w:val="24"/>
                <w:highlight w:val="none"/>
                <w:lang w:val="en-US" w:eastAsia="zh-CN" w:bidi="ar-SA"/>
              </w:rPr>
              <w:t>=</w:t>
            </w:r>
            <w:r>
              <w:rPr>
                <w:rFonts w:hint="eastAsia" w:cs="Times New Roman"/>
                <w:color w:val="auto"/>
                <w:kern w:val="0"/>
                <w:sz w:val="24"/>
                <w:szCs w:val="24"/>
                <w:highlight w:val="none"/>
                <w:lang w:val="en-US" w:eastAsia="zh-CN" w:bidi="ar-SA"/>
              </w:rPr>
              <w:t>0.172</w:t>
            </w:r>
            <w:r>
              <w:rPr>
                <w:rFonts w:hint="eastAsia" w:ascii="Times New Roman" w:hAnsi="Times New Roman" w:eastAsia="宋体" w:cs="Times New Roman"/>
                <w:color w:val="auto"/>
                <w:kern w:val="0"/>
                <w:sz w:val="24"/>
                <w:szCs w:val="24"/>
                <w:highlight w:val="none"/>
                <w:lang w:val="en-US" w:eastAsia="zh-CN" w:bidi="ar-SA"/>
              </w:rPr>
              <w:t>t/a</w:t>
            </w:r>
          </w:p>
          <w:p w14:paraId="5E150A5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b.二氧化硫排放量</w:t>
            </w:r>
          </w:p>
          <w:p w14:paraId="359A6D4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center"/>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drawing>
                <wp:inline distT="0" distB="0" distL="114300" distR="114300">
                  <wp:extent cx="3078480" cy="533400"/>
                  <wp:effectExtent l="0" t="0" r="7620" b="0"/>
                  <wp:docPr id="34" name="图片 34"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图片2"/>
                          <pic:cNvPicPr>
                            <a:picLocks noChangeAspect="1"/>
                          </pic:cNvPicPr>
                        </pic:nvPicPr>
                        <pic:blipFill>
                          <a:blip r:embed="rId16"/>
                          <a:stretch>
                            <a:fillRect/>
                          </a:stretch>
                        </pic:blipFill>
                        <pic:spPr>
                          <a:xfrm>
                            <a:off x="0" y="0"/>
                            <a:ext cx="3078480" cy="533400"/>
                          </a:xfrm>
                          <a:prstGeom prst="rect">
                            <a:avLst/>
                          </a:prstGeom>
                        </pic:spPr>
                      </pic:pic>
                    </a:graphicData>
                  </a:graphic>
                </wp:inline>
              </w:drawing>
            </w:r>
          </w:p>
          <w:p w14:paraId="48CA535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式中：E</w:t>
            </w:r>
            <w:r>
              <w:rPr>
                <w:rFonts w:hint="eastAsia" w:ascii="Times New Roman" w:hAnsi="Times New Roman" w:eastAsia="宋体" w:cs="Times New Roman"/>
                <w:color w:val="auto"/>
                <w:kern w:val="0"/>
                <w:sz w:val="24"/>
                <w:szCs w:val="24"/>
                <w:highlight w:val="none"/>
                <w:vertAlign w:val="subscript"/>
                <w:lang w:val="en-US" w:eastAsia="zh-CN" w:bidi="ar-SA"/>
              </w:rPr>
              <w:t>SO2</w:t>
            </w:r>
            <w:r>
              <w:rPr>
                <w:rFonts w:hint="eastAsia" w:ascii="Times New Roman" w:hAnsi="Times New Roman" w:eastAsia="宋体" w:cs="Times New Roman"/>
                <w:color w:val="auto"/>
                <w:kern w:val="0"/>
                <w:sz w:val="24"/>
                <w:szCs w:val="24"/>
                <w:highlight w:val="none"/>
                <w:lang w:val="en-US" w:eastAsia="zh-CN" w:bidi="ar-SA"/>
              </w:rPr>
              <w:t>——核算时段内二氧化硫排放量，t；</w:t>
            </w:r>
          </w:p>
          <w:p w14:paraId="4642479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R——核算时段内锅炉燃料耗量，</w:t>
            </w:r>
            <w:r>
              <w:rPr>
                <w:rFonts w:hint="eastAsia"/>
                <w:color w:val="auto"/>
                <w:sz w:val="24"/>
                <w:highlight w:val="none"/>
                <w:lang w:val="en-US" w:eastAsia="zh-CN"/>
              </w:rPr>
              <w:t>1048.32</w:t>
            </w:r>
            <w:r>
              <w:rPr>
                <w:rFonts w:hint="eastAsia" w:ascii="Times New Roman" w:hAnsi="Times New Roman" w:eastAsia="宋体" w:cs="Times New Roman"/>
                <w:color w:val="auto"/>
                <w:kern w:val="0"/>
                <w:sz w:val="24"/>
                <w:szCs w:val="24"/>
                <w:highlight w:val="none"/>
                <w:lang w:val="en-US" w:eastAsia="zh-CN" w:bidi="ar-SA"/>
              </w:rPr>
              <w:t>t；</w:t>
            </w:r>
          </w:p>
          <w:p w14:paraId="2EAD8E9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0"/>
                <w:sz w:val="24"/>
                <w:szCs w:val="24"/>
                <w:highlight w:val="yellow"/>
                <w:lang w:val="en-US" w:eastAsia="zh-CN" w:bidi="ar-SA"/>
              </w:rPr>
            </w:pPr>
            <w:r>
              <w:rPr>
                <w:rFonts w:hint="eastAsia" w:ascii="Times New Roman" w:hAnsi="Times New Roman" w:eastAsia="宋体" w:cs="Times New Roman"/>
                <w:color w:val="auto"/>
                <w:kern w:val="0"/>
                <w:sz w:val="24"/>
                <w:szCs w:val="24"/>
                <w:highlight w:val="none"/>
                <w:lang w:val="en-US" w:eastAsia="zh-CN" w:bidi="ar-SA"/>
              </w:rPr>
              <w:t>S</w:t>
            </w:r>
            <w:r>
              <w:rPr>
                <w:rFonts w:hint="eastAsia" w:ascii="Times New Roman" w:hAnsi="Times New Roman" w:eastAsia="宋体" w:cs="Times New Roman"/>
                <w:color w:val="auto"/>
                <w:kern w:val="0"/>
                <w:sz w:val="24"/>
                <w:szCs w:val="24"/>
                <w:highlight w:val="none"/>
                <w:vertAlign w:val="subscript"/>
                <w:lang w:val="en-US" w:eastAsia="zh-CN" w:bidi="ar-SA"/>
              </w:rPr>
              <w:t>ar</w:t>
            </w:r>
            <w:r>
              <w:rPr>
                <w:rFonts w:hint="eastAsia" w:ascii="Times New Roman" w:hAnsi="Times New Roman" w:eastAsia="宋体" w:cs="Times New Roman"/>
                <w:color w:val="auto"/>
                <w:kern w:val="0"/>
                <w:sz w:val="24"/>
                <w:szCs w:val="24"/>
                <w:highlight w:val="none"/>
                <w:lang w:val="en-US" w:eastAsia="zh-CN" w:bidi="ar-SA"/>
              </w:rPr>
              <w:t>——收到基硫的质量分数</w:t>
            </w:r>
            <w:r>
              <w:rPr>
                <w:rFonts w:hint="eastAsia" w:cs="Times New Roman"/>
                <w:color w:val="auto"/>
                <w:kern w:val="0"/>
                <w:sz w:val="24"/>
                <w:szCs w:val="24"/>
                <w:highlight w:val="none"/>
                <w:lang w:val="en-US" w:eastAsia="zh-CN" w:bidi="ar-SA"/>
              </w:rPr>
              <w:t>，0.04</w:t>
            </w:r>
            <w:r>
              <w:rPr>
                <w:rFonts w:hint="eastAsia" w:ascii="Times New Roman" w:hAnsi="Times New Roman" w:eastAsia="宋体" w:cs="Times New Roman"/>
                <w:color w:val="auto"/>
                <w:kern w:val="0"/>
                <w:sz w:val="24"/>
                <w:szCs w:val="24"/>
                <w:highlight w:val="none"/>
                <w:lang w:val="en-US" w:eastAsia="zh-CN" w:bidi="ar-SA"/>
              </w:rPr>
              <w:t>%；</w:t>
            </w:r>
          </w:p>
          <w:p w14:paraId="2EF528F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q</w:t>
            </w:r>
            <w:r>
              <w:rPr>
                <w:rFonts w:hint="eastAsia" w:ascii="Times New Roman" w:hAnsi="Times New Roman" w:eastAsia="宋体" w:cs="Times New Roman"/>
                <w:color w:val="auto"/>
                <w:kern w:val="0"/>
                <w:sz w:val="24"/>
                <w:szCs w:val="24"/>
                <w:highlight w:val="none"/>
                <w:vertAlign w:val="subscript"/>
                <w:lang w:val="en-US" w:eastAsia="zh-CN" w:bidi="ar-SA"/>
              </w:rPr>
              <w:t>4</w:t>
            </w:r>
            <w:r>
              <w:rPr>
                <w:rFonts w:hint="eastAsia" w:ascii="Times New Roman" w:hAnsi="Times New Roman" w:eastAsia="宋体" w:cs="Times New Roman"/>
                <w:color w:val="auto"/>
                <w:kern w:val="0"/>
                <w:sz w:val="24"/>
                <w:szCs w:val="24"/>
                <w:highlight w:val="none"/>
                <w:lang w:val="en-US" w:eastAsia="zh-CN" w:bidi="ar-SA"/>
              </w:rPr>
              <w:t>——锅炉机械不完全燃烧热损失，</w:t>
            </w:r>
            <w:r>
              <w:rPr>
                <w:rFonts w:hint="eastAsia" w:cs="Times New Roman"/>
                <w:color w:val="auto"/>
                <w:kern w:val="0"/>
                <w:sz w:val="24"/>
                <w:szCs w:val="24"/>
                <w:highlight w:val="none"/>
                <w:lang w:val="en-US" w:eastAsia="zh-CN" w:bidi="ar-SA"/>
              </w:rPr>
              <w:t>取</w:t>
            </w:r>
            <w:r>
              <w:rPr>
                <w:rFonts w:hint="eastAsia" w:ascii="Times New Roman" w:hAnsi="Times New Roman" w:eastAsia="宋体" w:cs="Times New Roman"/>
                <w:color w:val="auto"/>
                <w:kern w:val="0"/>
                <w:sz w:val="24"/>
                <w:szCs w:val="24"/>
                <w:highlight w:val="none"/>
                <w:lang w:val="en-US" w:eastAsia="zh-CN" w:bidi="ar-SA"/>
              </w:rPr>
              <w:t>15%；</w:t>
            </w:r>
          </w:p>
          <w:p w14:paraId="2DEF1FD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η</w:t>
            </w:r>
            <w:r>
              <w:rPr>
                <w:rFonts w:hint="eastAsia" w:ascii="Times New Roman" w:hAnsi="Times New Roman" w:eastAsia="宋体" w:cs="Times New Roman"/>
                <w:color w:val="auto"/>
                <w:kern w:val="0"/>
                <w:sz w:val="24"/>
                <w:szCs w:val="24"/>
                <w:highlight w:val="none"/>
                <w:vertAlign w:val="subscript"/>
                <w:lang w:val="en-US" w:eastAsia="zh-CN" w:bidi="ar-SA"/>
              </w:rPr>
              <w:t>s</w:t>
            </w:r>
            <w:r>
              <w:rPr>
                <w:rFonts w:hint="eastAsia" w:ascii="Times New Roman" w:hAnsi="Times New Roman" w:eastAsia="宋体" w:cs="Times New Roman"/>
                <w:color w:val="auto"/>
                <w:kern w:val="0"/>
                <w:sz w:val="24"/>
                <w:szCs w:val="24"/>
                <w:highlight w:val="none"/>
                <w:lang w:val="en-US" w:eastAsia="zh-CN" w:bidi="ar-SA"/>
              </w:rPr>
              <w:t>——脱硫效率，0%；</w:t>
            </w:r>
          </w:p>
          <w:p w14:paraId="1A7DA49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K——燃料中的硫燃烧后二氧化硫的份额，0.4。</w:t>
            </w:r>
          </w:p>
          <w:p w14:paraId="1156FE2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E</w:t>
            </w:r>
            <w:r>
              <w:rPr>
                <w:rFonts w:hint="eastAsia" w:ascii="Times New Roman" w:hAnsi="Times New Roman" w:eastAsia="宋体" w:cs="Times New Roman"/>
                <w:color w:val="auto"/>
                <w:kern w:val="0"/>
                <w:sz w:val="24"/>
                <w:szCs w:val="24"/>
                <w:highlight w:val="none"/>
                <w:vertAlign w:val="subscript"/>
                <w:lang w:val="en-US" w:eastAsia="zh-CN" w:bidi="ar-SA"/>
              </w:rPr>
              <w:t>SO2</w:t>
            </w:r>
            <w:r>
              <w:rPr>
                <w:rFonts w:hint="eastAsia" w:ascii="Times New Roman" w:hAnsi="Times New Roman" w:eastAsia="宋体" w:cs="Times New Roman"/>
                <w:color w:val="auto"/>
                <w:kern w:val="0"/>
                <w:sz w:val="24"/>
                <w:szCs w:val="24"/>
                <w:highlight w:val="none"/>
                <w:lang w:val="en-US" w:eastAsia="zh-CN" w:bidi="ar-SA"/>
              </w:rPr>
              <w:t>=2×</w:t>
            </w:r>
            <w:r>
              <w:rPr>
                <w:rFonts w:hint="eastAsia"/>
                <w:color w:val="auto"/>
                <w:sz w:val="24"/>
                <w:highlight w:val="none"/>
                <w:lang w:val="en-US" w:eastAsia="zh-CN"/>
              </w:rPr>
              <w:t>1048.32</w:t>
            </w:r>
            <w:r>
              <w:rPr>
                <w:rFonts w:hint="eastAsia" w:ascii="Times New Roman" w:hAnsi="Times New Roman" w:eastAsia="宋体" w:cs="Times New Roman"/>
                <w:color w:val="auto"/>
                <w:kern w:val="0"/>
                <w:sz w:val="24"/>
                <w:szCs w:val="24"/>
                <w:highlight w:val="none"/>
                <w:lang w:val="en-US" w:eastAsia="zh-CN" w:bidi="ar-SA"/>
              </w:rPr>
              <w:t>×0.000</w:t>
            </w:r>
            <w:r>
              <w:rPr>
                <w:rFonts w:hint="eastAsia" w:cs="Times New Roman"/>
                <w:color w:val="auto"/>
                <w:kern w:val="0"/>
                <w:sz w:val="24"/>
                <w:szCs w:val="24"/>
                <w:highlight w:val="none"/>
                <w:lang w:val="en-US" w:eastAsia="zh-CN" w:bidi="ar-SA"/>
              </w:rPr>
              <w:t>4</w:t>
            </w:r>
            <w:r>
              <w:rPr>
                <w:rFonts w:hint="eastAsia" w:ascii="Times New Roman" w:hAnsi="Times New Roman" w:eastAsia="宋体" w:cs="Times New Roman"/>
                <w:color w:val="auto"/>
                <w:kern w:val="0"/>
                <w:sz w:val="24"/>
                <w:szCs w:val="24"/>
                <w:highlight w:val="none"/>
                <w:lang w:val="en-US" w:eastAsia="zh-CN" w:bidi="ar-SA"/>
              </w:rPr>
              <w:t>×0.85×0.4=</w:t>
            </w:r>
            <w:r>
              <w:rPr>
                <w:rFonts w:hint="eastAsia" w:cs="Times New Roman"/>
                <w:color w:val="auto"/>
                <w:kern w:val="0"/>
                <w:sz w:val="24"/>
                <w:szCs w:val="24"/>
                <w:highlight w:val="none"/>
                <w:lang w:val="en-US" w:eastAsia="zh-CN" w:bidi="ar-SA"/>
              </w:rPr>
              <w:t>0.285</w:t>
            </w:r>
            <w:r>
              <w:rPr>
                <w:rFonts w:hint="eastAsia" w:ascii="Times New Roman" w:hAnsi="Times New Roman" w:eastAsia="宋体" w:cs="Times New Roman"/>
                <w:color w:val="auto"/>
                <w:kern w:val="0"/>
                <w:sz w:val="24"/>
                <w:szCs w:val="24"/>
                <w:highlight w:val="none"/>
                <w:lang w:val="en-US" w:eastAsia="zh-CN" w:bidi="ar-SA"/>
              </w:rPr>
              <w:t>t/a</w:t>
            </w:r>
          </w:p>
          <w:p w14:paraId="74E2EF8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c.氮氧化物排放量</w:t>
            </w:r>
          </w:p>
          <w:p w14:paraId="7501182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center"/>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drawing>
                <wp:inline distT="0" distB="0" distL="114300" distR="114300">
                  <wp:extent cx="2766060" cy="784860"/>
                  <wp:effectExtent l="0" t="0" r="15240" b="15240"/>
                  <wp:docPr id="40" name="图片 40"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图片3"/>
                          <pic:cNvPicPr>
                            <a:picLocks noChangeAspect="1"/>
                          </pic:cNvPicPr>
                        </pic:nvPicPr>
                        <pic:blipFill>
                          <a:blip r:embed="rId17"/>
                          <a:stretch>
                            <a:fillRect/>
                          </a:stretch>
                        </pic:blipFill>
                        <pic:spPr>
                          <a:xfrm>
                            <a:off x="0" y="0"/>
                            <a:ext cx="2766060" cy="784860"/>
                          </a:xfrm>
                          <a:prstGeom prst="rect">
                            <a:avLst/>
                          </a:prstGeom>
                        </pic:spPr>
                      </pic:pic>
                    </a:graphicData>
                  </a:graphic>
                </wp:inline>
              </w:drawing>
            </w:r>
          </w:p>
          <w:p w14:paraId="1D54FE5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式中：E</w:t>
            </w:r>
            <w:r>
              <w:rPr>
                <w:rFonts w:hint="eastAsia" w:ascii="Times New Roman" w:hAnsi="Times New Roman" w:eastAsia="宋体" w:cs="Times New Roman"/>
                <w:color w:val="auto"/>
                <w:kern w:val="0"/>
                <w:sz w:val="24"/>
                <w:szCs w:val="24"/>
                <w:highlight w:val="none"/>
                <w:vertAlign w:val="subscript"/>
                <w:lang w:val="en-US" w:eastAsia="zh-CN" w:bidi="ar-SA"/>
              </w:rPr>
              <w:t>NOx</w:t>
            </w:r>
            <w:r>
              <w:rPr>
                <w:rFonts w:hint="eastAsia" w:ascii="Times New Roman" w:hAnsi="Times New Roman" w:eastAsia="宋体" w:cs="Times New Roman"/>
                <w:color w:val="auto"/>
                <w:kern w:val="0"/>
                <w:sz w:val="24"/>
                <w:szCs w:val="24"/>
                <w:highlight w:val="none"/>
                <w:lang w:val="en-US" w:eastAsia="zh-CN" w:bidi="ar-SA"/>
              </w:rPr>
              <w:t>——核算时段内氮氧化物排放量，t；</w:t>
            </w:r>
          </w:p>
          <w:p w14:paraId="2A57254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ρ</w:t>
            </w:r>
            <w:r>
              <w:rPr>
                <w:rFonts w:hint="default" w:ascii="Times New Roman" w:hAnsi="Times New Roman" w:eastAsia="宋体" w:cs="Times New Roman"/>
                <w:color w:val="auto"/>
                <w:kern w:val="0"/>
                <w:sz w:val="24"/>
                <w:szCs w:val="24"/>
                <w:highlight w:val="none"/>
                <w:vertAlign w:val="subscript"/>
                <w:lang w:val="en-US" w:eastAsia="zh-CN" w:bidi="ar-SA"/>
              </w:rPr>
              <w:t>NOx</w:t>
            </w:r>
            <w:r>
              <w:rPr>
                <w:rFonts w:hint="eastAsia" w:ascii="Times New Roman" w:hAnsi="Times New Roman" w:eastAsia="宋体" w:cs="Times New Roman"/>
                <w:color w:val="auto"/>
                <w:kern w:val="0"/>
                <w:sz w:val="24"/>
                <w:szCs w:val="24"/>
                <w:highlight w:val="none"/>
                <w:lang w:val="en-US" w:eastAsia="zh-CN" w:bidi="ar-SA"/>
              </w:rPr>
              <w:t>——锅炉炉膛出口氮氧化物质量浓</w:t>
            </w:r>
            <w:r>
              <w:rPr>
                <w:rFonts w:hint="eastAsia" w:ascii="Times New Roman" w:hAnsi="Times New Roman" w:eastAsia="宋体" w:cs="Times New Roman"/>
                <w:color w:val="auto"/>
                <w:sz w:val="24"/>
                <w:szCs w:val="24"/>
                <w:highlight w:val="none"/>
                <w:lang w:val="en-US" w:eastAsia="zh-CN"/>
              </w:rPr>
              <w:t>度，</w:t>
            </w:r>
            <w:r>
              <w:rPr>
                <w:rFonts w:hint="eastAsia" w:ascii="Times New Roman" w:hAnsi="Times New Roman" w:eastAsia="宋体" w:cs="Times New Roman"/>
                <w:color w:val="auto"/>
                <w:sz w:val="24"/>
                <w:szCs w:val="24"/>
                <w:highlight w:val="none"/>
                <w:lang w:val="en-US" w:eastAsia="zh-CN"/>
              </w:rPr>
              <w:t>参考《克山县长明食品贸易有限公司甜玉米生产加工建设项目竣工</w:t>
            </w:r>
            <w:r>
              <w:rPr>
                <w:rFonts w:hint="eastAsia" w:ascii="Times New Roman" w:hAnsi="Times New Roman" w:eastAsia="宋体"/>
                <w:color w:val="auto"/>
                <w:sz w:val="24"/>
                <w:szCs w:val="24"/>
                <w:highlight w:val="none"/>
                <w:lang w:val="en-US" w:eastAsia="zh-CN"/>
              </w:rPr>
              <w:t>环境保护验收监测报告表》中</w:t>
            </w:r>
            <w:r>
              <w:rPr>
                <w:rFonts w:hint="eastAsia" w:ascii="Times New Roman" w:hAnsi="Times New Roman"/>
                <w:color w:val="auto"/>
                <w:sz w:val="24"/>
                <w:szCs w:val="24"/>
                <w:highlight w:val="none"/>
                <w:lang w:val="en-US" w:eastAsia="zh-CN"/>
              </w:rPr>
              <w:t>4t/h</w:t>
            </w:r>
            <w:r>
              <w:rPr>
                <w:rFonts w:hint="eastAsia" w:ascii="Times New Roman" w:hAnsi="Times New Roman" w:eastAsia="宋体"/>
                <w:color w:val="auto"/>
                <w:sz w:val="24"/>
                <w:szCs w:val="24"/>
                <w:highlight w:val="none"/>
                <w:lang w:val="en-US" w:eastAsia="zh-CN"/>
              </w:rPr>
              <w:t>生物质锅炉氮氧化物烟囱出口监测浓度为86-101</w:t>
            </w:r>
            <w:r>
              <w:rPr>
                <w:rFonts w:hint="eastAsia" w:ascii="Times New Roman" w:hAnsi="Times New Roman" w:eastAsia="宋体"/>
                <w:color w:val="auto"/>
                <w:sz w:val="24"/>
                <w:szCs w:val="24"/>
                <w:highlight w:val="none"/>
              </w:rPr>
              <w:t>mg/m</w:t>
            </w:r>
            <w:r>
              <w:rPr>
                <w:rFonts w:hint="eastAsia" w:ascii="Times New Roman" w:hAnsi="Times New Roman" w:eastAsia="宋体"/>
                <w:color w:val="auto"/>
                <w:sz w:val="24"/>
                <w:szCs w:val="24"/>
                <w:highlight w:val="none"/>
                <w:vertAlign w:val="superscript"/>
              </w:rPr>
              <w:t>3</w:t>
            </w:r>
            <w:r>
              <w:rPr>
                <w:rFonts w:hint="eastAsia"/>
                <w:color w:val="auto"/>
                <w:sz w:val="24"/>
                <w:szCs w:val="24"/>
                <w:highlight w:val="none"/>
                <w:vertAlign w:val="baseline"/>
                <w:lang w:eastAsia="zh-CN"/>
              </w:rPr>
              <w:t>，</w:t>
            </w:r>
            <w:r>
              <w:rPr>
                <w:rFonts w:hint="eastAsia"/>
                <w:color w:val="auto"/>
                <w:sz w:val="24"/>
                <w:szCs w:val="24"/>
                <w:highlight w:val="none"/>
                <w:vertAlign w:val="baseline"/>
                <w:lang w:val="en-US" w:eastAsia="zh-CN"/>
              </w:rPr>
              <w:t>本项目取</w:t>
            </w:r>
            <w:r>
              <w:rPr>
                <w:rFonts w:hint="eastAsia"/>
                <w:color w:val="auto"/>
                <w:sz w:val="24"/>
                <w:szCs w:val="24"/>
                <w:highlight w:val="none"/>
                <w:lang w:val="en-US" w:eastAsia="zh-CN"/>
              </w:rPr>
              <w:t>101mg/m</w:t>
            </w:r>
            <w:r>
              <w:rPr>
                <w:rFonts w:hint="eastAsia"/>
                <w:color w:val="auto"/>
                <w:sz w:val="24"/>
                <w:szCs w:val="24"/>
                <w:highlight w:val="none"/>
                <w:vertAlign w:val="superscript"/>
                <w:lang w:val="en-US" w:eastAsia="zh-CN"/>
              </w:rPr>
              <w:t>3</w:t>
            </w:r>
            <w:r>
              <w:rPr>
                <w:rFonts w:hint="eastAsia" w:ascii="Times New Roman" w:hAnsi="Times New Roman" w:eastAsia="宋体" w:cs="Times New Roman"/>
                <w:color w:val="auto"/>
                <w:kern w:val="0"/>
                <w:sz w:val="24"/>
                <w:szCs w:val="24"/>
                <w:highlight w:val="none"/>
                <w:lang w:val="en-US" w:eastAsia="zh-CN" w:bidi="ar-SA"/>
              </w:rPr>
              <w:t>；</w:t>
            </w:r>
          </w:p>
          <w:p w14:paraId="6DEC02E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Q——核算时段内标态干烟气排放量，</w:t>
            </w:r>
            <w:r>
              <w:rPr>
                <w:rFonts w:hint="eastAsia" w:cs="Times New Roman"/>
                <w:color w:val="auto"/>
                <w:kern w:val="0"/>
                <w:sz w:val="24"/>
                <w:szCs w:val="24"/>
                <w:highlight w:val="none"/>
                <w:lang w:val="en-US" w:eastAsia="zh-CN" w:bidi="ar-SA"/>
              </w:rPr>
              <w:t>4692594.816</w:t>
            </w:r>
            <w:r>
              <w:rPr>
                <w:rFonts w:hint="eastAsia" w:ascii="Times New Roman" w:hAnsi="Times New Roman" w:eastAsia="宋体" w:cs="Times New Roman"/>
                <w:color w:val="auto"/>
                <w:kern w:val="0"/>
                <w:sz w:val="24"/>
                <w:szCs w:val="24"/>
                <w:highlight w:val="none"/>
                <w:lang w:val="en-US" w:eastAsia="zh-CN" w:bidi="ar-SA"/>
              </w:rPr>
              <w:t>m</w:t>
            </w:r>
            <w:r>
              <w:rPr>
                <w:rFonts w:hint="eastAsia" w:ascii="Times New Roman" w:hAnsi="Times New Roman" w:eastAsia="宋体" w:cs="Times New Roman"/>
                <w:color w:val="auto"/>
                <w:kern w:val="0"/>
                <w:sz w:val="24"/>
                <w:szCs w:val="24"/>
                <w:highlight w:val="none"/>
                <w:vertAlign w:val="superscript"/>
                <w:lang w:val="en-US" w:eastAsia="zh-CN" w:bidi="ar-SA"/>
              </w:rPr>
              <w:t>3</w:t>
            </w:r>
            <w:r>
              <w:rPr>
                <w:rFonts w:hint="eastAsia" w:ascii="Times New Roman" w:hAnsi="Times New Roman" w:eastAsia="宋体" w:cs="Times New Roman"/>
                <w:color w:val="auto"/>
                <w:kern w:val="0"/>
                <w:sz w:val="24"/>
                <w:szCs w:val="24"/>
                <w:highlight w:val="none"/>
                <w:lang w:val="en-US" w:eastAsia="zh-CN" w:bidi="ar-SA"/>
              </w:rPr>
              <w:t>；</w:t>
            </w:r>
          </w:p>
          <w:p w14:paraId="4BA8A53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η</w:t>
            </w:r>
            <w:r>
              <w:rPr>
                <w:rFonts w:hint="eastAsia" w:ascii="Times New Roman" w:hAnsi="Times New Roman" w:eastAsia="宋体" w:cs="Times New Roman"/>
                <w:color w:val="auto"/>
                <w:kern w:val="0"/>
                <w:sz w:val="24"/>
                <w:szCs w:val="24"/>
                <w:highlight w:val="none"/>
                <w:vertAlign w:val="subscript"/>
                <w:lang w:val="en-US" w:eastAsia="zh-CN" w:bidi="ar-SA"/>
              </w:rPr>
              <w:t>NOx</w:t>
            </w:r>
            <w:r>
              <w:rPr>
                <w:rFonts w:hint="eastAsia" w:ascii="Times New Roman" w:hAnsi="Times New Roman" w:eastAsia="宋体" w:cs="Times New Roman"/>
                <w:color w:val="auto"/>
                <w:kern w:val="0"/>
                <w:sz w:val="24"/>
                <w:szCs w:val="24"/>
                <w:highlight w:val="none"/>
                <w:lang w:val="en-US" w:eastAsia="zh-CN" w:bidi="ar-SA"/>
              </w:rPr>
              <w:t>——脱硝效率，0%。</w:t>
            </w:r>
          </w:p>
          <w:p w14:paraId="49FF5A4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E</w:t>
            </w:r>
            <w:r>
              <w:rPr>
                <w:rFonts w:hint="eastAsia" w:ascii="Times New Roman" w:hAnsi="Times New Roman" w:eastAsia="宋体" w:cs="Times New Roman"/>
                <w:color w:val="auto"/>
                <w:kern w:val="0"/>
                <w:sz w:val="24"/>
                <w:szCs w:val="24"/>
                <w:highlight w:val="none"/>
                <w:vertAlign w:val="subscript"/>
                <w:lang w:val="en-US" w:eastAsia="zh-CN" w:bidi="ar-SA"/>
              </w:rPr>
              <w:t>NOx</w:t>
            </w:r>
            <w:r>
              <w:rPr>
                <w:rFonts w:hint="eastAsia" w:ascii="Times New Roman" w:hAnsi="Times New Roman" w:eastAsia="宋体" w:cs="Times New Roman"/>
                <w:color w:val="auto"/>
                <w:kern w:val="0"/>
                <w:sz w:val="24"/>
                <w:szCs w:val="24"/>
                <w:highlight w:val="none"/>
                <w:lang w:val="en-US" w:eastAsia="zh-CN" w:bidi="ar-SA"/>
              </w:rPr>
              <w:t>=</w:t>
            </w:r>
            <w:r>
              <w:rPr>
                <w:rFonts w:hint="eastAsia" w:cs="Times New Roman"/>
                <w:color w:val="auto"/>
                <w:kern w:val="0"/>
                <w:sz w:val="24"/>
                <w:szCs w:val="24"/>
                <w:highlight w:val="none"/>
                <w:lang w:val="en-US" w:eastAsia="zh-CN" w:bidi="ar-SA"/>
              </w:rPr>
              <w:t>101</w:t>
            </w:r>
            <w:r>
              <w:rPr>
                <w:rFonts w:hint="eastAsia" w:ascii="Times New Roman" w:hAnsi="Times New Roman" w:eastAsia="宋体" w:cs="Times New Roman"/>
                <w:color w:val="auto"/>
                <w:kern w:val="0"/>
                <w:sz w:val="24"/>
                <w:szCs w:val="24"/>
                <w:highlight w:val="none"/>
                <w:lang w:val="en-US" w:eastAsia="zh-CN" w:bidi="ar-SA"/>
              </w:rPr>
              <w:t>×</w:t>
            </w:r>
            <w:r>
              <w:rPr>
                <w:rFonts w:hint="eastAsia" w:cs="Times New Roman"/>
                <w:color w:val="auto"/>
                <w:kern w:val="0"/>
                <w:sz w:val="24"/>
                <w:szCs w:val="24"/>
                <w:highlight w:val="none"/>
                <w:lang w:val="en-US" w:eastAsia="zh-CN" w:bidi="ar-SA"/>
              </w:rPr>
              <w:t>4692594.816</w:t>
            </w:r>
            <w:r>
              <w:rPr>
                <w:rFonts w:hint="eastAsia" w:ascii="Times New Roman" w:hAnsi="Times New Roman" w:eastAsia="宋体" w:cs="Times New Roman"/>
                <w:color w:val="auto"/>
                <w:kern w:val="0"/>
                <w:sz w:val="24"/>
                <w:szCs w:val="24"/>
                <w:highlight w:val="none"/>
                <w:lang w:val="en-US" w:eastAsia="zh-CN" w:bidi="ar-SA"/>
              </w:rPr>
              <w:t>×10</w:t>
            </w:r>
            <w:r>
              <w:rPr>
                <w:rFonts w:hint="eastAsia" w:ascii="Times New Roman" w:hAnsi="Times New Roman" w:eastAsia="宋体" w:cs="Times New Roman"/>
                <w:color w:val="auto"/>
                <w:kern w:val="0"/>
                <w:sz w:val="24"/>
                <w:szCs w:val="24"/>
                <w:highlight w:val="none"/>
                <w:vertAlign w:val="superscript"/>
                <w:lang w:val="en-US" w:eastAsia="zh-CN" w:bidi="ar-SA"/>
              </w:rPr>
              <w:t>-9</w:t>
            </w:r>
            <w:r>
              <w:rPr>
                <w:rFonts w:hint="eastAsia" w:ascii="Times New Roman" w:hAnsi="Times New Roman" w:eastAsia="宋体" w:cs="Times New Roman"/>
                <w:color w:val="auto"/>
                <w:kern w:val="0"/>
                <w:sz w:val="24"/>
                <w:szCs w:val="24"/>
                <w:highlight w:val="none"/>
                <w:lang w:val="en-US" w:eastAsia="zh-CN" w:bidi="ar-SA"/>
              </w:rPr>
              <w:t>=</w:t>
            </w:r>
            <w:r>
              <w:rPr>
                <w:rFonts w:hint="eastAsia" w:cs="Times New Roman"/>
                <w:color w:val="auto"/>
                <w:kern w:val="0"/>
                <w:sz w:val="24"/>
                <w:szCs w:val="24"/>
                <w:highlight w:val="none"/>
                <w:lang w:val="en-US" w:eastAsia="zh-CN" w:bidi="ar-SA"/>
              </w:rPr>
              <w:t>0.474</w:t>
            </w:r>
            <w:r>
              <w:rPr>
                <w:rFonts w:hint="eastAsia" w:ascii="Times New Roman" w:hAnsi="Times New Roman" w:eastAsia="宋体" w:cs="Times New Roman"/>
                <w:color w:val="auto"/>
                <w:kern w:val="0"/>
                <w:sz w:val="24"/>
                <w:szCs w:val="24"/>
                <w:highlight w:val="none"/>
                <w:lang w:val="en-US" w:eastAsia="zh-CN" w:bidi="ar-SA"/>
              </w:rPr>
              <w:t>t/a</w:t>
            </w:r>
          </w:p>
          <w:p w14:paraId="4B8EF56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d.汞及其化合物</w:t>
            </w:r>
          </w:p>
          <w:p w14:paraId="6B54CD1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生物质分析报告中未体现汞含量，根据《直接法测定固体生物质燃料中汞的试验研究》（煤质技术，2020年）可知，生物质汞含量为15.47ng/g。由于生物质汞含量极低的特点，本项目暂不考虑汞的排放。</w:t>
            </w:r>
          </w:p>
          <w:p w14:paraId="67872F1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color w:val="auto"/>
                <w:lang w:val="en-US" w:eastAsia="zh-CN"/>
              </w:rPr>
            </w:pPr>
            <w:r>
              <w:rPr>
                <w:rFonts w:hint="eastAsia" w:ascii="Times New Roman" w:hAnsi="Times New Roman" w:eastAsia="宋体" w:cs="Times New Roman"/>
                <w:color w:val="auto"/>
                <w:kern w:val="0"/>
                <w:sz w:val="24"/>
                <w:szCs w:val="24"/>
                <w:highlight w:val="none"/>
                <w:lang w:val="en-US" w:eastAsia="zh-CN" w:bidi="ar-SA"/>
              </w:rPr>
              <w:t>本项目废气污染源源强核算结果及相关参数见表4-</w:t>
            </w:r>
            <w:r>
              <w:rPr>
                <w:rFonts w:hint="eastAsia" w:cs="Times New Roman"/>
                <w:color w:val="auto"/>
                <w:kern w:val="0"/>
                <w:sz w:val="24"/>
                <w:szCs w:val="24"/>
                <w:highlight w:val="none"/>
                <w:lang w:val="en-US" w:eastAsia="zh-CN" w:bidi="ar-SA"/>
              </w:rPr>
              <w:t>2</w:t>
            </w:r>
            <w:r>
              <w:rPr>
                <w:rFonts w:hint="eastAsia" w:ascii="Times New Roman" w:hAnsi="Times New Roman" w:eastAsia="宋体" w:cs="Times New Roman"/>
                <w:color w:val="auto"/>
                <w:kern w:val="0"/>
                <w:sz w:val="24"/>
                <w:szCs w:val="24"/>
                <w:highlight w:val="none"/>
                <w:lang w:val="en-US" w:eastAsia="zh-CN" w:bidi="ar-SA"/>
              </w:rPr>
              <w:t>，污染物排放量核算表见表4-</w:t>
            </w:r>
            <w:r>
              <w:rPr>
                <w:rFonts w:hint="eastAsia" w:cs="Times New Roman"/>
                <w:color w:val="auto"/>
                <w:kern w:val="0"/>
                <w:sz w:val="24"/>
                <w:szCs w:val="24"/>
                <w:highlight w:val="none"/>
                <w:lang w:val="en-US" w:eastAsia="zh-CN" w:bidi="ar-SA"/>
              </w:rPr>
              <w:t>3、4-4、4-5</w:t>
            </w:r>
            <w:r>
              <w:rPr>
                <w:rFonts w:hint="eastAsia" w:ascii="Times New Roman" w:hAnsi="Times New Roman" w:eastAsia="宋体" w:cs="Times New Roman"/>
                <w:color w:val="auto"/>
                <w:kern w:val="0"/>
                <w:sz w:val="24"/>
                <w:szCs w:val="24"/>
                <w:highlight w:val="none"/>
                <w:lang w:val="en-US" w:eastAsia="zh-CN" w:bidi="ar-SA"/>
              </w:rPr>
              <w:t>。</w:t>
            </w:r>
          </w:p>
          <w:p w14:paraId="06387F2C">
            <w:pPr>
              <w:pStyle w:val="12"/>
              <w:keepNext w:val="0"/>
              <w:keepLines w:val="0"/>
              <w:pageBreakBefore w:val="0"/>
              <w:suppressLineNumbers w:val="0"/>
              <w:wordWrap/>
              <w:bidi w:val="0"/>
              <w:spacing w:before="0" w:beforeAutospacing="0" w:after="0" w:afterAutospacing="0" w:line="240" w:lineRule="auto"/>
              <w:ind w:left="0" w:leftChars="0" w:right="0"/>
              <w:jc w:val="center"/>
              <w:rPr>
                <w:rFonts w:hint="default" w:ascii="Times New Roman" w:hAnsi="Times New Roman" w:cs="Times New Roman" w:eastAsiaTheme="minorEastAsia"/>
                <w:b/>
                <w:bCs/>
                <w:color w:val="auto"/>
                <w:kern w:val="2"/>
                <w:sz w:val="21"/>
                <w:szCs w:val="24"/>
                <w:highlight w:val="none"/>
                <w:lang w:val="en-US" w:eastAsia="zh-CN" w:bidi="ar-SA"/>
              </w:rPr>
            </w:pPr>
            <w:r>
              <w:rPr>
                <w:rFonts w:hint="eastAsia" w:ascii="Times New Roman" w:hAnsi="Times New Roman" w:cs="Times New Roman" w:eastAsiaTheme="minorEastAsia"/>
                <w:b/>
                <w:bCs/>
                <w:color w:val="auto"/>
                <w:kern w:val="2"/>
                <w:sz w:val="21"/>
                <w:szCs w:val="24"/>
                <w:highlight w:val="none"/>
                <w:lang w:val="en-US" w:eastAsia="zh-CN" w:bidi="ar-SA"/>
              </w:rPr>
              <w:t>表4-</w:t>
            </w:r>
            <w:r>
              <w:rPr>
                <w:rFonts w:hint="eastAsia" w:cs="Times New Roman" w:eastAsiaTheme="minorEastAsia"/>
                <w:b/>
                <w:bCs/>
                <w:color w:val="auto"/>
                <w:kern w:val="2"/>
                <w:sz w:val="21"/>
                <w:szCs w:val="24"/>
                <w:highlight w:val="none"/>
                <w:lang w:val="en-US" w:eastAsia="zh-CN" w:bidi="ar-SA"/>
              </w:rPr>
              <w:t xml:space="preserve">2  </w:t>
            </w:r>
            <w:r>
              <w:rPr>
                <w:rFonts w:hint="eastAsia" w:ascii="Times New Roman" w:hAnsi="Times New Roman" w:cs="Times New Roman" w:eastAsiaTheme="minorEastAsia"/>
                <w:b/>
                <w:bCs/>
                <w:color w:val="auto"/>
                <w:kern w:val="2"/>
                <w:sz w:val="21"/>
                <w:szCs w:val="24"/>
                <w:highlight w:val="none"/>
                <w:lang w:val="en-US" w:eastAsia="zh-CN" w:bidi="ar-SA"/>
              </w:rPr>
              <w:t>废气污染源源强核算结果及相关参数一览表</w:t>
            </w:r>
          </w:p>
          <w:tbl>
            <w:tblPr>
              <w:tblStyle w:val="31"/>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2"/>
              <w:gridCol w:w="378"/>
              <w:gridCol w:w="710"/>
              <w:gridCol w:w="589"/>
              <w:gridCol w:w="417"/>
              <w:gridCol w:w="626"/>
              <w:gridCol w:w="666"/>
              <w:gridCol w:w="690"/>
              <w:gridCol w:w="577"/>
              <w:gridCol w:w="644"/>
              <w:gridCol w:w="580"/>
              <w:gridCol w:w="656"/>
              <w:gridCol w:w="695"/>
              <w:gridCol w:w="545"/>
            </w:tblGrid>
            <w:tr w14:paraId="403E87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8" w:type="pct"/>
                  <w:vMerge w:val="restart"/>
                  <w:noWrap w:val="0"/>
                  <w:vAlign w:val="center"/>
                </w:tcPr>
                <w:p w14:paraId="3FB3E273">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r>
                    <w:rPr>
                      <w:rFonts w:hint="default"/>
                      <w:color w:val="auto"/>
                      <w:spacing w:val="-10"/>
                      <w:kern w:val="0"/>
                      <w:sz w:val="18"/>
                      <w:szCs w:val="18"/>
                      <w:highlight w:val="none"/>
                    </w:rPr>
                    <w:t>工序</w:t>
                  </w:r>
                </w:p>
              </w:tc>
              <w:tc>
                <w:tcPr>
                  <w:tcW w:w="232" w:type="pct"/>
                  <w:vMerge w:val="restart"/>
                  <w:noWrap w:val="0"/>
                  <w:vAlign w:val="center"/>
                </w:tcPr>
                <w:p w14:paraId="1CF49544">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r>
                    <w:rPr>
                      <w:rFonts w:hint="default"/>
                      <w:color w:val="auto"/>
                      <w:spacing w:val="-10"/>
                      <w:sz w:val="18"/>
                      <w:szCs w:val="18"/>
                      <w:highlight w:val="none"/>
                    </w:rPr>
                    <w:t>装置</w:t>
                  </w:r>
                </w:p>
              </w:tc>
              <w:tc>
                <w:tcPr>
                  <w:tcW w:w="435" w:type="pct"/>
                  <w:vMerge w:val="restart"/>
                  <w:noWrap w:val="0"/>
                  <w:vAlign w:val="center"/>
                </w:tcPr>
                <w:p w14:paraId="2552C3A5">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r>
                    <w:rPr>
                      <w:rFonts w:hint="default"/>
                      <w:color w:val="auto"/>
                      <w:spacing w:val="-10"/>
                      <w:sz w:val="18"/>
                      <w:szCs w:val="18"/>
                      <w:highlight w:val="none"/>
                    </w:rPr>
                    <w:t>污染源</w:t>
                  </w:r>
                </w:p>
              </w:tc>
              <w:tc>
                <w:tcPr>
                  <w:tcW w:w="361" w:type="pct"/>
                  <w:vMerge w:val="restart"/>
                  <w:noWrap w:val="0"/>
                  <w:vAlign w:val="center"/>
                </w:tcPr>
                <w:p w14:paraId="695FD454">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r>
                    <w:rPr>
                      <w:rFonts w:hint="default"/>
                      <w:color w:val="auto"/>
                      <w:spacing w:val="-10"/>
                      <w:kern w:val="0"/>
                      <w:sz w:val="18"/>
                      <w:szCs w:val="18"/>
                      <w:highlight w:val="none"/>
                    </w:rPr>
                    <w:t>污染物</w:t>
                  </w:r>
                </w:p>
              </w:tc>
              <w:tc>
                <w:tcPr>
                  <w:tcW w:w="1472" w:type="pct"/>
                  <w:gridSpan w:val="4"/>
                  <w:noWrap w:val="0"/>
                  <w:vAlign w:val="center"/>
                </w:tcPr>
                <w:p w14:paraId="35ADBFD0">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r>
                    <w:rPr>
                      <w:rFonts w:hint="default"/>
                      <w:color w:val="auto"/>
                      <w:spacing w:val="-10"/>
                      <w:kern w:val="0"/>
                      <w:sz w:val="18"/>
                      <w:szCs w:val="18"/>
                      <w:highlight w:val="none"/>
                    </w:rPr>
                    <w:t>污染物产生</w:t>
                  </w:r>
                </w:p>
              </w:tc>
              <w:tc>
                <w:tcPr>
                  <w:tcW w:w="749" w:type="pct"/>
                  <w:gridSpan w:val="2"/>
                  <w:noWrap w:val="0"/>
                  <w:vAlign w:val="center"/>
                </w:tcPr>
                <w:p w14:paraId="113BB4C6">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r>
                    <w:rPr>
                      <w:rFonts w:hint="default"/>
                      <w:color w:val="auto"/>
                      <w:spacing w:val="-10"/>
                      <w:kern w:val="0"/>
                      <w:sz w:val="18"/>
                      <w:szCs w:val="18"/>
                      <w:highlight w:val="none"/>
                    </w:rPr>
                    <w:t>治理措施</w:t>
                  </w:r>
                </w:p>
              </w:tc>
              <w:tc>
                <w:tcPr>
                  <w:tcW w:w="1185" w:type="pct"/>
                  <w:gridSpan w:val="3"/>
                  <w:noWrap w:val="0"/>
                  <w:vAlign w:val="center"/>
                </w:tcPr>
                <w:p w14:paraId="698AD2CA">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r>
                    <w:rPr>
                      <w:rFonts w:hint="default"/>
                      <w:color w:val="auto"/>
                      <w:spacing w:val="-10"/>
                      <w:kern w:val="0"/>
                      <w:sz w:val="18"/>
                      <w:szCs w:val="18"/>
                      <w:highlight w:val="none"/>
                    </w:rPr>
                    <w:t>污染物排放</w:t>
                  </w:r>
                </w:p>
              </w:tc>
              <w:tc>
                <w:tcPr>
                  <w:tcW w:w="334" w:type="pct"/>
                  <w:vMerge w:val="restart"/>
                  <w:noWrap w:val="0"/>
                  <w:vAlign w:val="center"/>
                </w:tcPr>
                <w:p w14:paraId="4B9367F3">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kern w:val="0"/>
                      <w:sz w:val="18"/>
                      <w:szCs w:val="18"/>
                      <w:highlight w:val="none"/>
                    </w:rPr>
                  </w:pPr>
                  <w:r>
                    <w:rPr>
                      <w:rFonts w:hint="default"/>
                      <w:color w:val="auto"/>
                      <w:spacing w:val="-10"/>
                      <w:kern w:val="0"/>
                      <w:sz w:val="18"/>
                      <w:szCs w:val="18"/>
                      <w:highlight w:val="none"/>
                    </w:rPr>
                    <w:t>排放时间/h</w:t>
                  </w:r>
                </w:p>
              </w:tc>
            </w:tr>
            <w:tr w14:paraId="6CF8C6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8" w:type="pct"/>
                  <w:vMerge w:val="continue"/>
                  <w:noWrap w:val="0"/>
                  <w:vAlign w:val="center"/>
                </w:tcPr>
                <w:p w14:paraId="1D5F515D">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p>
              </w:tc>
              <w:tc>
                <w:tcPr>
                  <w:tcW w:w="232" w:type="pct"/>
                  <w:vMerge w:val="continue"/>
                  <w:noWrap w:val="0"/>
                  <w:vAlign w:val="center"/>
                </w:tcPr>
                <w:p w14:paraId="176894C0">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p>
              </w:tc>
              <w:tc>
                <w:tcPr>
                  <w:tcW w:w="435" w:type="pct"/>
                  <w:vMerge w:val="continue"/>
                  <w:noWrap w:val="0"/>
                  <w:vAlign w:val="center"/>
                </w:tcPr>
                <w:p w14:paraId="27B8998C">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p>
              </w:tc>
              <w:tc>
                <w:tcPr>
                  <w:tcW w:w="361" w:type="pct"/>
                  <w:vMerge w:val="continue"/>
                  <w:noWrap w:val="0"/>
                  <w:vAlign w:val="center"/>
                </w:tcPr>
                <w:p w14:paraId="40349F7B">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p>
              </w:tc>
              <w:tc>
                <w:tcPr>
                  <w:tcW w:w="255" w:type="pct"/>
                  <w:noWrap w:val="0"/>
                  <w:vAlign w:val="center"/>
                </w:tcPr>
                <w:p w14:paraId="5B6A3605">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kern w:val="0"/>
                      <w:sz w:val="18"/>
                      <w:szCs w:val="18"/>
                      <w:highlight w:val="none"/>
                    </w:rPr>
                  </w:pPr>
                  <w:r>
                    <w:rPr>
                      <w:rFonts w:hint="default"/>
                      <w:color w:val="auto"/>
                      <w:spacing w:val="-10"/>
                      <w:kern w:val="0"/>
                      <w:sz w:val="18"/>
                      <w:szCs w:val="18"/>
                      <w:highlight w:val="none"/>
                    </w:rPr>
                    <w:t>核算</w:t>
                  </w:r>
                </w:p>
                <w:p w14:paraId="4B8AEF17">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r>
                    <w:rPr>
                      <w:rFonts w:hint="default"/>
                      <w:color w:val="auto"/>
                      <w:spacing w:val="-10"/>
                      <w:kern w:val="0"/>
                      <w:sz w:val="18"/>
                      <w:szCs w:val="18"/>
                      <w:highlight w:val="none"/>
                    </w:rPr>
                    <w:t>方法</w:t>
                  </w:r>
                </w:p>
              </w:tc>
              <w:tc>
                <w:tcPr>
                  <w:tcW w:w="384" w:type="pct"/>
                  <w:noWrap w:val="0"/>
                  <w:vAlign w:val="center"/>
                </w:tcPr>
                <w:p w14:paraId="27BFD54D">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r>
                    <w:rPr>
                      <w:rFonts w:hint="default"/>
                      <w:color w:val="auto"/>
                      <w:spacing w:val="-10"/>
                      <w:kern w:val="0"/>
                      <w:sz w:val="18"/>
                      <w:szCs w:val="18"/>
                      <w:highlight w:val="none"/>
                    </w:rPr>
                    <w:t>产生废气量m</w:t>
                  </w:r>
                  <w:r>
                    <w:rPr>
                      <w:rFonts w:hint="default"/>
                      <w:color w:val="auto"/>
                      <w:spacing w:val="-10"/>
                      <w:kern w:val="0"/>
                      <w:sz w:val="18"/>
                      <w:szCs w:val="18"/>
                      <w:highlight w:val="none"/>
                      <w:vertAlign w:val="superscript"/>
                    </w:rPr>
                    <w:t>3</w:t>
                  </w:r>
                  <w:r>
                    <w:rPr>
                      <w:rFonts w:hint="default"/>
                      <w:color w:val="auto"/>
                      <w:spacing w:val="-10"/>
                      <w:kern w:val="0"/>
                      <w:sz w:val="18"/>
                      <w:szCs w:val="18"/>
                      <w:highlight w:val="none"/>
                    </w:rPr>
                    <w:t>/h</w:t>
                  </w:r>
                </w:p>
              </w:tc>
              <w:tc>
                <w:tcPr>
                  <w:tcW w:w="408" w:type="pct"/>
                  <w:noWrap w:val="0"/>
                  <w:vAlign w:val="center"/>
                </w:tcPr>
                <w:p w14:paraId="323966D6">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r>
                    <w:rPr>
                      <w:rFonts w:hint="default"/>
                      <w:color w:val="auto"/>
                      <w:spacing w:val="-10"/>
                      <w:kern w:val="0"/>
                      <w:sz w:val="18"/>
                      <w:szCs w:val="18"/>
                      <w:highlight w:val="none"/>
                    </w:rPr>
                    <w:t>产生浓度mg/m</w:t>
                  </w:r>
                  <w:r>
                    <w:rPr>
                      <w:rFonts w:hint="default"/>
                      <w:color w:val="auto"/>
                      <w:spacing w:val="-10"/>
                      <w:kern w:val="0"/>
                      <w:sz w:val="18"/>
                      <w:szCs w:val="18"/>
                      <w:highlight w:val="none"/>
                      <w:vertAlign w:val="superscript"/>
                    </w:rPr>
                    <w:t>3</w:t>
                  </w:r>
                </w:p>
              </w:tc>
              <w:tc>
                <w:tcPr>
                  <w:tcW w:w="423" w:type="pct"/>
                  <w:noWrap w:val="0"/>
                  <w:vAlign w:val="center"/>
                </w:tcPr>
                <w:p w14:paraId="6AF98F06">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r>
                    <w:rPr>
                      <w:rFonts w:hint="default"/>
                      <w:color w:val="auto"/>
                      <w:spacing w:val="-10"/>
                      <w:kern w:val="0"/>
                      <w:sz w:val="18"/>
                      <w:szCs w:val="18"/>
                      <w:highlight w:val="none"/>
                    </w:rPr>
                    <w:t>产生量kg/h</w:t>
                  </w:r>
                </w:p>
              </w:tc>
              <w:tc>
                <w:tcPr>
                  <w:tcW w:w="354" w:type="pct"/>
                  <w:noWrap w:val="0"/>
                  <w:vAlign w:val="center"/>
                </w:tcPr>
                <w:p w14:paraId="62C08613">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r>
                    <w:rPr>
                      <w:rFonts w:hint="default"/>
                      <w:color w:val="auto"/>
                      <w:spacing w:val="-10"/>
                      <w:kern w:val="0"/>
                      <w:sz w:val="18"/>
                      <w:szCs w:val="18"/>
                      <w:highlight w:val="none"/>
                    </w:rPr>
                    <w:t>工艺</w:t>
                  </w:r>
                </w:p>
              </w:tc>
              <w:tc>
                <w:tcPr>
                  <w:tcW w:w="395" w:type="pct"/>
                  <w:noWrap w:val="0"/>
                  <w:vAlign w:val="center"/>
                </w:tcPr>
                <w:p w14:paraId="7CF56326">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r>
                    <w:rPr>
                      <w:rFonts w:hint="default"/>
                      <w:color w:val="auto"/>
                      <w:spacing w:val="-10"/>
                      <w:kern w:val="0"/>
                      <w:sz w:val="18"/>
                      <w:szCs w:val="18"/>
                      <w:highlight w:val="none"/>
                    </w:rPr>
                    <w:t>效率（%）</w:t>
                  </w:r>
                </w:p>
              </w:tc>
              <w:tc>
                <w:tcPr>
                  <w:tcW w:w="356" w:type="pct"/>
                  <w:noWrap w:val="0"/>
                  <w:vAlign w:val="center"/>
                </w:tcPr>
                <w:p w14:paraId="516FB699">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r>
                    <w:rPr>
                      <w:rFonts w:hint="default"/>
                      <w:color w:val="auto"/>
                      <w:spacing w:val="-10"/>
                      <w:kern w:val="0"/>
                      <w:sz w:val="18"/>
                      <w:szCs w:val="18"/>
                      <w:highlight w:val="none"/>
                    </w:rPr>
                    <w:t>排放废气量m</w:t>
                  </w:r>
                  <w:r>
                    <w:rPr>
                      <w:rFonts w:hint="default"/>
                      <w:color w:val="auto"/>
                      <w:spacing w:val="-10"/>
                      <w:kern w:val="0"/>
                      <w:sz w:val="18"/>
                      <w:szCs w:val="18"/>
                      <w:highlight w:val="none"/>
                      <w:vertAlign w:val="superscript"/>
                    </w:rPr>
                    <w:t>3</w:t>
                  </w:r>
                  <w:r>
                    <w:rPr>
                      <w:rFonts w:hint="default"/>
                      <w:color w:val="auto"/>
                      <w:spacing w:val="-10"/>
                      <w:kern w:val="0"/>
                      <w:sz w:val="18"/>
                      <w:szCs w:val="18"/>
                      <w:highlight w:val="none"/>
                    </w:rPr>
                    <w:t>/h</w:t>
                  </w:r>
                </w:p>
              </w:tc>
              <w:tc>
                <w:tcPr>
                  <w:tcW w:w="402" w:type="pct"/>
                  <w:noWrap w:val="0"/>
                  <w:vAlign w:val="center"/>
                </w:tcPr>
                <w:p w14:paraId="36EDEA6D">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r>
                    <w:rPr>
                      <w:rFonts w:hint="default"/>
                      <w:color w:val="auto"/>
                      <w:spacing w:val="-10"/>
                      <w:kern w:val="0"/>
                      <w:sz w:val="18"/>
                      <w:szCs w:val="18"/>
                      <w:highlight w:val="none"/>
                    </w:rPr>
                    <w:t>排放浓度mg/m</w:t>
                  </w:r>
                  <w:r>
                    <w:rPr>
                      <w:rFonts w:hint="default"/>
                      <w:color w:val="auto"/>
                      <w:spacing w:val="-10"/>
                      <w:kern w:val="0"/>
                      <w:sz w:val="18"/>
                      <w:szCs w:val="18"/>
                      <w:highlight w:val="none"/>
                      <w:vertAlign w:val="superscript"/>
                    </w:rPr>
                    <w:t>3</w:t>
                  </w:r>
                </w:p>
              </w:tc>
              <w:tc>
                <w:tcPr>
                  <w:tcW w:w="426" w:type="pct"/>
                  <w:noWrap w:val="0"/>
                  <w:vAlign w:val="center"/>
                </w:tcPr>
                <w:p w14:paraId="0EA1DF93">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sz w:val="18"/>
                      <w:szCs w:val="18"/>
                      <w:highlight w:val="none"/>
                    </w:rPr>
                  </w:pPr>
                  <w:r>
                    <w:rPr>
                      <w:rFonts w:hint="default"/>
                      <w:color w:val="auto"/>
                      <w:spacing w:val="-10"/>
                      <w:kern w:val="0"/>
                      <w:sz w:val="18"/>
                      <w:szCs w:val="18"/>
                      <w:highlight w:val="none"/>
                    </w:rPr>
                    <w:t>排放量kg/h</w:t>
                  </w:r>
                </w:p>
              </w:tc>
              <w:tc>
                <w:tcPr>
                  <w:tcW w:w="334" w:type="pct"/>
                  <w:vMerge w:val="continue"/>
                  <w:noWrap w:val="0"/>
                  <w:vAlign w:val="center"/>
                </w:tcPr>
                <w:p w14:paraId="32A4D9F4">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pacing w:val="-10"/>
                      <w:kern w:val="0"/>
                      <w:sz w:val="18"/>
                      <w:szCs w:val="18"/>
                      <w:highlight w:val="none"/>
                    </w:rPr>
                  </w:pPr>
                </w:p>
              </w:tc>
            </w:tr>
            <w:tr w14:paraId="2267AC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1" w:hRule="atLeast"/>
              </w:trPr>
              <w:tc>
                <w:tcPr>
                  <w:tcW w:w="228" w:type="pct"/>
                  <w:noWrap w:val="0"/>
                  <w:vAlign w:val="center"/>
                </w:tcPr>
                <w:p w14:paraId="79ED457C">
                  <w:pPr>
                    <w:pStyle w:val="110"/>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lang w:val="en-US" w:eastAsia="zh-CN"/>
                    </w:rPr>
                  </w:pPr>
                  <w:r>
                    <w:rPr>
                      <w:rFonts w:hint="eastAsia"/>
                      <w:color w:val="auto"/>
                      <w:sz w:val="18"/>
                      <w:szCs w:val="18"/>
                      <w:highlight w:val="none"/>
                      <w:lang w:val="en-US" w:eastAsia="zh-CN"/>
                    </w:rPr>
                    <w:t>预处理</w:t>
                  </w:r>
                </w:p>
              </w:tc>
              <w:tc>
                <w:tcPr>
                  <w:tcW w:w="232" w:type="pct"/>
                  <w:noWrap w:val="0"/>
                  <w:vAlign w:val="center"/>
                </w:tcPr>
                <w:p w14:paraId="29AEB992">
                  <w:pPr>
                    <w:pStyle w:val="110"/>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lang w:val="en-US" w:eastAsia="zh-CN"/>
                    </w:rPr>
                  </w:pPr>
                  <w:r>
                    <w:rPr>
                      <w:rFonts w:hint="eastAsia"/>
                      <w:color w:val="auto"/>
                      <w:sz w:val="18"/>
                      <w:szCs w:val="18"/>
                      <w:highlight w:val="none"/>
                      <w:lang w:val="en-US" w:eastAsia="zh-CN"/>
                    </w:rPr>
                    <w:t>废油液挥发废气</w:t>
                  </w:r>
                </w:p>
              </w:tc>
              <w:tc>
                <w:tcPr>
                  <w:tcW w:w="435" w:type="pct"/>
                  <w:vMerge w:val="restart"/>
                  <w:noWrap w:val="0"/>
                  <w:vAlign w:val="center"/>
                </w:tcPr>
                <w:p w14:paraId="4C51A04B">
                  <w:pPr>
                    <w:pStyle w:val="110"/>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lang w:val="en-US" w:eastAsia="zh-CN"/>
                    </w:rPr>
                  </w:pPr>
                  <w:r>
                    <w:rPr>
                      <w:rFonts w:hint="eastAsia"/>
                      <w:color w:val="auto"/>
                      <w:sz w:val="18"/>
                      <w:szCs w:val="18"/>
                      <w:highlight w:val="none"/>
                      <w:lang w:val="en-US" w:eastAsia="zh-CN"/>
                    </w:rPr>
                    <w:t>15m排气筒DA001</w:t>
                  </w:r>
                </w:p>
              </w:tc>
              <w:tc>
                <w:tcPr>
                  <w:tcW w:w="361" w:type="pct"/>
                  <w:noWrap w:val="0"/>
                  <w:vAlign w:val="center"/>
                </w:tcPr>
                <w:p w14:paraId="1FDCEA0A">
                  <w:pPr>
                    <w:keepNext w:val="0"/>
                    <w:keepLines w:val="0"/>
                    <w:pageBreakBefore w:val="0"/>
                    <w:widowControl/>
                    <w:suppressLineNumbers w:val="0"/>
                    <w:wordWrap/>
                    <w:bidi w:val="0"/>
                    <w:spacing w:before="0" w:beforeAutospacing="0" w:after="0" w:afterAutospacing="0" w:line="360" w:lineRule="auto"/>
                    <w:ind w:left="0" w:leftChars="0" w:right="0"/>
                    <w:jc w:val="center"/>
                    <w:textAlignment w:val="center"/>
                    <w:rPr>
                      <w:rFonts w:hint="default"/>
                      <w:color w:val="auto"/>
                      <w:sz w:val="18"/>
                      <w:szCs w:val="18"/>
                      <w:highlight w:val="none"/>
                      <w:lang w:val="en-US" w:eastAsia="zh-CN"/>
                    </w:rPr>
                  </w:pPr>
                  <w:r>
                    <w:rPr>
                      <w:rFonts w:hint="eastAsia"/>
                      <w:color w:val="auto"/>
                      <w:sz w:val="18"/>
                      <w:szCs w:val="18"/>
                      <w:highlight w:val="none"/>
                      <w:lang w:val="en-US" w:eastAsia="zh-CN"/>
                    </w:rPr>
                    <w:t>非甲烷总烃</w:t>
                  </w:r>
                </w:p>
              </w:tc>
              <w:tc>
                <w:tcPr>
                  <w:tcW w:w="255" w:type="pct"/>
                  <w:noWrap w:val="0"/>
                  <w:vAlign w:val="center"/>
                </w:tcPr>
                <w:p w14:paraId="45B398E3">
                  <w:pPr>
                    <w:pStyle w:val="110"/>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lang w:val="en-US" w:eastAsia="zh-CN"/>
                    </w:rPr>
                  </w:pPr>
                  <w:r>
                    <w:rPr>
                      <w:rFonts w:hint="eastAsia"/>
                      <w:color w:val="auto"/>
                      <w:sz w:val="18"/>
                      <w:szCs w:val="18"/>
                      <w:highlight w:val="none"/>
                      <w:lang w:val="en-US" w:eastAsia="zh-CN"/>
                    </w:rPr>
                    <w:t>类比法</w:t>
                  </w:r>
                </w:p>
              </w:tc>
              <w:tc>
                <w:tcPr>
                  <w:tcW w:w="384" w:type="pct"/>
                  <w:vMerge w:val="restart"/>
                  <w:noWrap w:val="0"/>
                  <w:vAlign w:val="center"/>
                </w:tcPr>
                <w:p w14:paraId="60BCE57E">
                  <w:pPr>
                    <w:pStyle w:val="110"/>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lang w:val="en-US" w:eastAsia="zh-CN"/>
                    </w:rPr>
                  </w:pPr>
                  <w:r>
                    <w:rPr>
                      <w:rFonts w:hint="eastAsia"/>
                      <w:color w:val="auto"/>
                      <w:sz w:val="18"/>
                      <w:szCs w:val="18"/>
                      <w:highlight w:val="none"/>
                      <w:lang w:val="en-US" w:eastAsia="zh-CN"/>
                    </w:rPr>
                    <w:t>3000</w:t>
                  </w:r>
                </w:p>
              </w:tc>
              <w:tc>
                <w:tcPr>
                  <w:tcW w:w="408" w:type="pct"/>
                  <w:noWrap w:val="0"/>
                  <w:vAlign w:val="center"/>
                </w:tcPr>
                <w:p w14:paraId="29C96CFB">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6.333</w:t>
                  </w:r>
                </w:p>
              </w:tc>
              <w:tc>
                <w:tcPr>
                  <w:tcW w:w="423" w:type="pct"/>
                  <w:noWrap w:val="0"/>
                  <w:vAlign w:val="center"/>
                </w:tcPr>
                <w:p w14:paraId="3447A9D7">
                  <w:pPr>
                    <w:pStyle w:val="110"/>
                    <w:keepNext w:val="0"/>
                    <w:keepLines w:val="0"/>
                    <w:pageBreakBefore w:val="0"/>
                    <w:suppressLineNumbers w:val="0"/>
                    <w:wordWrap/>
                    <w:bidi w:val="0"/>
                    <w:spacing w:before="0" w:beforeAutospacing="0" w:after="0" w:afterAutospacing="0" w:line="360" w:lineRule="auto"/>
                    <w:ind w:left="0" w:leftChars="0" w:right="0" w:rightChars="0"/>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0.019</w:t>
                  </w:r>
                </w:p>
              </w:tc>
              <w:tc>
                <w:tcPr>
                  <w:tcW w:w="354" w:type="pct"/>
                  <w:noWrap w:val="0"/>
                  <w:vAlign w:val="center"/>
                </w:tcPr>
                <w:p w14:paraId="33B0C8C9">
                  <w:pPr>
                    <w:pStyle w:val="110"/>
                    <w:keepNext w:val="0"/>
                    <w:keepLines w:val="0"/>
                    <w:pageBreakBefore w:val="0"/>
                    <w:suppressLineNumbers w:val="0"/>
                    <w:wordWrap/>
                    <w:bidi w:val="0"/>
                    <w:spacing w:before="0" w:beforeAutospacing="0" w:after="0" w:afterAutospacing="0" w:line="360" w:lineRule="auto"/>
                    <w:ind w:left="0" w:leftChars="0" w:right="0"/>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活性炭吸附装置</w:t>
                  </w:r>
                </w:p>
              </w:tc>
              <w:tc>
                <w:tcPr>
                  <w:tcW w:w="395" w:type="pct"/>
                  <w:noWrap w:val="0"/>
                  <w:vAlign w:val="center"/>
                </w:tcPr>
                <w:p w14:paraId="3E8C1422">
                  <w:pPr>
                    <w:pStyle w:val="110"/>
                    <w:keepNext w:val="0"/>
                    <w:keepLines w:val="0"/>
                    <w:pageBreakBefore w:val="0"/>
                    <w:suppressLineNumbers w:val="0"/>
                    <w:wordWrap/>
                    <w:bidi w:val="0"/>
                    <w:spacing w:before="0" w:beforeAutospacing="0" w:after="0" w:afterAutospacing="0" w:line="360" w:lineRule="auto"/>
                    <w:ind w:left="0" w:leftChars="0" w:right="0"/>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90</w:t>
                  </w:r>
                </w:p>
              </w:tc>
              <w:tc>
                <w:tcPr>
                  <w:tcW w:w="356" w:type="pct"/>
                  <w:vMerge w:val="restart"/>
                  <w:noWrap w:val="0"/>
                  <w:vAlign w:val="center"/>
                </w:tcPr>
                <w:p w14:paraId="176FD27F">
                  <w:pPr>
                    <w:pStyle w:val="110"/>
                    <w:keepNext w:val="0"/>
                    <w:keepLines w:val="0"/>
                    <w:pageBreakBefore w:val="0"/>
                    <w:suppressLineNumbers w:val="0"/>
                    <w:wordWrap/>
                    <w:bidi w:val="0"/>
                    <w:spacing w:before="0" w:beforeAutospacing="0" w:after="0" w:afterAutospacing="0" w:line="360" w:lineRule="auto"/>
                    <w:ind w:left="0" w:leftChars="0" w:right="0"/>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3000</w:t>
                  </w:r>
                </w:p>
              </w:tc>
              <w:tc>
                <w:tcPr>
                  <w:tcW w:w="402" w:type="pct"/>
                  <w:noWrap w:val="0"/>
                  <w:vAlign w:val="center"/>
                </w:tcPr>
                <w:p w14:paraId="1A8EE94C">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1.167</w:t>
                  </w:r>
                </w:p>
              </w:tc>
              <w:tc>
                <w:tcPr>
                  <w:tcW w:w="426" w:type="pct"/>
                  <w:noWrap w:val="0"/>
                  <w:vAlign w:val="center"/>
                </w:tcPr>
                <w:p w14:paraId="27BC23DD">
                  <w:pPr>
                    <w:pStyle w:val="110"/>
                    <w:keepNext w:val="0"/>
                    <w:keepLines w:val="0"/>
                    <w:pageBreakBefore w:val="0"/>
                    <w:suppressLineNumbers w:val="0"/>
                    <w:wordWrap/>
                    <w:bidi w:val="0"/>
                    <w:spacing w:before="0" w:beforeAutospacing="0" w:after="0" w:afterAutospacing="0" w:line="360" w:lineRule="auto"/>
                    <w:ind w:left="0" w:leftChars="0" w:right="0" w:rightChars="0"/>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0.0035</w:t>
                  </w:r>
                </w:p>
              </w:tc>
              <w:tc>
                <w:tcPr>
                  <w:tcW w:w="334" w:type="pct"/>
                  <w:noWrap w:val="0"/>
                  <w:vAlign w:val="center"/>
                </w:tcPr>
                <w:p w14:paraId="50E47997">
                  <w:pPr>
                    <w:keepNext w:val="0"/>
                    <w:keepLines w:val="0"/>
                    <w:pageBreakBefore w:val="0"/>
                    <w:suppressLineNumbers w:val="0"/>
                    <w:wordWrap/>
                    <w:bidi w:val="0"/>
                    <w:spacing w:before="0" w:beforeAutospacing="0" w:after="0" w:afterAutospacing="0" w:line="360" w:lineRule="auto"/>
                    <w:ind w:left="0" w:leftChars="0" w:right="0"/>
                    <w:jc w:val="center"/>
                    <w:textAlignment w:val="center"/>
                    <w:rPr>
                      <w:rFonts w:hint="default"/>
                      <w:color w:val="auto"/>
                      <w:spacing w:val="-10"/>
                      <w:sz w:val="18"/>
                      <w:szCs w:val="18"/>
                      <w:highlight w:val="none"/>
                      <w:lang w:val="en-US" w:eastAsia="zh-CN"/>
                    </w:rPr>
                  </w:pPr>
                  <w:r>
                    <w:rPr>
                      <w:rFonts w:hint="eastAsia"/>
                      <w:color w:val="auto"/>
                      <w:spacing w:val="-10"/>
                      <w:sz w:val="18"/>
                      <w:szCs w:val="18"/>
                      <w:highlight w:val="none"/>
                      <w:lang w:val="en-US" w:eastAsia="zh-CN"/>
                    </w:rPr>
                    <w:t>2000</w:t>
                  </w:r>
                </w:p>
              </w:tc>
            </w:tr>
            <w:tr w14:paraId="615306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8" w:type="pct"/>
                  <w:noWrap w:val="0"/>
                  <w:vAlign w:val="center"/>
                </w:tcPr>
                <w:p w14:paraId="4675FCC3">
                  <w:pPr>
                    <w:pStyle w:val="110"/>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lang w:val="en-US" w:eastAsia="zh-CN"/>
                    </w:rPr>
                  </w:pPr>
                  <w:r>
                    <w:rPr>
                      <w:rFonts w:hint="eastAsia"/>
                      <w:color w:val="auto"/>
                      <w:sz w:val="18"/>
                      <w:szCs w:val="18"/>
                      <w:highlight w:val="none"/>
                      <w:lang w:val="en-US" w:eastAsia="zh-CN"/>
                    </w:rPr>
                    <w:t>切割</w:t>
                  </w:r>
                </w:p>
              </w:tc>
              <w:tc>
                <w:tcPr>
                  <w:tcW w:w="232" w:type="pct"/>
                  <w:noWrap w:val="0"/>
                  <w:vAlign w:val="center"/>
                </w:tcPr>
                <w:p w14:paraId="1BFC6CFC">
                  <w:pPr>
                    <w:pStyle w:val="110"/>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lang w:val="en-US" w:eastAsia="zh-CN"/>
                    </w:rPr>
                  </w:pPr>
                  <w:r>
                    <w:rPr>
                      <w:rFonts w:hint="eastAsia"/>
                      <w:color w:val="auto"/>
                      <w:sz w:val="18"/>
                      <w:szCs w:val="18"/>
                      <w:highlight w:val="none"/>
                      <w:lang w:val="en-US" w:eastAsia="zh-CN"/>
                    </w:rPr>
                    <w:t>切割废气</w:t>
                  </w:r>
                </w:p>
              </w:tc>
              <w:tc>
                <w:tcPr>
                  <w:tcW w:w="435" w:type="pct"/>
                  <w:vMerge w:val="continue"/>
                  <w:noWrap w:val="0"/>
                  <w:vAlign w:val="center"/>
                </w:tcPr>
                <w:p w14:paraId="12D3990E">
                  <w:pPr>
                    <w:pStyle w:val="110"/>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lang w:val="en-US" w:eastAsia="zh-CN"/>
                    </w:rPr>
                  </w:pPr>
                </w:p>
              </w:tc>
              <w:tc>
                <w:tcPr>
                  <w:tcW w:w="361" w:type="pct"/>
                  <w:noWrap w:val="0"/>
                  <w:vAlign w:val="center"/>
                </w:tcPr>
                <w:p w14:paraId="11C7A30F">
                  <w:pPr>
                    <w:keepNext w:val="0"/>
                    <w:keepLines w:val="0"/>
                    <w:pageBreakBefore w:val="0"/>
                    <w:widowControl/>
                    <w:suppressLineNumbers w:val="0"/>
                    <w:wordWrap/>
                    <w:bidi w:val="0"/>
                    <w:spacing w:before="0" w:beforeAutospacing="0" w:after="0" w:afterAutospacing="0" w:line="360" w:lineRule="auto"/>
                    <w:ind w:left="0" w:leftChars="0" w:right="0"/>
                    <w:jc w:val="center"/>
                    <w:textAlignment w:val="center"/>
                    <w:rPr>
                      <w:rFonts w:hint="default"/>
                      <w:color w:val="auto"/>
                      <w:sz w:val="18"/>
                      <w:szCs w:val="18"/>
                      <w:highlight w:val="none"/>
                      <w:lang w:val="en-US" w:eastAsia="zh-CN"/>
                    </w:rPr>
                  </w:pPr>
                  <w:r>
                    <w:rPr>
                      <w:rFonts w:hint="eastAsia"/>
                      <w:color w:val="auto"/>
                      <w:sz w:val="18"/>
                      <w:szCs w:val="18"/>
                      <w:highlight w:val="none"/>
                      <w:lang w:val="en-US" w:eastAsia="zh-CN"/>
                    </w:rPr>
                    <w:t>工业粉尘</w:t>
                  </w:r>
                </w:p>
              </w:tc>
              <w:tc>
                <w:tcPr>
                  <w:tcW w:w="255" w:type="pct"/>
                  <w:noWrap w:val="0"/>
                  <w:vAlign w:val="center"/>
                </w:tcPr>
                <w:p w14:paraId="1A8666D3">
                  <w:pPr>
                    <w:pStyle w:val="110"/>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lang w:val="en-US" w:eastAsia="zh-CN"/>
                    </w:rPr>
                  </w:pPr>
                  <w:r>
                    <w:rPr>
                      <w:rFonts w:hint="eastAsia"/>
                      <w:color w:val="auto"/>
                      <w:sz w:val="18"/>
                      <w:szCs w:val="18"/>
                      <w:highlight w:val="none"/>
                      <w:lang w:val="en-US" w:eastAsia="zh-CN"/>
                    </w:rPr>
                    <w:t>系数法</w:t>
                  </w:r>
                </w:p>
              </w:tc>
              <w:tc>
                <w:tcPr>
                  <w:tcW w:w="384" w:type="pct"/>
                  <w:vMerge w:val="continue"/>
                  <w:noWrap w:val="0"/>
                  <w:vAlign w:val="center"/>
                </w:tcPr>
                <w:p w14:paraId="618F037C">
                  <w:pPr>
                    <w:pStyle w:val="110"/>
                    <w:keepNext w:val="0"/>
                    <w:keepLines w:val="0"/>
                    <w:pageBreakBefore w:val="0"/>
                    <w:suppressLineNumbers w:val="0"/>
                    <w:wordWrap/>
                    <w:bidi w:val="0"/>
                    <w:spacing w:before="0" w:beforeAutospacing="0" w:after="0" w:afterAutospacing="0" w:line="360" w:lineRule="auto"/>
                    <w:ind w:left="0" w:leftChars="0" w:right="0"/>
                    <w:rPr>
                      <w:rFonts w:hint="eastAsia"/>
                      <w:color w:val="auto"/>
                      <w:sz w:val="18"/>
                      <w:szCs w:val="18"/>
                      <w:highlight w:val="none"/>
                      <w:lang w:val="en-US" w:eastAsia="zh-CN"/>
                    </w:rPr>
                  </w:pPr>
                </w:p>
              </w:tc>
              <w:tc>
                <w:tcPr>
                  <w:tcW w:w="408" w:type="pct"/>
                  <w:noWrap w:val="0"/>
                  <w:vAlign w:val="center"/>
                </w:tcPr>
                <w:p w14:paraId="0CC31451">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32.667</w:t>
                  </w:r>
                </w:p>
              </w:tc>
              <w:tc>
                <w:tcPr>
                  <w:tcW w:w="423" w:type="pct"/>
                  <w:noWrap w:val="0"/>
                  <w:vAlign w:val="center"/>
                </w:tcPr>
                <w:p w14:paraId="0DDF935A">
                  <w:pPr>
                    <w:pStyle w:val="110"/>
                    <w:keepNext w:val="0"/>
                    <w:keepLines w:val="0"/>
                    <w:pageBreakBefore w:val="0"/>
                    <w:suppressLineNumbers w:val="0"/>
                    <w:wordWrap/>
                    <w:bidi w:val="0"/>
                    <w:spacing w:before="0" w:beforeAutospacing="0" w:after="0" w:afterAutospacing="0" w:line="360" w:lineRule="auto"/>
                    <w:ind w:left="0" w:leftChars="0" w:right="0" w:rightChars="0"/>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0.098</w:t>
                  </w:r>
                </w:p>
              </w:tc>
              <w:tc>
                <w:tcPr>
                  <w:tcW w:w="354" w:type="pct"/>
                  <w:noWrap w:val="0"/>
                  <w:vAlign w:val="center"/>
                </w:tcPr>
                <w:p w14:paraId="644B42E7">
                  <w:pPr>
                    <w:pStyle w:val="110"/>
                    <w:keepNext w:val="0"/>
                    <w:keepLines w:val="0"/>
                    <w:pageBreakBefore w:val="0"/>
                    <w:suppressLineNumbers w:val="0"/>
                    <w:wordWrap/>
                    <w:bidi w:val="0"/>
                    <w:spacing w:before="0" w:beforeAutospacing="0" w:after="0" w:afterAutospacing="0" w:line="360" w:lineRule="auto"/>
                    <w:ind w:left="0" w:leftChars="0" w:right="0"/>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布袋除尘器</w:t>
                  </w:r>
                </w:p>
              </w:tc>
              <w:tc>
                <w:tcPr>
                  <w:tcW w:w="395" w:type="pct"/>
                  <w:noWrap w:val="0"/>
                  <w:vAlign w:val="center"/>
                </w:tcPr>
                <w:p w14:paraId="0B42C77B">
                  <w:pPr>
                    <w:pStyle w:val="110"/>
                    <w:keepNext w:val="0"/>
                    <w:keepLines w:val="0"/>
                    <w:pageBreakBefore w:val="0"/>
                    <w:suppressLineNumbers w:val="0"/>
                    <w:wordWrap/>
                    <w:bidi w:val="0"/>
                    <w:spacing w:before="0" w:beforeAutospacing="0" w:after="0" w:afterAutospacing="0" w:line="360" w:lineRule="auto"/>
                    <w:ind w:left="0" w:leftChars="0" w:right="0"/>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80</w:t>
                  </w:r>
                </w:p>
              </w:tc>
              <w:tc>
                <w:tcPr>
                  <w:tcW w:w="356" w:type="pct"/>
                  <w:vMerge w:val="continue"/>
                  <w:noWrap w:val="0"/>
                  <w:vAlign w:val="center"/>
                </w:tcPr>
                <w:p w14:paraId="6C4B0BB1">
                  <w:pPr>
                    <w:pStyle w:val="110"/>
                    <w:keepNext w:val="0"/>
                    <w:keepLines w:val="0"/>
                    <w:pageBreakBefore w:val="0"/>
                    <w:suppressLineNumbers w:val="0"/>
                    <w:wordWrap/>
                    <w:bidi w:val="0"/>
                    <w:spacing w:before="0" w:beforeAutospacing="0" w:after="0" w:afterAutospacing="0" w:line="360" w:lineRule="auto"/>
                    <w:ind w:left="0" w:leftChars="0" w:right="0"/>
                    <w:rPr>
                      <w:rFonts w:hint="eastAsia" w:cs="Times New Roman"/>
                      <w:color w:val="auto"/>
                      <w:kern w:val="0"/>
                      <w:sz w:val="18"/>
                      <w:szCs w:val="18"/>
                      <w:highlight w:val="none"/>
                      <w:lang w:val="en-US" w:eastAsia="zh-CN" w:bidi="ar-SA"/>
                    </w:rPr>
                  </w:pPr>
                </w:p>
              </w:tc>
              <w:tc>
                <w:tcPr>
                  <w:tcW w:w="402" w:type="pct"/>
                  <w:noWrap w:val="0"/>
                  <w:vAlign w:val="center"/>
                </w:tcPr>
                <w:p w14:paraId="57DDEBF1">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0.289</w:t>
                  </w:r>
                </w:p>
              </w:tc>
              <w:tc>
                <w:tcPr>
                  <w:tcW w:w="426" w:type="pct"/>
                  <w:noWrap w:val="0"/>
                  <w:vAlign w:val="center"/>
                </w:tcPr>
                <w:p w14:paraId="52B9C39A">
                  <w:pPr>
                    <w:pStyle w:val="110"/>
                    <w:keepNext w:val="0"/>
                    <w:keepLines w:val="0"/>
                    <w:pageBreakBefore w:val="0"/>
                    <w:suppressLineNumbers w:val="0"/>
                    <w:wordWrap/>
                    <w:bidi w:val="0"/>
                    <w:spacing w:before="0" w:beforeAutospacing="0" w:after="0" w:afterAutospacing="0" w:line="360" w:lineRule="auto"/>
                    <w:ind w:left="0" w:leftChars="0" w:right="0" w:rightChars="0"/>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0.00086</w:t>
                  </w:r>
                </w:p>
              </w:tc>
              <w:tc>
                <w:tcPr>
                  <w:tcW w:w="334" w:type="pct"/>
                  <w:noWrap w:val="0"/>
                  <w:vAlign w:val="center"/>
                </w:tcPr>
                <w:p w14:paraId="37E45567">
                  <w:pPr>
                    <w:keepNext w:val="0"/>
                    <w:keepLines w:val="0"/>
                    <w:pageBreakBefore w:val="0"/>
                    <w:suppressLineNumbers w:val="0"/>
                    <w:wordWrap/>
                    <w:bidi w:val="0"/>
                    <w:spacing w:before="0" w:beforeAutospacing="0" w:after="0" w:afterAutospacing="0" w:line="360" w:lineRule="auto"/>
                    <w:ind w:left="0" w:leftChars="0" w:right="0"/>
                    <w:jc w:val="center"/>
                    <w:textAlignment w:val="center"/>
                    <w:rPr>
                      <w:rFonts w:hint="default"/>
                      <w:color w:val="auto"/>
                      <w:spacing w:val="-10"/>
                      <w:sz w:val="18"/>
                      <w:szCs w:val="18"/>
                      <w:highlight w:val="none"/>
                      <w:lang w:val="en-US" w:eastAsia="zh-CN"/>
                    </w:rPr>
                  </w:pPr>
                  <w:r>
                    <w:rPr>
                      <w:rFonts w:hint="eastAsia"/>
                      <w:color w:val="auto"/>
                      <w:spacing w:val="-10"/>
                      <w:sz w:val="18"/>
                      <w:szCs w:val="18"/>
                      <w:highlight w:val="none"/>
                      <w:lang w:val="en-US" w:eastAsia="zh-CN"/>
                    </w:rPr>
                    <w:t>1500</w:t>
                  </w:r>
                </w:p>
              </w:tc>
            </w:tr>
            <w:tr w14:paraId="4BA077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8" w:type="pct"/>
                  <w:vMerge w:val="restart"/>
                  <w:noWrap w:val="0"/>
                  <w:vAlign w:val="center"/>
                </w:tcPr>
                <w:p w14:paraId="08B7D4EF">
                  <w:pPr>
                    <w:pStyle w:val="110"/>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lang w:val="en-US" w:eastAsia="zh-CN"/>
                    </w:rPr>
                  </w:pPr>
                  <w:r>
                    <w:rPr>
                      <w:rFonts w:hint="eastAsia"/>
                      <w:color w:val="auto"/>
                      <w:sz w:val="18"/>
                      <w:szCs w:val="18"/>
                      <w:highlight w:val="none"/>
                      <w:lang w:val="en-US" w:eastAsia="zh-CN"/>
                    </w:rPr>
                    <w:t>2.5t/h燃生物质锅炉</w:t>
                  </w:r>
                </w:p>
              </w:tc>
              <w:tc>
                <w:tcPr>
                  <w:tcW w:w="232" w:type="pct"/>
                  <w:vMerge w:val="restart"/>
                  <w:noWrap w:val="0"/>
                  <w:vAlign w:val="center"/>
                </w:tcPr>
                <w:p w14:paraId="460060C2">
                  <w:pPr>
                    <w:pStyle w:val="110"/>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lang w:val="en-US" w:eastAsia="zh-CN"/>
                    </w:rPr>
                  </w:pPr>
                  <w:r>
                    <w:rPr>
                      <w:rFonts w:hint="eastAsia"/>
                      <w:color w:val="auto"/>
                      <w:sz w:val="18"/>
                      <w:szCs w:val="18"/>
                      <w:highlight w:val="none"/>
                      <w:lang w:val="en-US" w:eastAsia="zh-CN"/>
                    </w:rPr>
                    <w:t>锅炉废气</w:t>
                  </w:r>
                </w:p>
              </w:tc>
              <w:tc>
                <w:tcPr>
                  <w:tcW w:w="435" w:type="pct"/>
                  <w:vMerge w:val="restart"/>
                  <w:noWrap w:val="0"/>
                  <w:vAlign w:val="center"/>
                </w:tcPr>
                <w:p w14:paraId="6B59701F">
                  <w:pPr>
                    <w:pStyle w:val="110"/>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lang w:val="en-US" w:eastAsia="zh-CN"/>
                    </w:rPr>
                  </w:pPr>
                  <w:r>
                    <w:rPr>
                      <w:rFonts w:hint="eastAsia"/>
                      <w:color w:val="auto"/>
                      <w:sz w:val="18"/>
                      <w:szCs w:val="18"/>
                      <w:highlight w:val="none"/>
                      <w:lang w:val="en-US" w:eastAsia="zh-CN"/>
                    </w:rPr>
                    <w:t>30m烟囱DA002</w:t>
                  </w:r>
                </w:p>
              </w:tc>
              <w:tc>
                <w:tcPr>
                  <w:tcW w:w="361" w:type="pct"/>
                  <w:noWrap w:val="0"/>
                  <w:vAlign w:val="center"/>
                </w:tcPr>
                <w:p w14:paraId="403B8AB5">
                  <w:pPr>
                    <w:keepNext w:val="0"/>
                    <w:keepLines w:val="0"/>
                    <w:pageBreakBefore w:val="0"/>
                    <w:widowControl/>
                    <w:suppressLineNumbers w:val="0"/>
                    <w:wordWrap/>
                    <w:bidi w:val="0"/>
                    <w:spacing w:before="0" w:beforeAutospacing="0" w:after="0" w:afterAutospacing="0" w:line="360" w:lineRule="auto"/>
                    <w:ind w:left="0" w:leftChars="0" w:right="0"/>
                    <w:jc w:val="center"/>
                    <w:textAlignment w:val="center"/>
                    <w:rPr>
                      <w:rFonts w:hint="default"/>
                      <w:color w:val="auto"/>
                      <w:sz w:val="18"/>
                      <w:szCs w:val="18"/>
                      <w:highlight w:val="none"/>
                      <w:lang w:val="en-US" w:eastAsia="zh-CN"/>
                    </w:rPr>
                  </w:pPr>
                  <w:r>
                    <w:rPr>
                      <w:rFonts w:hint="eastAsia"/>
                      <w:color w:val="auto"/>
                      <w:sz w:val="18"/>
                      <w:szCs w:val="18"/>
                      <w:highlight w:val="none"/>
                      <w:lang w:val="en-US" w:eastAsia="zh-CN"/>
                    </w:rPr>
                    <w:t>颗粒物</w:t>
                  </w:r>
                </w:p>
              </w:tc>
              <w:tc>
                <w:tcPr>
                  <w:tcW w:w="255" w:type="pct"/>
                  <w:vMerge w:val="restart"/>
                  <w:noWrap w:val="0"/>
                  <w:vAlign w:val="center"/>
                </w:tcPr>
                <w:p w14:paraId="441D5957">
                  <w:pPr>
                    <w:pStyle w:val="110"/>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lang w:val="en-US" w:eastAsia="zh-CN"/>
                    </w:rPr>
                  </w:pPr>
                  <w:r>
                    <w:rPr>
                      <w:rFonts w:hint="eastAsia"/>
                      <w:color w:val="auto"/>
                      <w:sz w:val="18"/>
                      <w:szCs w:val="18"/>
                      <w:highlight w:val="none"/>
                      <w:lang w:val="en-US" w:eastAsia="zh-CN"/>
                    </w:rPr>
                    <w:t>物料衡算法</w:t>
                  </w:r>
                </w:p>
              </w:tc>
              <w:tc>
                <w:tcPr>
                  <w:tcW w:w="384" w:type="pct"/>
                  <w:vMerge w:val="restart"/>
                  <w:noWrap w:val="0"/>
                  <w:vAlign w:val="center"/>
                </w:tcPr>
                <w:p w14:paraId="4C7FDD21">
                  <w:pPr>
                    <w:pStyle w:val="110"/>
                    <w:keepNext w:val="0"/>
                    <w:keepLines w:val="0"/>
                    <w:pageBreakBefore w:val="0"/>
                    <w:suppressLineNumbers w:val="0"/>
                    <w:wordWrap/>
                    <w:bidi w:val="0"/>
                    <w:spacing w:before="0" w:beforeAutospacing="0" w:after="0" w:afterAutospacing="0" w:line="360" w:lineRule="auto"/>
                    <w:ind w:left="0" w:leftChars="0" w:right="0"/>
                    <w:rPr>
                      <w:rFonts w:hint="eastAsia"/>
                      <w:color w:val="auto"/>
                      <w:sz w:val="18"/>
                      <w:szCs w:val="18"/>
                      <w:highlight w:val="none"/>
                      <w:lang w:val="en-US" w:eastAsia="zh-CN"/>
                    </w:rPr>
                  </w:pPr>
                  <w:r>
                    <w:rPr>
                      <w:rFonts w:hint="eastAsia"/>
                      <w:color w:val="auto"/>
                      <w:sz w:val="18"/>
                      <w:szCs w:val="18"/>
                      <w:highlight w:val="none"/>
                      <w:lang w:val="en-US" w:eastAsia="zh-CN"/>
                    </w:rPr>
                    <w:t>3258.746</w:t>
                  </w:r>
                </w:p>
              </w:tc>
              <w:tc>
                <w:tcPr>
                  <w:tcW w:w="408" w:type="pct"/>
                  <w:noWrap w:val="0"/>
                  <w:vAlign w:val="center"/>
                </w:tcPr>
                <w:p w14:paraId="4452B2ED">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3662</w:t>
                  </w:r>
                </w:p>
              </w:tc>
              <w:tc>
                <w:tcPr>
                  <w:tcW w:w="423" w:type="pct"/>
                  <w:noWrap w:val="0"/>
                  <w:vAlign w:val="center"/>
                </w:tcPr>
                <w:p w14:paraId="30785036">
                  <w:pPr>
                    <w:pStyle w:val="110"/>
                    <w:keepNext w:val="0"/>
                    <w:keepLines w:val="0"/>
                    <w:pageBreakBefore w:val="0"/>
                    <w:suppressLineNumbers w:val="0"/>
                    <w:wordWrap/>
                    <w:bidi w:val="0"/>
                    <w:spacing w:before="0" w:beforeAutospacing="0" w:after="0" w:afterAutospacing="0" w:line="360" w:lineRule="auto"/>
                    <w:ind w:left="0" w:leftChars="0" w:right="0" w:rightChars="0"/>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11.934</w:t>
                  </w:r>
                </w:p>
              </w:tc>
              <w:tc>
                <w:tcPr>
                  <w:tcW w:w="354" w:type="pct"/>
                  <w:noWrap w:val="0"/>
                  <w:vAlign w:val="center"/>
                </w:tcPr>
                <w:p w14:paraId="544A8C7D">
                  <w:pPr>
                    <w:pStyle w:val="110"/>
                    <w:keepNext w:val="0"/>
                    <w:keepLines w:val="0"/>
                    <w:pageBreakBefore w:val="0"/>
                    <w:suppressLineNumbers w:val="0"/>
                    <w:wordWrap/>
                    <w:bidi w:val="0"/>
                    <w:spacing w:before="0" w:beforeAutospacing="0" w:after="0" w:afterAutospacing="0" w:line="360" w:lineRule="auto"/>
                    <w:ind w:left="0" w:leftChars="0" w:right="0"/>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旋风除尘器+布袋除尘器</w:t>
                  </w:r>
                </w:p>
              </w:tc>
              <w:tc>
                <w:tcPr>
                  <w:tcW w:w="395" w:type="pct"/>
                  <w:noWrap w:val="0"/>
                  <w:vAlign w:val="center"/>
                </w:tcPr>
                <w:p w14:paraId="64D67892">
                  <w:pPr>
                    <w:pStyle w:val="110"/>
                    <w:keepNext w:val="0"/>
                    <w:keepLines w:val="0"/>
                    <w:pageBreakBefore w:val="0"/>
                    <w:suppressLineNumbers w:val="0"/>
                    <w:wordWrap/>
                    <w:bidi w:val="0"/>
                    <w:spacing w:before="0" w:beforeAutospacing="0" w:after="0" w:afterAutospacing="0" w:line="360" w:lineRule="auto"/>
                    <w:ind w:left="0" w:leftChars="0" w:right="0"/>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99</w:t>
                  </w:r>
                </w:p>
              </w:tc>
              <w:tc>
                <w:tcPr>
                  <w:tcW w:w="356" w:type="pct"/>
                  <w:vMerge w:val="restart"/>
                  <w:noWrap w:val="0"/>
                  <w:vAlign w:val="center"/>
                </w:tcPr>
                <w:p w14:paraId="5B113FB6">
                  <w:pPr>
                    <w:pStyle w:val="110"/>
                    <w:keepNext w:val="0"/>
                    <w:keepLines w:val="0"/>
                    <w:pageBreakBefore w:val="0"/>
                    <w:suppressLineNumbers w:val="0"/>
                    <w:wordWrap/>
                    <w:bidi w:val="0"/>
                    <w:spacing w:before="0" w:beforeAutospacing="0" w:after="0" w:afterAutospacing="0" w:line="360" w:lineRule="auto"/>
                    <w:ind w:left="0" w:leftChars="0" w:right="0"/>
                    <w:rPr>
                      <w:rFonts w:hint="eastAsia" w:cs="Times New Roman"/>
                      <w:color w:val="auto"/>
                      <w:kern w:val="0"/>
                      <w:sz w:val="18"/>
                      <w:szCs w:val="18"/>
                      <w:highlight w:val="none"/>
                      <w:lang w:val="en-US" w:eastAsia="zh-CN" w:bidi="ar-SA"/>
                    </w:rPr>
                  </w:pPr>
                  <w:r>
                    <w:rPr>
                      <w:rFonts w:hint="eastAsia"/>
                      <w:color w:val="auto"/>
                      <w:sz w:val="18"/>
                      <w:szCs w:val="18"/>
                      <w:highlight w:val="none"/>
                      <w:lang w:val="en-US" w:eastAsia="zh-CN"/>
                    </w:rPr>
                    <w:t>3258.746</w:t>
                  </w:r>
                </w:p>
              </w:tc>
              <w:tc>
                <w:tcPr>
                  <w:tcW w:w="402" w:type="pct"/>
                  <w:noWrap w:val="0"/>
                  <w:vAlign w:val="center"/>
                </w:tcPr>
                <w:p w14:paraId="4A5FA670">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37</w:t>
                  </w:r>
                </w:p>
              </w:tc>
              <w:tc>
                <w:tcPr>
                  <w:tcW w:w="426" w:type="pct"/>
                  <w:noWrap w:val="0"/>
                  <w:vAlign w:val="center"/>
                </w:tcPr>
                <w:p w14:paraId="5A4E3017">
                  <w:pPr>
                    <w:pStyle w:val="110"/>
                    <w:keepNext w:val="0"/>
                    <w:keepLines w:val="0"/>
                    <w:pageBreakBefore w:val="0"/>
                    <w:suppressLineNumbers w:val="0"/>
                    <w:wordWrap/>
                    <w:bidi w:val="0"/>
                    <w:spacing w:before="0" w:beforeAutospacing="0" w:after="0" w:afterAutospacing="0" w:line="360" w:lineRule="auto"/>
                    <w:ind w:left="0" w:leftChars="0" w:right="0" w:rightChars="0"/>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0.119</w:t>
                  </w:r>
                </w:p>
              </w:tc>
              <w:tc>
                <w:tcPr>
                  <w:tcW w:w="334" w:type="pct"/>
                  <w:vMerge w:val="restart"/>
                  <w:noWrap w:val="0"/>
                  <w:vAlign w:val="center"/>
                </w:tcPr>
                <w:p w14:paraId="4E50523A">
                  <w:pPr>
                    <w:keepNext w:val="0"/>
                    <w:keepLines w:val="0"/>
                    <w:pageBreakBefore w:val="0"/>
                    <w:suppressLineNumbers w:val="0"/>
                    <w:wordWrap/>
                    <w:bidi w:val="0"/>
                    <w:spacing w:before="0" w:beforeAutospacing="0" w:after="0" w:afterAutospacing="0" w:line="360" w:lineRule="auto"/>
                    <w:ind w:left="0" w:leftChars="0" w:right="0"/>
                    <w:jc w:val="center"/>
                    <w:textAlignment w:val="center"/>
                    <w:rPr>
                      <w:rFonts w:hint="default"/>
                      <w:color w:val="auto"/>
                      <w:spacing w:val="-10"/>
                      <w:sz w:val="18"/>
                      <w:szCs w:val="18"/>
                      <w:highlight w:val="none"/>
                      <w:lang w:val="en-US" w:eastAsia="zh-CN"/>
                    </w:rPr>
                  </w:pPr>
                  <w:r>
                    <w:rPr>
                      <w:rFonts w:hint="eastAsia"/>
                      <w:color w:val="auto"/>
                      <w:spacing w:val="-10"/>
                      <w:sz w:val="18"/>
                      <w:szCs w:val="18"/>
                      <w:highlight w:val="none"/>
                      <w:lang w:val="en-US" w:eastAsia="zh-CN"/>
                    </w:rPr>
                    <w:t>1440</w:t>
                  </w:r>
                </w:p>
              </w:tc>
            </w:tr>
            <w:tr w14:paraId="551B33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8" w:type="pct"/>
                  <w:vMerge w:val="continue"/>
                  <w:noWrap w:val="0"/>
                  <w:vAlign w:val="center"/>
                </w:tcPr>
                <w:p w14:paraId="3DF64A6B">
                  <w:pPr>
                    <w:pStyle w:val="110"/>
                    <w:keepNext w:val="0"/>
                    <w:keepLines w:val="0"/>
                    <w:pageBreakBefore w:val="0"/>
                    <w:suppressLineNumbers w:val="0"/>
                    <w:wordWrap/>
                    <w:bidi w:val="0"/>
                    <w:spacing w:before="0" w:beforeAutospacing="0" w:after="0" w:afterAutospacing="0" w:line="360" w:lineRule="auto"/>
                    <w:ind w:left="0" w:leftChars="0" w:right="0"/>
                    <w:rPr>
                      <w:rFonts w:hint="eastAsia"/>
                      <w:color w:val="auto"/>
                      <w:sz w:val="18"/>
                      <w:szCs w:val="18"/>
                      <w:highlight w:val="none"/>
                      <w:lang w:val="en-US" w:eastAsia="zh-CN"/>
                    </w:rPr>
                  </w:pPr>
                </w:p>
              </w:tc>
              <w:tc>
                <w:tcPr>
                  <w:tcW w:w="232" w:type="pct"/>
                  <w:vMerge w:val="continue"/>
                  <w:noWrap w:val="0"/>
                  <w:vAlign w:val="center"/>
                </w:tcPr>
                <w:p w14:paraId="2930035B">
                  <w:pPr>
                    <w:pStyle w:val="110"/>
                    <w:keepNext w:val="0"/>
                    <w:keepLines w:val="0"/>
                    <w:pageBreakBefore w:val="0"/>
                    <w:suppressLineNumbers w:val="0"/>
                    <w:wordWrap/>
                    <w:bidi w:val="0"/>
                    <w:spacing w:before="0" w:beforeAutospacing="0" w:after="0" w:afterAutospacing="0" w:line="360" w:lineRule="auto"/>
                    <w:ind w:left="0" w:leftChars="0" w:right="0"/>
                    <w:rPr>
                      <w:rFonts w:hint="eastAsia"/>
                      <w:color w:val="auto"/>
                      <w:sz w:val="18"/>
                      <w:szCs w:val="18"/>
                      <w:highlight w:val="none"/>
                      <w:lang w:val="en-US" w:eastAsia="zh-CN"/>
                    </w:rPr>
                  </w:pPr>
                </w:p>
              </w:tc>
              <w:tc>
                <w:tcPr>
                  <w:tcW w:w="435" w:type="pct"/>
                  <w:vMerge w:val="continue"/>
                  <w:noWrap w:val="0"/>
                  <w:vAlign w:val="center"/>
                </w:tcPr>
                <w:p w14:paraId="39DD66B7">
                  <w:pPr>
                    <w:pStyle w:val="110"/>
                    <w:keepNext w:val="0"/>
                    <w:keepLines w:val="0"/>
                    <w:pageBreakBefore w:val="0"/>
                    <w:suppressLineNumbers w:val="0"/>
                    <w:wordWrap/>
                    <w:bidi w:val="0"/>
                    <w:spacing w:before="0" w:beforeAutospacing="0" w:after="0" w:afterAutospacing="0" w:line="360" w:lineRule="auto"/>
                    <w:ind w:left="0" w:leftChars="0" w:right="0"/>
                    <w:rPr>
                      <w:rFonts w:hint="eastAsia"/>
                      <w:color w:val="auto"/>
                      <w:sz w:val="18"/>
                      <w:szCs w:val="18"/>
                      <w:highlight w:val="none"/>
                      <w:lang w:val="en-US" w:eastAsia="zh-CN"/>
                    </w:rPr>
                  </w:pPr>
                </w:p>
              </w:tc>
              <w:tc>
                <w:tcPr>
                  <w:tcW w:w="361" w:type="pct"/>
                  <w:noWrap w:val="0"/>
                  <w:vAlign w:val="center"/>
                </w:tcPr>
                <w:p w14:paraId="703C4AB0">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eastAsia"/>
                      <w:color w:val="auto"/>
                      <w:sz w:val="18"/>
                      <w:szCs w:val="18"/>
                      <w:highlight w:val="none"/>
                      <w:lang w:val="en-US" w:eastAsia="zh-CN"/>
                    </w:rPr>
                  </w:pPr>
                  <w:r>
                    <w:rPr>
                      <w:rFonts w:hint="default"/>
                      <w:color w:val="auto"/>
                      <w:kern w:val="0"/>
                      <w:sz w:val="18"/>
                      <w:szCs w:val="18"/>
                      <w:highlight w:val="none"/>
                    </w:rPr>
                    <w:t>SO</w:t>
                  </w:r>
                  <w:r>
                    <w:rPr>
                      <w:rStyle w:val="120"/>
                      <w:color w:val="auto"/>
                      <w:sz w:val="18"/>
                      <w:szCs w:val="18"/>
                      <w:highlight w:val="none"/>
                      <w:vertAlign w:val="subscript"/>
                    </w:rPr>
                    <w:t>2</w:t>
                  </w:r>
                </w:p>
              </w:tc>
              <w:tc>
                <w:tcPr>
                  <w:tcW w:w="255" w:type="pct"/>
                  <w:vMerge w:val="continue"/>
                  <w:noWrap w:val="0"/>
                  <w:vAlign w:val="center"/>
                </w:tcPr>
                <w:p w14:paraId="343B7D28">
                  <w:pPr>
                    <w:pStyle w:val="110"/>
                    <w:keepNext w:val="0"/>
                    <w:keepLines w:val="0"/>
                    <w:pageBreakBefore w:val="0"/>
                    <w:suppressLineNumbers w:val="0"/>
                    <w:wordWrap/>
                    <w:bidi w:val="0"/>
                    <w:spacing w:before="0" w:beforeAutospacing="0" w:after="0" w:afterAutospacing="0" w:line="360" w:lineRule="auto"/>
                    <w:ind w:left="0" w:leftChars="0" w:right="0"/>
                    <w:rPr>
                      <w:rFonts w:hint="eastAsia"/>
                      <w:color w:val="auto"/>
                      <w:sz w:val="18"/>
                      <w:szCs w:val="18"/>
                      <w:highlight w:val="none"/>
                      <w:lang w:val="en-US" w:eastAsia="zh-CN"/>
                    </w:rPr>
                  </w:pPr>
                </w:p>
              </w:tc>
              <w:tc>
                <w:tcPr>
                  <w:tcW w:w="384" w:type="pct"/>
                  <w:vMerge w:val="continue"/>
                  <w:noWrap w:val="0"/>
                  <w:vAlign w:val="center"/>
                </w:tcPr>
                <w:p w14:paraId="30B81AAD">
                  <w:pPr>
                    <w:pStyle w:val="110"/>
                    <w:keepNext w:val="0"/>
                    <w:keepLines w:val="0"/>
                    <w:pageBreakBefore w:val="0"/>
                    <w:suppressLineNumbers w:val="0"/>
                    <w:wordWrap/>
                    <w:bidi w:val="0"/>
                    <w:spacing w:before="0" w:beforeAutospacing="0" w:after="0" w:afterAutospacing="0" w:line="360" w:lineRule="auto"/>
                    <w:ind w:left="0" w:leftChars="0" w:right="0"/>
                    <w:rPr>
                      <w:rFonts w:hint="eastAsia"/>
                      <w:color w:val="auto"/>
                      <w:sz w:val="18"/>
                      <w:szCs w:val="18"/>
                      <w:highlight w:val="none"/>
                      <w:lang w:val="en-US" w:eastAsia="zh-CN"/>
                    </w:rPr>
                  </w:pPr>
                </w:p>
              </w:tc>
              <w:tc>
                <w:tcPr>
                  <w:tcW w:w="408" w:type="pct"/>
                  <w:noWrap w:val="0"/>
                  <w:vAlign w:val="center"/>
                </w:tcPr>
                <w:p w14:paraId="15DAF7C4">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61</w:t>
                  </w:r>
                </w:p>
              </w:tc>
              <w:tc>
                <w:tcPr>
                  <w:tcW w:w="423" w:type="pct"/>
                  <w:noWrap w:val="0"/>
                  <w:vAlign w:val="center"/>
                </w:tcPr>
                <w:p w14:paraId="16A4CDDB">
                  <w:pPr>
                    <w:pStyle w:val="110"/>
                    <w:keepNext w:val="0"/>
                    <w:keepLines w:val="0"/>
                    <w:pageBreakBefore w:val="0"/>
                    <w:suppressLineNumbers w:val="0"/>
                    <w:wordWrap/>
                    <w:bidi w:val="0"/>
                    <w:spacing w:before="0" w:beforeAutospacing="0" w:after="0" w:afterAutospacing="0" w:line="360" w:lineRule="auto"/>
                    <w:ind w:left="0" w:leftChars="0" w:right="0" w:rightChars="0"/>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0.198</w:t>
                  </w:r>
                </w:p>
              </w:tc>
              <w:tc>
                <w:tcPr>
                  <w:tcW w:w="354" w:type="pct"/>
                  <w:noWrap w:val="0"/>
                  <w:vAlign w:val="center"/>
                </w:tcPr>
                <w:p w14:paraId="685E1371">
                  <w:pPr>
                    <w:keepNext w:val="0"/>
                    <w:keepLines w:val="0"/>
                    <w:pageBreakBefore w:val="0"/>
                    <w:suppressLineNumbers w:val="0"/>
                    <w:wordWrap/>
                    <w:bidi w:val="0"/>
                    <w:spacing w:before="0" w:beforeAutospacing="0" w:after="0" w:afterAutospacing="0" w:line="360" w:lineRule="auto"/>
                    <w:ind w:left="0" w:leftChars="0" w:right="0"/>
                    <w:jc w:val="center"/>
                    <w:rPr>
                      <w:rFonts w:hint="eastAsia"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w:t>
                  </w:r>
                </w:p>
              </w:tc>
              <w:tc>
                <w:tcPr>
                  <w:tcW w:w="395" w:type="pct"/>
                  <w:noWrap w:val="0"/>
                  <w:vAlign w:val="center"/>
                </w:tcPr>
                <w:p w14:paraId="6A60BECE">
                  <w:pPr>
                    <w:keepNext w:val="0"/>
                    <w:keepLines w:val="0"/>
                    <w:pageBreakBefore w:val="0"/>
                    <w:suppressLineNumbers w:val="0"/>
                    <w:wordWrap/>
                    <w:bidi w:val="0"/>
                    <w:spacing w:before="0" w:beforeAutospacing="0" w:after="0" w:afterAutospacing="0" w:line="360" w:lineRule="auto"/>
                    <w:ind w:left="0" w:leftChars="0" w:right="0"/>
                    <w:jc w:val="center"/>
                    <w:rPr>
                      <w:rFonts w:hint="eastAsia"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w:t>
                  </w:r>
                </w:p>
              </w:tc>
              <w:tc>
                <w:tcPr>
                  <w:tcW w:w="356" w:type="pct"/>
                  <w:vMerge w:val="continue"/>
                  <w:noWrap w:val="0"/>
                  <w:vAlign w:val="center"/>
                </w:tcPr>
                <w:p w14:paraId="731C2192">
                  <w:pPr>
                    <w:pStyle w:val="110"/>
                    <w:keepNext w:val="0"/>
                    <w:keepLines w:val="0"/>
                    <w:pageBreakBefore w:val="0"/>
                    <w:suppressLineNumbers w:val="0"/>
                    <w:wordWrap/>
                    <w:bidi w:val="0"/>
                    <w:spacing w:before="0" w:beforeAutospacing="0" w:after="0" w:afterAutospacing="0" w:line="360" w:lineRule="auto"/>
                    <w:ind w:left="0" w:leftChars="0" w:right="0"/>
                    <w:rPr>
                      <w:rFonts w:hint="eastAsia" w:cs="Times New Roman"/>
                      <w:color w:val="auto"/>
                      <w:kern w:val="0"/>
                      <w:sz w:val="18"/>
                      <w:szCs w:val="18"/>
                      <w:highlight w:val="none"/>
                      <w:lang w:val="en-US" w:eastAsia="zh-CN" w:bidi="ar-SA"/>
                    </w:rPr>
                  </w:pPr>
                </w:p>
              </w:tc>
              <w:tc>
                <w:tcPr>
                  <w:tcW w:w="402" w:type="pct"/>
                  <w:noWrap w:val="0"/>
                  <w:vAlign w:val="center"/>
                </w:tcPr>
                <w:p w14:paraId="3625FBC0">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eastAsia"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61</w:t>
                  </w:r>
                </w:p>
              </w:tc>
              <w:tc>
                <w:tcPr>
                  <w:tcW w:w="426" w:type="pct"/>
                  <w:noWrap w:val="0"/>
                  <w:vAlign w:val="center"/>
                </w:tcPr>
                <w:p w14:paraId="162A411E">
                  <w:pPr>
                    <w:pStyle w:val="110"/>
                    <w:keepNext w:val="0"/>
                    <w:keepLines w:val="0"/>
                    <w:pageBreakBefore w:val="0"/>
                    <w:suppressLineNumbers w:val="0"/>
                    <w:wordWrap/>
                    <w:bidi w:val="0"/>
                    <w:spacing w:before="0" w:beforeAutospacing="0" w:after="0" w:afterAutospacing="0" w:line="360" w:lineRule="auto"/>
                    <w:ind w:left="0" w:leftChars="0" w:right="0" w:rightChars="0"/>
                    <w:rPr>
                      <w:rFonts w:hint="eastAsia"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0.198</w:t>
                  </w:r>
                </w:p>
              </w:tc>
              <w:tc>
                <w:tcPr>
                  <w:tcW w:w="334" w:type="pct"/>
                  <w:vMerge w:val="continue"/>
                  <w:noWrap w:val="0"/>
                  <w:vAlign w:val="center"/>
                </w:tcPr>
                <w:p w14:paraId="20719ADA">
                  <w:pPr>
                    <w:keepNext w:val="0"/>
                    <w:keepLines w:val="0"/>
                    <w:pageBreakBefore w:val="0"/>
                    <w:suppressLineNumbers w:val="0"/>
                    <w:wordWrap/>
                    <w:bidi w:val="0"/>
                    <w:spacing w:before="0" w:beforeAutospacing="0" w:after="0" w:afterAutospacing="0" w:line="360" w:lineRule="auto"/>
                    <w:ind w:left="0" w:leftChars="0" w:right="0"/>
                    <w:jc w:val="center"/>
                    <w:textAlignment w:val="center"/>
                    <w:rPr>
                      <w:rFonts w:hint="eastAsia"/>
                      <w:color w:val="auto"/>
                      <w:spacing w:val="-10"/>
                      <w:sz w:val="18"/>
                      <w:szCs w:val="18"/>
                      <w:highlight w:val="none"/>
                      <w:lang w:val="en-US" w:eastAsia="zh-CN"/>
                    </w:rPr>
                  </w:pPr>
                </w:p>
              </w:tc>
            </w:tr>
            <w:tr w14:paraId="6F0D23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8" w:type="pct"/>
                  <w:vMerge w:val="continue"/>
                  <w:noWrap w:val="0"/>
                  <w:vAlign w:val="center"/>
                </w:tcPr>
                <w:p w14:paraId="4B08C04E">
                  <w:pPr>
                    <w:pStyle w:val="110"/>
                    <w:keepNext w:val="0"/>
                    <w:keepLines w:val="0"/>
                    <w:pageBreakBefore w:val="0"/>
                    <w:suppressLineNumbers w:val="0"/>
                    <w:wordWrap/>
                    <w:bidi w:val="0"/>
                    <w:spacing w:before="0" w:beforeAutospacing="0" w:after="0" w:afterAutospacing="0" w:line="360" w:lineRule="auto"/>
                    <w:ind w:left="0" w:leftChars="0" w:right="0"/>
                    <w:rPr>
                      <w:rFonts w:hint="eastAsia"/>
                      <w:color w:val="auto"/>
                      <w:sz w:val="18"/>
                      <w:szCs w:val="18"/>
                      <w:highlight w:val="none"/>
                      <w:lang w:val="en-US" w:eastAsia="zh-CN"/>
                    </w:rPr>
                  </w:pPr>
                </w:p>
              </w:tc>
              <w:tc>
                <w:tcPr>
                  <w:tcW w:w="232" w:type="pct"/>
                  <w:vMerge w:val="continue"/>
                  <w:noWrap w:val="0"/>
                  <w:vAlign w:val="center"/>
                </w:tcPr>
                <w:p w14:paraId="62FAB3E9">
                  <w:pPr>
                    <w:pStyle w:val="110"/>
                    <w:keepNext w:val="0"/>
                    <w:keepLines w:val="0"/>
                    <w:pageBreakBefore w:val="0"/>
                    <w:suppressLineNumbers w:val="0"/>
                    <w:wordWrap/>
                    <w:bidi w:val="0"/>
                    <w:spacing w:before="0" w:beforeAutospacing="0" w:after="0" w:afterAutospacing="0" w:line="360" w:lineRule="auto"/>
                    <w:ind w:left="0" w:leftChars="0" w:right="0"/>
                    <w:rPr>
                      <w:rFonts w:hint="eastAsia"/>
                      <w:color w:val="auto"/>
                      <w:sz w:val="18"/>
                      <w:szCs w:val="18"/>
                      <w:highlight w:val="none"/>
                      <w:lang w:val="en-US" w:eastAsia="zh-CN"/>
                    </w:rPr>
                  </w:pPr>
                </w:p>
              </w:tc>
              <w:tc>
                <w:tcPr>
                  <w:tcW w:w="435" w:type="pct"/>
                  <w:vMerge w:val="continue"/>
                  <w:noWrap w:val="0"/>
                  <w:vAlign w:val="center"/>
                </w:tcPr>
                <w:p w14:paraId="18754060">
                  <w:pPr>
                    <w:pStyle w:val="110"/>
                    <w:keepNext w:val="0"/>
                    <w:keepLines w:val="0"/>
                    <w:pageBreakBefore w:val="0"/>
                    <w:suppressLineNumbers w:val="0"/>
                    <w:wordWrap/>
                    <w:bidi w:val="0"/>
                    <w:spacing w:before="0" w:beforeAutospacing="0" w:after="0" w:afterAutospacing="0" w:line="360" w:lineRule="auto"/>
                    <w:ind w:left="0" w:leftChars="0" w:right="0"/>
                    <w:rPr>
                      <w:rFonts w:hint="eastAsia"/>
                      <w:color w:val="auto"/>
                      <w:sz w:val="18"/>
                      <w:szCs w:val="18"/>
                      <w:highlight w:val="none"/>
                      <w:lang w:val="en-US" w:eastAsia="zh-CN"/>
                    </w:rPr>
                  </w:pPr>
                </w:p>
              </w:tc>
              <w:tc>
                <w:tcPr>
                  <w:tcW w:w="361" w:type="pct"/>
                  <w:noWrap w:val="0"/>
                  <w:vAlign w:val="center"/>
                </w:tcPr>
                <w:p w14:paraId="32378305">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eastAsia"/>
                      <w:color w:val="auto"/>
                      <w:sz w:val="18"/>
                      <w:szCs w:val="18"/>
                      <w:highlight w:val="none"/>
                      <w:lang w:val="en-US" w:eastAsia="zh-CN"/>
                    </w:rPr>
                  </w:pPr>
                  <w:r>
                    <w:rPr>
                      <w:rFonts w:hint="default"/>
                      <w:color w:val="auto"/>
                      <w:kern w:val="0"/>
                      <w:sz w:val="18"/>
                      <w:szCs w:val="18"/>
                      <w:highlight w:val="none"/>
                    </w:rPr>
                    <w:t>NO</w:t>
                  </w:r>
                  <w:r>
                    <w:rPr>
                      <w:rStyle w:val="120"/>
                      <w:color w:val="auto"/>
                      <w:sz w:val="18"/>
                      <w:szCs w:val="18"/>
                      <w:highlight w:val="none"/>
                      <w:vertAlign w:val="subscript"/>
                    </w:rPr>
                    <w:t>X</w:t>
                  </w:r>
                </w:p>
              </w:tc>
              <w:tc>
                <w:tcPr>
                  <w:tcW w:w="255" w:type="pct"/>
                  <w:vMerge w:val="continue"/>
                  <w:noWrap w:val="0"/>
                  <w:vAlign w:val="center"/>
                </w:tcPr>
                <w:p w14:paraId="72E0E662">
                  <w:pPr>
                    <w:pStyle w:val="110"/>
                    <w:keepNext w:val="0"/>
                    <w:keepLines w:val="0"/>
                    <w:pageBreakBefore w:val="0"/>
                    <w:suppressLineNumbers w:val="0"/>
                    <w:wordWrap/>
                    <w:bidi w:val="0"/>
                    <w:spacing w:before="0" w:beforeAutospacing="0" w:after="0" w:afterAutospacing="0" w:line="360" w:lineRule="auto"/>
                    <w:ind w:left="0" w:leftChars="0" w:right="0"/>
                    <w:rPr>
                      <w:rFonts w:hint="eastAsia"/>
                      <w:color w:val="auto"/>
                      <w:sz w:val="18"/>
                      <w:szCs w:val="18"/>
                      <w:highlight w:val="none"/>
                      <w:lang w:val="en-US" w:eastAsia="zh-CN"/>
                    </w:rPr>
                  </w:pPr>
                </w:p>
              </w:tc>
              <w:tc>
                <w:tcPr>
                  <w:tcW w:w="384" w:type="pct"/>
                  <w:vMerge w:val="continue"/>
                  <w:noWrap w:val="0"/>
                  <w:vAlign w:val="center"/>
                </w:tcPr>
                <w:p w14:paraId="6C325429">
                  <w:pPr>
                    <w:pStyle w:val="110"/>
                    <w:keepNext w:val="0"/>
                    <w:keepLines w:val="0"/>
                    <w:pageBreakBefore w:val="0"/>
                    <w:suppressLineNumbers w:val="0"/>
                    <w:wordWrap/>
                    <w:bidi w:val="0"/>
                    <w:spacing w:before="0" w:beforeAutospacing="0" w:after="0" w:afterAutospacing="0" w:line="360" w:lineRule="auto"/>
                    <w:ind w:left="0" w:leftChars="0" w:right="0"/>
                    <w:rPr>
                      <w:rFonts w:hint="eastAsia"/>
                      <w:color w:val="auto"/>
                      <w:sz w:val="18"/>
                      <w:szCs w:val="18"/>
                      <w:highlight w:val="none"/>
                      <w:lang w:val="en-US" w:eastAsia="zh-CN"/>
                    </w:rPr>
                  </w:pPr>
                </w:p>
              </w:tc>
              <w:tc>
                <w:tcPr>
                  <w:tcW w:w="408" w:type="pct"/>
                  <w:noWrap w:val="0"/>
                  <w:vAlign w:val="center"/>
                </w:tcPr>
                <w:p w14:paraId="7415A0FE">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101</w:t>
                  </w:r>
                </w:p>
              </w:tc>
              <w:tc>
                <w:tcPr>
                  <w:tcW w:w="423" w:type="pct"/>
                  <w:noWrap w:val="0"/>
                  <w:vAlign w:val="center"/>
                </w:tcPr>
                <w:p w14:paraId="78A91AC1">
                  <w:pPr>
                    <w:pStyle w:val="110"/>
                    <w:keepNext w:val="0"/>
                    <w:keepLines w:val="0"/>
                    <w:pageBreakBefore w:val="0"/>
                    <w:suppressLineNumbers w:val="0"/>
                    <w:wordWrap/>
                    <w:bidi w:val="0"/>
                    <w:spacing w:before="0" w:beforeAutospacing="0" w:after="0" w:afterAutospacing="0" w:line="360" w:lineRule="auto"/>
                    <w:ind w:left="0" w:leftChars="0" w:right="0" w:rightChars="0"/>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0.329</w:t>
                  </w:r>
                </w:p>
              </w:tc>
              <w:tc>
                <w:tcPr>
                  <w:tcW w:w="354" w:type="pct"/>
                  <w:noWrap w:val="0"/>
                  <w:vAlign w:val="center"/>
                </w:tcPr>
                <w:p w14:paraId="4DB47B32">
                  <w:pPr>
                    <w:keepNext w:val="0"/>
                    <w:keepLines w:val="0"/>
                    <w:pageBreakBefore w:val="0"/>
                    <w:suppressLineNumbers w:val="0"/>
                    <w:wordWrap/>
                    <w:bidi w:val="0"/>
                    <w:spacing w:before="0" w:beforeAutospacing="0" w:after="0" w:afterAutospacing="0" w:line="360" w:lineRule="auto"/>
                    <w:ind w:left="0" w:leftChars="0" w:right="0"/>
                    <w:jc w:val="center"/>
                    <w:rPr>
                      <w:rFonts w:hint="eastAsia"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w:t>
                  </w:r>
                </w:p>
              </w:tc>
              <w:tc>
                <w:tcPr>
                  <w:tcW w:w="395" w:type="pct"/>
                  <w:noWrap w:val="0"/>
                  <w:vAlign w:val="center"/>
                </w:tcPr>
                <w:p w14:paraId="5072DB7E">
                  <w:pPr>
                    <w:keepNext w:val="0"/>
                    <w:keepLines w:val="0"/>
                    <w:pageBreakBefore w:val="0"/>
                    <w:suppressLineNumbers w:val="0"/>
                    <w:wordWrap/>
                    <w:bidi w:val="0"/>
                    <w:spacing w:before="0" w:beforeAutospacing="0" w:after="0" w:afterAutospacing="0" w:line="360" w:lineRule="auto"/>
                    <w:ind w:left="0" w:leftChars="0" w:right="0"/>
                    <w:jc w:val="center"/>
                    <w:rPr>
                      <w:rFonts w:hint="eastAsia"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w:t>
                  </w:r>
                </w:p>
              </w:tc>
              <w:tc>
                <w:tcPr>
                  <w:tcW w:w="356" w:type="pct"/>
                  <w:vMerge w:val="continue"/>
                  <w:noWrap w:val="0"/>
                  <w:vAlign w:val="center"/>
                </w:tcPr>
                <w:p w14:paraId="47D22BB5">
                  <w:pPr>
                    <w:pStyle w:val="110"/>
                    <w:keepNext w:val="0"/>
                    <w:keepLines w:val="0"/>
                    <w:pageBreakBefore w:val="0"/>
                    <w:suppressLineNumbers w:val="0"/>
                    <w:wordWrap/>
                    <w:bidi w:val="0"/>
                    <w:spacing w:before="0" w:beforeAutospacing="0" w:after="0" w:afterAutospacing="0" w:line="360" w:lineRule="auto"/>
                    <w:ind w:left="0" w:leftChars="0" w:right="0"/>
                    <w:rPr>
                      <w:rFonts w:hint="eastAsia" w:cs="Times New Roman"/>
                      <w:color w:val="auto"/>
                      <w:kern w:val="0"/>
                      <w:sz w:val="18"/>
                      <w:szCs w:val="18"/>
                      <w:highlight w:val="none"/>
                      <w:lang w:val="en-US" w:eastAsia="zh-CN" w:bidi="ar-SA"/>
                    </w:rPr>
                  </w:pPr>
                </w:p>
              </w:tc>
              <w:tc>
                <w:tcPr>
                  <w:tcW w:w="656" w:type="dxa"/>
                  <w:noWrap w:val="0"/>
                  <w:vAlign w:val="center"/>
                </w:tcPr>
                <w:p w14:paraId="05167830">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eastAsia"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101</w:t>
                  </w:r>
                </w:p>
              </w:tc>
              <w:tc>
                <w:tcPr>
                  <w:tcW w:w="695" w:type="dxa"/>
                  <w:noWrap w:val="0"/>
                  <w:vAlign w:val="center"/>
                </w:tcPr>
                <w:p w14:paraId="7C02EA63">
                  <w:pPr>
                    <w:pStyle w:val="110"/>
                    <w:keepNext w:val="0"/>
                    <w:keepLines w:val="0"/>
                    <w:pageBreakBefore w:val="0"/>
                    <w:suppressLineNumbers w:val="0"/>
                    <w:wordWrap/>
                    <w:bidi w:val="0"/>
                    <w:spacing w:before="0" w:beforeAutospacing="0" w:after="0" w:afterAutospacing="0" w:line="360" w:lineRule="auto"/>
                    <w:ind w:left="0" w:leftChars="0" w:right="0" w:rightChars="0"/>
                    <w:rPr>
                      <w:rFonts w:hint="eastAsia"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0.329</w:t>
                  </w:r>
                </w:p>
              </w:tc>
              <w:tc>
                <w:tcPr>
                  <w:tcW w:w="334" w:type="pct"/>
                  <w:vMerge w:val="continue"/>
                  <w:noWrap w:val="0"/>
                  <w:vAlign w:val="center"/>
                </w:tcPr>
                <w:p w14:paraId="07F459FD">
                  <w:pPr>
                    <w:keepNext w:val="0"/>
                    <w:keepLines w:val="0"/>
                    <w:pageBreakBefore w:val="0"/>
                    <w:suppressLineNumbers w:val="0"/>
                    <w:wordWrap/>
                    <w:bidi w:val="0"/>
                    <w:spacing w:before="0" w:beforeAutospacing="0" w:after="0" w:afterAutospacing="0" w:line="360" w:lineRule="auto"/>
                    <w:ind w:left="0" w:leftChars="0" w:right="0"/>
                    <w:jc w:val="center"/>
                    <w:textAlignment w:val="center"/>
                    <w:rPr>
                      <w:rFonts w:hint="eastAsia"/>
                      <w:color w:val="auto"/>
                      <w:spacing w:val="-10"/>
                      <w:sz w:val="18"/>
                      <w:szCs w:val="18"/>
                      <w:highlight w:val="none"/>
                      <w:lang w:val="en-US" w:eastAsia="zh-CN"/>
                    </w:rPr>
                  </w:pPr>
                </w:p>
              </w:tc>
            </w:tr>
            <w:tr w14:paraId="501681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8" w:type="pct"/>
                  <w:vMerge w:val="continue"/>
                  <w:noWrap w:val="0"/>
                  <w:vAlign w:val="center"/>
                </w:tcPr>
                <w:p w14:paraId="21AE9964">
                  <w:pPr>
                    <w:pStyle w:val="110"/>
                    <w:keepNext w:val="0"/>
                    <w:keepLines w:val="0"/>
                    <w:pageBreakBefore w:val="0"/>
                    <w:suppressLineNumbers w:val="0"/>
                    <w:wordWrap/>
                    <w:bidi w:val="0"/>
                    <w:spacing w:before="0" w:beforeAutospacing="0" w:after="0" w:afterAutospacing="0" w:line="360" w:lineRule="auto"/>
                    <w:ind w:left="0" w:leftChars="0" w:right="0"/>
                    <w:rPr>
                      <w:rFonts w:hint="eastAsia"/>
                      <w:color w:val="auto"/>
                      <w:sz w:val="18"/>
                      <w:szCs w:val="18"/>
                      <w:highlight w:val="none"/>
                      <w:lang w:val="en-US" w:eastAsia="zh-CN"/>
                    </w:rPr>
                  </w:pPr>
                </w:p>
              </w:tc>
              <w:tc>
                <w:tcPr>
                  <w:tcW w:w="232" w:type="pct"/>
                  <w:vMerge w:val="continue"/>
                  <w:noWrap w:val="0"/>
                  <w:vAlign w:val="center"/>
                </w:tcPr>
                <w:p w14:paraId="155B39F8">
                  <w:pPr>
                    <w:pStyle w:val="110"/>
                    <w:keepNext w:val="0"/>
                    <w:keepLines w:val="0"/>
                    <w:pageBreakBefore w:val="0"/>
                    <w:suppressLineNumbers w:val="0"/>
                    <w:wordWrap/>
                    <w:bidi w:val="0"/>
                    <w:spacing w:before="0" w:beforeAutospacing="0" w:after="0" w:afterAutospacing="0" w:line="360" w:lineRule="auto"/>
                    <w:ind w:left="0" w:leftChars="0" w:right="0"/>
                    <w:rPr>
                      <w:rFonts w:hint="eastAsia"/>
                      <w:color w:val="auto"/>
                      <w:sz w:val="18"/>
                      <w:szCs w:val="18"/>
                      <w:highlight w:val="none"/>
                      <w:lang w:val="en-US" w:eastAsia="zh-CN"/>
                    </w:rPr>
                  </w:pPr>
                </w:p>
              </w:tc>
              <w:tc>
                <w:tcPr>
                  <w:tcW w:w="435" w:type="pct"/>
                  <w:vMerge w:val="continue"/>
                  <w:noWrap w:val="0"/>
                  <w:vAlign w:val="center"/>
                </w:tcPr>
                <w:p w14:paraId="56A7E1F9">
                  <w:pPr>
                    <w:pStyle w:val="110"/>
                    <w:keepNext w:val="0"/>
                    <w:keepLines w:val="0"/>
                    <w:pageBreakBefore w:val="0"/>
                    <w:suppressLineNumbers w:val="0"/>
                    <w:wordWrap/>
                    <w:bidi w:val="0"/>
                    <w:spacing w:before="0" w:beforeAutospacing="0" w:after="0" w:afterAutospacing="0" w:line="360" w:lineRule="auto"/>
                    <w:ind w:left="0" w:leftChars="0" w:right="0"/>
                    <w:rPr>
                      <w:rFonts w:hint="eastAsia"/>
                      <w:color w:val="auto"/>
                      <w:sz w:val="18"/>
                      <w:szCs w:val="18"/>
                      <w:highlight w:val="none"/>
                      <w:lang w:val="en-US" w:eastAsia="zh-CN"/>
                    </w:rPr>
                  </w:pPr>
                </w:p>
              </w:tc>
              <w:tc>
                <w:tcPr>
                  <w:tcW w:w="361" w:type="pct"/>
                  <w:noWrap w:val="0"/>
                  <w:vAlign w:val="center"/>
                </w:tcPr>
                <w:p w14:paraId="2D857D7D">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eastAsia"/>
                      <w:color w:val="auto"/>
                      <w:sz w:val="18"/>
                      <w:szCs w:val="18"/>
                      <w:highlight w:val="none"/>
                      <w:lang w:val="en-US" w:eastAsia="zh-CN"/>
                    </w:rPr>
                  </w:pPr>
                  <w:r>
                    <w:rPr>
                      <w:rFonts w:hint="eastAsia"/>
                      <w:color w:val="auto"/>
                      <w:spacing w:val="-10"/>
                      <w:kern w:val="0"/>
                      <w:sz w:val="18"/>
                      <w:szCs w:val="18"/>
                      <w:highlight w:val="none"/>
                    </w:rPr>
                    <w:t>烟气黑度</w:t>
                  </w:r>
                </w:p>
              </w:tc>
              <w:tc>
                <w:tcPr>
                  <w:tcW w:w="255" w:type="pct"/>
                  <w:noWrap w:val="0"/>
                  <w:vAlign w:val="center"/>
                </w:tcPr>
                <w:p w14:paraId="6E6DA477">
                  <w:pPr>
                    <w:pStyle w:val="110"/>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lang w:val="en-US" w:eastAsia="zh-CN"/>
                    </w:rPr>
                  </w:pPr>
                  <w:r>
                    <w:rPr>
                      <w:rFonts w:hint="eastAsia"/>
                      <w:color w:val="auto"/>
                      <w:sz w:val="18"/>
                      <w:szCs w:val="18"/>
                      <w:highlight w:val="none"/>
                      <w:lang w:val="en-US" w:eastAsia="zh-CN"/>
                    </w:rPr>
                    <w:t>类比法</w:t>
                  </w:r>
                </w:p>
              </w:tc>
              <w:tc>
                <w:tcPr>
                  <w:tcW w:w="384" w:type="pct"/>
                  <w:vMerge w:val="continue"/>
                  <w:noWrap w:val="0"/>
                  <w:vAlign w:val="center"/>
                </w:tcPr>
                <w:p w14:paraId="06B6B4BF">
                  <w:pPr>
                    <w:pStyle w:val="110"/>
                    <w:keepNext w:val="0"/>
                    <w:keepLines w:val="0"/>
                    <w:pageBreakBefore w:val="0"/>
                    <w:suppressLineNumbers w:val="0"/>
                    <w:wordWrap/>
                    <w:bidi w:val="0"/>
                    <w:spacing w:before="0" w:beforeAutospacing="0" w:after="0" w:afterAutospacing="0" w:line="360" w:lineRule="auto"/>
                    <w:ind w:left="0" w:leftChars="0" w:right="0"/>
                    <w:rPr>
                      <w:rFonts w:hint="eastAsia"/>
                      <w:color w:val="auto"/>
                      <w:sz w:val="18"/>
                      <w:szCs w:val="18"/>
                      <w:highlight w:val="none"/>
                      <w:lang w:val="en-US" w:eastAsia="zh-CN"/>
                    </w:rPr>
                  </w:pPr>
                </w:p>
              </w:tc>
              <w:tc>
                <w:tcPr>
                  <w:tcW w:w="408" w:type="pct"/>
                  <w:noWrap w:val="0"/>
                  <w:vAlign w:val="center"/>
                </w:tcPr>
                <w:p w14:paraId="3DA60DA5">
                  <w:pPr>
                    <w:pStyle w:val="110"/>
                    <w:keepNext w:val="0"/>
                    <w:keepLines w:val="0"/>
                    <w:pageBreakBefore w:val="0"/>
                    <w:suppressLineNumbers w:val="0"/>
                    <w:wordWrap/>
                    <w:bidi w:val="0"/>
                    <w:spacing w:before="0" w:beforeAutospacing="0" w:after="0" w:afterAutospacing="0" w:line="360" w:lineRule="auto"/>
                    <w:ind w:left="0" w:leftChars="0" w:right="0" w:rightChars="0"/>
                    <w:rPr>
                      <w:rFonts w:hint="eastAsia" w:cs="Times New Roman"/>
                      <w:color w:val="auto"/>
                      <w:kern w:val="0"/>
                      <w:sz w:val="18"/>
                      <w:szCs w:val="18"/>
                      <w:highlight w:val="none"/>
                      <w:lang w:val="en-US" w:eastAsia="zh-CN" w:bidi="ar-SA"/>
                    </w:rPr>
                  </w:pPr>
                  <w:r>
                    <w:rPr>
                      <w:rFonts w:hint="default"/>
                      <w:color w:val="auto"/>
                      <w:sz w:val="18"/>
                      <w:szCs w:val="18"/>
                      <w:highlight w:val="none"/>
                    </w:rPr>
                    <w:t>/</w:t>
                  </w:r>
                </w:p>
              </w:tc>
              <w:tc>
                <w:tcPr>
                  <w:tcW w:w="423" w:type="pct"/>
                  <w:noWrap w:val="0"/>
                  <w:vAlign w:val="center"/>
                </w:tcPr>
                <w:p w14:paraId="5371E1C0">
                  <w:pPr>
                    <w:pStyle w:val="110"/>
                    <w:keepNext w:val="0"/>
                    <w:keepLines w:val="0"/>
                    <w:pageBreakBefore w:val="0"/>
                    <w:suppressLineNumbers w:val="0"/>
                    <w:wordWrap/>
                    <w:bidi w:val="0"/>
                    <w:spacing w:before="0" w:beforeAutospacing="0" w:after="0" w:afterAutospacing="0" w:line="360" w:lineRule="auto"/>
                    <w:ind w:left="0" w:leftChars="0" w:right="0" w:rightChars="0"/>
                    <w:rPr>
                      <w:rFonts w:hint="eastAsia" w:cs="Times New Roman"/>
                      <w:color w:val="auto"/>
                      <w:kern w:val="0"/>
                      <w:sz w:val="18"/>
                      <w:szCs w:val="18"/>
                      <w:highlight w:val="none"/>
                      <w:lang w:val="en-US" w:eastAsia="zh-CN" w:bidi="ar-SA"/>
                    </w:rPr>
                  </w:pPr>
                  <w:r>
                    <w:rPr>
                      <w:rFonts w:hint="default"/>
                      <w:color w:val="auto"/>
                      <w:sz w:val="18"/>
                      <w:szCs w:val="18"/>
                      <w:highlight w:val="none"/>
                    </w:rPr>
                    <w:t>/</w:t>
                  </w:r>
                </w:p>
              </w:tc>
              <w:tc>
                <w:tcPr>
                  <w:tcW w:w="354" w:type="pct"/>
                  <w:noWrap w:val="0"/>
                  <w:vAlign w:val="center"/>
                </w:tcPr>
                <w:p w14:paraId="48916AE2">
                  <w:pPr>
                    <w:pStyle w:val="110"/>
                    <w:keepNext w:val="0"/>
                    <w:keepLines w:val="0"/>
                    <w:pageBreakBefore w:val="0"/>
                    <w:suppressLineNumbers w:val="0"/>
                    <w:wordWrap/>
                    <w:bidi w:val="0"/>
                    <w:spacing w:before="0" w:beforeAutospacing="0" w:after="0" w:afterAutospacing="0" w:line="360" w:lineRule="auto"/>
                    <w:ind w:left="0" w:leftChars="0" w:right="0" w:rightChars="0"/>
                    <w:rPr>
                      <w:rFonts w:hint="eastAsia" w:cs="Times New Roman"/>
                      <w:color w:val="auto"/>
                      <w:kern w:val="0"/>
                      <w:sz w:val="18"/>
                      <w:szCs w:val="18"/>
                      <w:highlight w:val="none"/>
                      <w:lang w:val="en-US" w:eastAsia="zh-CN" w:bidi="ar-SA"/>
                    </w:rPr>
                  </w:pPr>
                  <w:r>
                    <w:rPr>
                      <w:rFonts w:hint="default"/>
                      <w:color w:val="auto"/>
                      <w:sz w:val="18"/>
                      <w:szCs w:val="18"/>
                      <w:highlight w:val="none"/>
                    </w:rPr>
                    <w:t>/</w:t>
                  </w:r>
                </w:p>
              </w:tc>
              <w:tc>
                <w:tcPr>
                  <w:tcW w:w="395" w:type="pct"/>
                  <w:noWrap w:val="0"/>
                  <w:vAlign w:val="center"/>
                </w:tcPr>
                <w:p w14:paraId="79B65F5B">
                  <w:pPr>
                    <w:pStyle w:val="110"/>
                    <w:keepNext w:val="0"/>
                    <w:keepLines w:val="0"/>
                    <w:pageBreakBefore w:val="0"/>
                    <w:suppressLineNumbers w:val="0"/>
                    <w:wordWrap/>
                    <w:bidi w:val="0"/>
                    <w:spacing w:before="0" w:beforeAutospacing="0" w:after="0" w:afterAutospacing="0" w:line="360" w:lineRule="auto"/>
                    <w:ind w:left="0" w:leftChars="0" w:right="0" w:rightChars="0"/>
                    <w:rPr>
                      <w:rFonts w:hint="eastAsia" w:cs="Times New Roman"/>
                      <w:color w:val="auto"/>
                      <w:kern w:val="0"/>
                      <w:sz w:val="18"/>
                      <w:szCs w:val="18"/>
                      <w:highlight w:val="none"/>
                      <w:lang w:val="en-US" w:eastAsia="zh-CN" w:bidi="ar-SA"/>
                    </w:rPr>
                  </w:pPr>
                  <w:r>
                    <w:rPr>
                      <w:rFonts w:hint="default"/>
                      <w:color w:val="auto"/>
                      <w:sz w:val="18"/>
                      <w:szCs w:val="18"/>
                      <w:highlight w:val="none"/>
                    </w:rPr>
                    <w:t>/</w:t>
                  </w:r>
                </w:p>
              </w:tc>
              <w:tc>
                <w:tcPr>
                  <w:tcW w:w="356" w:type="pct"/>
                  <w:vMerge w:val="continue"/>
                  <w:noWrap w:val="0"/>
                  <w:vAlign w:val="center"/>
                </w:tcPr>
                <w:p w14:paraId="79DC779A">
                  <w:pPr>
                    <w:pStyle w:val="110"/>
                    <w:keepNext w:val="0"/>
                    <w:keepLines w:val="0"/>
                    <w:pageBreakBefore w:val="0"/>
                    <w:suppressLineNumbers w:val="0"/>
                    <w:wordWrap/>
                    <w:bidi w:val="0"/>
                    <w:spacing w:before="0" w:beforeAutospacing="0" w:after="0" w:afterAutospacing="0" w:line="360" w:lineRule="auto"/>
                    <w:ind w:left="0" w:leftChars="0" w:right="0"/>
                    <w:rPr>
                      <w:rFonts w:hint="eastAsia" w:cs="Times New Roman"/>
                      <w:color w:val="auto"/>
                      <w:kern w:val="0"/>
                      <w:sz w:val="18"/>
                      <w:szCs w:val="18"/>
                      <w:highlight w:val="none"/>
                      <w:lang w:val="en-US" w:eastAsia="zh-CN" w:bidi="ar-SA"/>
                    </w:rPr>
                  </w:pPr>
                </w:p>
              </w:tc>
              <w:tc>
                <w:tcPr>
                  <w:tcW w:w="402" w:type="pct"/>
                  <w:noWrap w:val="0"/>
                  <w:vAlign w:val="center"/>
                </w:tcPr>
                <w:p w14:paraId="74BE0B84">
                  <w:pPr>
                    <w:pStyle w:val="110"/>
                    <w:keepNext w:val="0"/>
                    <w:keepLines w:val="0"/>
                    <w:pageBreakBefore w:val="0"/>
                    <w:suppressLineNumbers w:val="0"/>
                    <w:wordWrap/>
                    <w:bidi w:val="0"/>
                    <w:spacing w:before="0" w:beforeAutospacing="0" w:after="0" w:afterAutospacing="0" w:line="360" w:lineRule="auto"/>
                    <w:ind w:left="0" w:leftChars="0" w:right="0" w:rightChars="0"/>
                    <w:rPr>
                      <w:rFonts w:hint="eastAsia" w:cs="Times New Roman"/>
                      <w:color w:val="auto"/>
                      <w:kern w:val="0"/>
                      <w:sz w:val="18"/>
                      <w:szCs w:val="18"/>
                      <w:highlight w:val="none"/>
                      <w:lang w:val="en-US" w:eastAsia="zh-CN" w:bidi="ar-SA"/>
                    </w:rPr>
                  </w:pPr>
                  <w:r>
                    <w:rPr>
                      <w:rFonts w:hint="eastAsia"/>
                      <w:color w:val="auto"/>
                      <w:sz w:val="18"/>
                      <w:szCs w:val="18"/>
                      <w:highlight w:val="none"/>
                    </w:rPr>
                    <w:t>＜1</w:t>
                  </w:r>
                </w:p>
              </w:tc>
              <w:tc>
                <w:tcPr>
                  <w:tcW w:w="426" w:type="pct"/>
                  <w:noWrap w:val="0"/>
                  <w:vAlign w:val="center"/>
                </w:tcPr>
                <w:p w14:paraId="28660C7F">
                  <w:pPr>
                    <w:pStyle w:val="110"/>
                    <w:keepNext w:val="0"/>
                    <w:keepLines w:val="0"/>
                    <w:pageBreakBefore w:val="0"/>
                    <w:suppressLineNumbers w:val="0"/>
                    <w:wordWrap/>
                    <w:bidi w:val="0"/>
                    <w:spacing w:before="0" w:beforeAutospacing="0" w:after="0" w:afterAutospacing="0" w:line="360" w:lineRule="auto"/>
                    <w:ind w:left="0" w:leftChars="0" w:right="0" w:rightChars="0"/>
                    <w:rPr>
                      <w:rFonts w:hint="eastAsia" w:cs="Times New Roman"/>
                      <w:color w:val="auto"/>
                      <w:kern w:val="0"/>
                      <w:sz w:val="18"/>
                      <w:szCs w:val="18"/>
                      <w:highlight w:val="none"/>
                      <w:lang w:val="en-US" w:eastAsia="zh-CN" w:bidi="ar-SA"/>
                    </w:rPr>
                  </w:pPr>
                  <w:r>
                    <w:rPr>
                      <w:rFonts w:hint="default"/>
                      <w:color w:val="auto"/>
                      <w:sz w:val="18"/>
                      <w:szCs w:val="18"/>
                      <w:highlight w:val="none"/>
                    </w:rPr>
                    <w:t>/</w:t>
                  </w:r>
                </w:p>
              </w:tc>
              <w:tc>
                <w:tcPr>
                  <w:tcW w:w="334" w:type="pct"/>
                  <w:vMerge w:val="continue"/>
                  <w:noWrap w:val="0"/>
                  <w:vAlign w:val="center"/>
                </w:tcPr>
                <w:p w14:paraId="6360B101">
                  <w:pPr>
                    <w:keepNext w:val="0"/>
                    <w:keepLines w:val="0"/>
                    <w:pageBreakBefore w:val="0"/>
                    <w:suppressLineNumbers w:val="0"/>
                    <w:wordWrap/>
                    <w:bidi w:val="0"/>
                    <w:spacing w:before="0" w:beforeAutospacing="0" w:after="0" w:afterAutospacing="0" w:line="360" w:lineRule="auto"/>
                    <w:ind w:left="0" w:leftChars="0" w:right="0"/>
                    <w:jc w:val="center"/>
                    <w:textAlignment w:val="center"/>
                    <w:rPr>
                      <w:rFonts w:hint="eastAsia"/>
                      <w:color w:val="auto"/>
                      <w:spacing w:val="-10"/>
                      <w:sz w:val="18"/>
                      <w:szCs w:val="18"/>
                      <w:highlight w:val="none"/>
                      <w:lang w:val="en-US" w:eastAsia="zh-CN"/>
                    </w:rPr>
                  </w:pPr>
                </w:p>
              </w:tc>
            </w:tr>
          </w:tbl>
          <w:p w14:paraId="66D973E9">
            <w:pPr>
              <w:pStyle w:val="112"/>
              <w:keepNext w:val="0"/>
              <w:keepLines w:val="0"/>
              <w:pageBreakBefore w:val="0"/>
              <w:suppressLineNumbers w:val="0"/>
              <w:wordWrap/>
              <w:bidi w:val="0"/>
              <w:spacing w:before="0" w:beforeAutospacing="0" w:after="0" w:afterAutospacing="0" w:line="240" w:lineRule="auto"/>
              <w:ind w:left="0" w:leftChars="0" w:right="0"/>
              <w:rPr>
                <w:rFonts w:hint="eastAsia" w:ascii="Times New Roman" w:hAnsi="Times New Roman" w:cs="Times New Roman" w:eastAsiaTheme="minorEastAsia"/>
                <w:b/>
                <w:bCs/>
                <w:color w:val="auto"/>
                <w:kern w:val="2"/>
                <w:sz w:val="21"/>
                <w:szCs w:val="24"/>
                <w:highlight w:val="none"/>
                <w:lang w:val="en-US" w:eastAsia="zh-CN" w:bidi="ar-SA"/>
              </w:rPr>
            </w:pPr>
            <w:r>
              <w:rPr>
                <w:rFonts w:hint="eastAsia" w:ascii="Times New Roman" w:hAnsi="Times New Roman" w:cs="Times New Roman" w:eastAsiaTheme="minorEastAsia"/>
                <w:b/>
                <w:bCs/>
                <w:color w:val="auto"/>
                <w:kern w:val="2"/>
                <w:sz w:val="21"/>
                <w:szCs w:val="24"/>
                <w:highlight w:val="none"/>
                <w:lang w:val="en-US" w:eastAsia="zh-CN" w:bidi="ar-SA"/>
              </w:rPr>
              <w:t>表4-</w:t>
            </w:r>
            <w:r>
              <w:rPr>
                <w:rFonts w:hint="eastAsia" w:ascii="Times New Roman" w:cs="Times New Roman" w:eastAsiaTheme="minorEastAsia"/>
                <w:b/>
                <w:bCs/>
                <w:color w:val="auto"/>
                <w:kern w:val="2"/>
                <w:sz w:val="21"/>
                <w:szCs w:val="24"/>
                <w:highlight w:val="none"/>
                <w:lang w:val="en-US" w:eastAsia="zh-CN" w:bidi="ar-SA"/>
              </w:rPr>
              <w:t>3</w:t>
            </w:r>
            <w:r>
              <w:rPr>
                <w:rFonts w:hint="eastAsia" w:ascii="Times New Roman" w:hAnsi="Times New Roman" w:cs="Times New Roman" w:eastAsiaTheme="minorEastAsia"/>
                <w:b/>
                <w:bCs/>
                <w:color w:val="auto"/>
                <w:kern w:val="2"/>
                <w:sz w:val="21"/>
                <w:szCs w:val="24"/>
                <w:highlight w:val="none"/>
                <w:lang w:val="en-US" w:eastAsia="zh-CN" w:bidi="ar-SA"/>
              </w:rPr>
              <w:t xml:space="preserve">  大气污染物有组织排放量核算表</w:t>
            </w:r>
          </w:p>
          <w:tbl>
            <w:tblPr>
              <w:tblStyle w:val="31"/>
              <w:tblW w:w="820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9"/>
              <w:gridCol w:w="1364"/>
              <w:gridCol w:w="1359"/>
              <w:gridCol w:w="1476"/>
              <w:gridCol w:w="1530"/>
              <w:gridCol w:w="1799"/>
            </w:tblGrid>
            <w:tr w14:paraId="51D525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4" w:type="pct"/>
                  <w:noWrap w:val="0"/>
                  <w:vAlign w:val="center"/>
                </w:tcPr>
                <w:p w14:paraId="07219F62">
                  <w:pPr>
                    <w:pStyle w:val="110"/>
                    <w:keepNext w:val="0"/>
                    <w:keepLines w:val="0"/>
                    <w:pageBreakBefore w:val="0"/>
                    <w:suppressLineNumbers w:val="0"/>
                    <w:wordWrap/>
                    <w:bidi w:val="0"/>
                    <w:spacing w:before="0" w:beforeAutospacing="0" w:after="0" w:afterAutospacing="0" w:line="360" w:lineRule="auto"/>
                    <w:ind w:left="0" w:leftChars="0" w:right="0"/>
                    <w:rPr>
                      <w:rFonts w:hint="default"/>
                      <w:color w:val="auto"/>
                      <w:szCs w:val="21"/>
                      <w:highlight w:val="none"/>
                    </w:rPr>
                  </w:pPr>
                  <w:r>
                    <w:rPr>
                      <w:rFonts w:hint="default"/>
                      <w:color w:val="auto"/>
                      <w:szCs w:val="21"/>
                      <w:highlight w:val="none"/>
                    </w:rPr>
                    <w:t>序号</w:t>
                  </w:r>
                </w:p>
              </w:tc>
              <w:tc>
                <w:tcPr>
                  <w:tcW w:w="830" w:type="pct"/>
                  <w:noWrap w:val="0"/>
                  <w:vAlign w:val="center"/>
                </w:tcPr>
                <w:p w14:paraId="42C60E79">
                  <w:pPr>
                    <w:pStyle w:val="110"/>
                    <w:keepNext w:val="0"/>
                    <w:keepLines w:val="0"/>
                    <w:pageBreakBefore w:val="0"/>
                    <w:suppressLineNumbers w:val="0"/>
                    <w:wordWrap/>
                    <w:bidi w:val="0"/>
                    <w:spacing w:before="0" w:beforeAutospacing="0" w:after="0" w:afterAutospacing="0" w:line="360" w:lineRule="auto"/>
                    <w:ind w:left="0" w:leftChars="0" w:right="0"/>
                    <w:rPr>
                      <w:rFonts w:hint="default"/>
                      <w:color w:val="auto"/>
                      <w:szCs w:val="21"/>
                      <w:highlight w:val="none"/>
                    </w:rPr>
                  </w:pPr>
                  <w:r>
                    <w:rPr>
                      <w:rFonts w:hint="default"/>
                      <w:color w:val="auto"/>
                      <w:szCs w:val="21"/>
                      <w:highlight w:val="none"/>
                    </w:rPr>
                    <w:t>排放口编号</w:t>
                  </w:r>
                </w:p>
              </w:tc>
              <w:tc>
                <w:tcPr>
                  <w:tcW w:w="828" w:type="pct"/>
                  <w:noWrap w:val="0"/>
                  <w:vAlign w:val="center"/>
                </w:tcPr>
                <w:p w14:paraId="4E12E44E">
                  <w:pPr>
                    <w:pStyle w:val="110"/>
                    <w:keepNext w:val="0"/>
                    <w:keepLines w:val="0"/>
                    <w:pageBreakBefore w:val="0"/>
                    <w:suppressLineNumbers w:val="0"/>
                    <w:wordWrap/>
                    <w:bidi w:val="0"/>
                    <w:spacing w:before="0" w:beforeAutospacing="0" w:after="0" w:afterAutospacing="0" w:line="360" w:lineRule="auto"/>
                    <w:ind w:left="0" w:leftChars="0" w:right="0"/>
                    <w:rPr>
                      <w:rFonts w:hint="default" w:eastAsia="宋体"/>
                      <w:color w:val="auto"/>
                      <w:szCs w:val="21"/>
                      <w:highlight w:val="none"/>
                      <w:lang w:val="en-US" w:eastAsia="zh-CN"/>
                    </w:rPr>
                  </w:pPr>
                  <w:r>
                    <w:rPr>
                      <w:rFonts w:hint="default"/>
                      <w:color w:val="auto"/>
                      <w:szCs w:val="21"/>
                      <w:highlight w:val="none"/>
                    </w:rPr>
                    <w:t>污染物</w:t>
                  </w:r>
                  <w:r>
                    <w:rPr>
                      <w:rFonts w:hint="eastAsia"/>
                      <w:color w:val="auto"/>
                      <w:szCs w:val="21"/>
                      <w:highlight w:val="none"/>
                      <w:lang w:val="en-US" w:eastAsia="zh-CN"/>
                    </w:rPr>
                    <w:t>··</w:t>
                  </w:r>
                </w:p>
              </w:tc>
              <w:tc>
                <w:tcPr>
                  <w:tcW w:w="899" w:type="pct"/>
                  <w:noWrap w:val="0"/>
                  <w:vAlign w:val="center"/>
                </w:tcPr>
                <w:p w14:paraId="76B9B20D">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color w:val="auto"/>
                      <w:sz w:val="21"/>
                      <w:szCs w:val="21"/>
                      <w:highlight w:val="none"/>
                    </w:rPr>
                  </w:pPr>
                  <w:r>
                    <w:rPr>
                      <w:rFonts w:hint="eastAsia"/>
                      <w:color w:val="auto"/>
                      <w:spacing w:val="-10"/>
                      <w:kern w:val="0"/>
                      <w:sz w:val="21"/>
                      <w:szCs w:val="21"/>
                      <w:highlight w:val="none"/>
                      <w:lang w:val="en-US" w:eastAsia="zh-CN"/>
                    </w:rPr>
                    <w:t>核算</w:t>
                  </w:r>
                  <w:r>
                    <w:rPr>
                      <w:rFonts w:hint="default"/>
                      <w:color w:val="auto"/>
                      <w:spacing w:val="-10"/>
                      <w:kern w:val="0"/>
                      <w:sz w:val="21"/>
                      <w:szCs w:val="21"/>
                      <w:highlight w:val="none"/>
                    </w:rPr>
                    <w:t>排放浓度</w:t>
                  </w:r>
                  <w:r>
                    <w:rPr>
                      <w:rFonts w:hint="eastAsia"/>
                      <w:color w:val="auto"/>
                      <w:spacing w:val="-10"/>
                      <w:kern w:val="0"/>
                      <w:sz w:val="21"/>
                      <w:szCs w:val="21"/>
                      <w:highlight w:val="none"/>
                      <w:lang w:eastAsia="zh-CN"/>
                    </w:rPr>
                    <w:t>（</w:t>
                  </w:r>
                  <w:r>
                    <w:rPr>
                      <w:rFonts w:hint="default"/>
                      <w:color w:val="auto"/>
                      <w:spacing w:val="-10"/>
                      <w:kern w:val="0"/>
                      <w:sz w:val="21"/>
                      <w:szCs w:val="21"/>
                      <w:highlight w:val="none"/>
                    </w:rPr>
                    <w:t>mg/m</w:t>
                  </w:r>
                  <w:r>
                    <w:rPr>
                      <w:rFonts w:hint="default"/>
                      <w:color w:val="auto"/>
                      <w:spacing w:val="-10"/>
                      <w:kern w:val="0"/>
                      <w:sz w:val="21"/>
                      <w:szCs w:val="21"/>
                      <w:highlight w:val="none"/>
                      <w:vertAlign w:val="superscript"/>
                    </w:rPr>
                    <w:t>3</w:t>
                  </w:r>
                  <w:r>
                    <w:rPr>
                      <w:rFonts w:hint="eastAsia"/>
                      <w:color w:val="auto"/>
                      <w:spacing w:val="-10"/>
                      <w:kern w:val="0"/>
                      <w:sz w:val="21"/>
                      <w:szCs w:val="21"/>
                      <w:highlight w:val="none"/>
                      <w:lang w:eastAsia="zh-CN"/>
                    </w:rPr>
                    <w:t>）</w:t>
                  </w:r>
                </w:p>
              </w:tc>
              <w:tc>
                <w:tcPr>
                  <w:tcW w:w="932" w:type="pct"/>
                  <w:noWrap w:val="0"/>
                  <w:vAlign w:val="center"/>
                </w:tcPr>
                <w:p w14:paraId="6344B558">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color w:val="auto"/>
                      <w:sz w:val="21"/>
                      <w:szCs w:val="21"/>
                      <w:highlight w:val="none"/>
                    </w:rPr>
                  </w:pPr>
                  <w:r>
                    <w:rPr>
                      <w:rFonts w:hint="eastAsia"/>
                      <w:color w:val="auto"/>
                      <w:spacing w:val="-10"/>
                      <w:kern w:val="0"/>
                      <w:sz w:val="21"/>
                      <w:szCs w:val="21"/>
                      <w:highlight w:val="none"/>
                      <w:lang w:val="en-US" w:eastAsia="zh-CN"/>
                    </w:rPr>
                    <w:t>核算</w:t>
                  </w:r>
                  <w:r>
                    <w:rPr>
                      <w:rFonts w:hint="default"/>
                      <w:color w:val="auto"/>
                      <w:spacing w:val="-10"/>
                      <w:kern w:val="0"/>
                      <w:sz w:val="21"/>
                      <w:szCs w:val="21"/>
                      <w:highlight w:val="none"/>
                    </w:rPr>
                    <w:t>排放量</w:t>
                  </w:r>
                  <w:r>
                    <w:rPr>
                      <w:rFonts w:hint="eastAsia"/>
                      <w:color w:val="auto"/>
                      <w:spacing w:val="-10"/>
                      <w:kern w:val="0"/>
                      <w:sz w:val="21"/>
                      <w:szCs w:val="21"/>
                      <w:highlight w:val="none"/>
                      <w:lang w:eastAsia="zh-CN"/>
                    </w:rPr>
                    <w:t>（</w:t>
                  </w:r>
                  <w:r>
                    <w:rPr>
                      <w:rFonts w:hint="default"/>
                      <w:color w:val="auto"/>
                      <w:spacing w:val="-10"/>
                      <w:kern w:val="0"/>
                      <w:sz w:val="21"/>
                      <w:szCs w:val="21"/>
                      <w:highlight w:val="none"/>
                    </w:rPr>
                    <w:t>kg/h</w:t>
                  </w:r>
                  <w:r>
                    <w:rPr>
                      <w:rFonts w:hint="eastAsia"/>
                      <w:color w:val="auto"/>
                      <w:spacing w:val="-10"/>
                      <w:kern w:val="0"/>
                      <w:sz w:val="21"/>
                      <w:szCs w:val="21"/>
                      <w:highlight w:val="none"/>
                      <w:lang w:eastAsia="zh-CN"/>
                    </w:rPr>
                    <w:t>）</w:t>
                  </w:r>
                </w:p>
              </w:tc>
              <w:tc>
                <w:tcPr>
                  <w:tcW w:w="1093" w:type="pct"/>
                  <w:noWrap w:val="0"/>
                  <w:vAlign w:val="center"/>
                </w:tcPr>
                <w:p w14:paraId="3134CA5D">
                  <w:pPr>
                    <w:pStyle w:val="110"/>
                    <w:keepNext w:val="0"/>
                    <w:keepLines w:val="0"/>
                    <w:pageBreakBefore w:val="0"/>
                    <w:suppressLineNumbers w:val="0"/>
                    <w:wordWrap/>
                    <w:bidi w:val="0"/>
                    <w:spacing w:before="0" w:beforeAutospacing="0" w:after="0" w:afterAutospacing="0" w:line="360" w:lineRule="auto"/>
                    <w:ind w:left="0" w:leftChars="0" w:right="0"/>
                    <w:rPr>
                      <w:rFonts w:hint="default"/>
                      <w:color w:val="auto"/>
                      <w:szCs w:val="21"/>
                      <w:highlight w:val="none"/>
                    </w:rPr>
                  </w:pPr>
                  <w:r>
                    <w:rPr>
                      <w:rFonts w:hint="default"/>
                      <w:color w:val="auto"/>
                      <w:szCs w:val="21"/>
                      <w:highlight w:val="none"/>
                    </w:rPr>
                    <w:t>核算年排放量</w:t>
                  </w:r>
                </w:p>
                <w:p w14:paraId="65423AD3">
                  <w:pPr>
                    <w:pStyle w:val="110"/>
                    <w:keepNext w:val="0"/>
                    <w:keepLines w:val="0"/>
                    <w:pageBreakBefore w:val="0"/>
                    <w:suppressLineNumbers w:val="0"/>
                    <w:wordWrap/>
                    <w:bidi w:val="0"/>
                    <w:spacing w:before="0" w:beforeAutospacing="0" w:after="0" w:afterAutospacing="0" w:line="360" w:lineRule="auto"/>
                    <w:ind w:left="0" w:leftChars="0" w:right="0"/>
                    <w:rPr>
                      <w:rFonts w:hint="default"/>
                      <w:color w:val="auto"/>
                      <w:szCs w:val="21"/>
                      <w:highlight w:val="none"/>
                    </w:rPr>
                  </w:pPr>
                  <w:r>
                    <w:rPr>
                      <w:rFonts w:hint="default"/>
                      <w:color w:val="auto"/>
                      <w:szCs w:val="21"/>
                      <w:highlight w:val="none"/>
                    </w:rPr>
                    <w:t>（t/a）</w:t>
                  </w:r>
                </w:p>
              </w:tc>
            </w:tr>
            <w:tr w14:paraId="594313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6"/>
                  <w:noWrap w:val="0"/>
                  <w:vAlign w:val="center"/>
                </w:tcPr>
                <w:p w14:paraId="0F361859">
                  <w:pPr>
                    <w:pStyle w:val="110"/>
                    <w:keepNext w:val="0"/>
                    <w:keepLines w:val="0"/>
                    <w:pageBreakBefore w:val="0"/>
                    <w:suppressLineNumbers w:val="0"/>
                    <w:wordWrap/>
                    <w:bidi w:val="0"/>
                    <w:spacing w:before="0" w:beforeAutospacing="0" w:after="0" w:afterAutospacing="0" w:line="360" w:lineRule="auto"/>
                    <w:ind w:left="0" w:leftChars="0" w:right="0"/>
                    <w:rPr>
                      <w:rFonts w:hint="default"/>
                      <w:color w:val="auto"/>
                      <w:szCs w:val="21"/>
                      <w:highlight w:val="none"/>
                    </w:rPr>
                  </w:pPr>
                  <w:r>
                    <w:rPr>
                      <w:rFonts w:hint="eastAsia"/>
                      <w:color w:val="auto"/>
                      <w:szCs w:val="21"/>
                      <w:highlight w:val="none"/>
                    </w:rPr>
                    <w:t>一般排放口</w:t>
                  </w:r>
                </w:p>
              </w:tc>
            </w:tr>
            <w:tr w14:paraId="1D56CF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4" w:type="pct"/>
                  <w:noWrap w:val="0"/>
                  <w:vAlign w:val="center"/>
                </w:tcPr>
                <w:p w14:paraId="4C5EFDA9">
                  <w:pPr>
                    <w:pStyle w:val="110"/>
                    <w:keepNext w:val="0"/>
                    <w:keepLines w:val="0"/>
                    <w:pageBreakBefore w:val="0"/>
                    <w:suppressLineNumbers w:val="0"/>
                    <w:wordWrap/>
                    <w:bidi w:val="0"/>
                    <w:spacing w:before="0" w:beforeAutospacing="0" w:after="0" w:afterAutospacing="0" w:line="360" w:lineRule="auto"/>
                    <w:ind w:left="0" w:leftChars="0" w:right="0" w:rightChars="0"/>
                    <w:rPr>
                      <w:rFonts w:hint="eastAsia" w:ascii="Times New Roman" w:hAnsi="Times New Roman" w:eastAsia="宋体" w:cs="Times New Roman"/>
                      <w:color w:val="auto"/>
                      <w:kern w:val="0"/>
                      <w:sz w:val="21"/>
                      <w:szCs w:val="21"/>
                      <w:highlight w:val="none"/>
                      <w:lang w:val="en-US" w:eastAsia="zh-CN" w:bidi="ar-SA"/>
                    </w:rPr>
                  </w:pPr>
                  <w:r>
                    <w:rPr>
                      <w:rFonts w:hint="eastAsia"/>
                      <w:color w:val="auto"/>
                      <w:szCs w:val="21"/>
                      <w:highlight w:val="none"/>
                      <w:lang w:val="en-US" w:eastAsia="zh-CN"/>
                    </w:rPr>
                    <w:t>1</w:t>
                  </w:r>
                </w:p>
              </w:tc>
              <w:tc>
                <w:tcPr>
                  <w:tcW w:w="830" w:type="pct"/>
                  <w:vMerge w:val="restart"/>
                  <w:noWrap w:val="0"/>
                  <w:vAlign w:val="center"/>
                </w:tcPr>
                <w:p w14:paraId="28ABBC92">
                  <w:pPr>
                    <w:pStyle w:val="110"/>
                    <w:keepNext w:val="0"/>
                    <w:keepLines w:val="0"/>
                    <w:pageBreakBefore w:val="0"/>
                    <w:suppressLineNumbers w:val="0"/>
                    <w:wordWrap/>
                    <w:bidi w:val="0"/>
                    <w:spacing w:before="0" w:beforeAutospacing="0" w:after="0" w:afterAutospacing="0" w:line="360" w:lineRule="auto"/>
                    <w:ind w:left="0" w:leftChars="0" w:right="0"/>
                    <w:rPr>
                      <w:rFonts w:hint="default" w:eastAsia="宋体"/>
                      <w:color w:val="auto"/>
                      <w:szCs w:val="21"/>
                      <w:highlight w:val="none"/>
                      <w:lang w:val="en-US" w:eastAsia="zh-CN"/>
                    </w:rPr>
                  </w:pPr>
                  <w:r>
                    <w:rPr>
                      <w:rFonts w:hint="eastAsia"/>
                      <w:color w:val="auto"/>
                      <w:szCs w:val="21"/>
                      <w:highlight w:val="none"/>
                      <w:lang w:val="en-US" w:eastAsia="zh-CN"/>
                    </w:rPr>
                    <w:t>DA001</w:t>
                  </w:r>
                </w:p>
              </w:tc>
              <w:tc>
                <w:tcPr>
                  <w:tcW w:w="828" w:type="pct"/>
                  <w:noWrap w:val="0"/>
                  <w:vAlign w:val="center"/>
                </w:tcPr>
                <w:p w14:paraId="7E937A8A">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w:t>
                  </w:r>
                </w:p>
              </w:tc>
              <w:tc>
                <w:tcPr>
                  <w:tcW w:w="899" w:type="pct"/>
                  <w:noWrap w:val="0"/>
                  <w:vAlign w:val="center"/>
                </w:tcPr>
                <w:p w14:paraId="615305C3">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0"/>
                      <w:sz w:val="18"/>
                      <w:szCs w:val="18"/>
                      <w:highlight w:val="none"/>
                      <w:lang w:val="en-US" w:eastAsia="zh-CN" w:bidi="ar-SA"/>
                    </w:rPr>
                    <w:t>1.167</w:t>
                  </w:r>
                </w:p>
              </w:tc>
              <w:tc>
                <w:tcPr>
                  <w:tcW w:w="932" w:type="pct"/>
                  <w:noWrap w:val="0"/>
                  <w:vAlign w:val="center"/>
                </w:tcPr>
                <w:p w14:paraId="0D190C13">
                  <w:pPr>
                    <w:pStyle w:val="110"/>
                    <w:keepNext w:val="0"/>
                    <w:keepLines w:val="0"/>
                    <w:pageBreakBefore w:val="0"/>
                    <w:suppressLineNumbers w:val="0"/>
                    <w:wordWrap/>
                    <w:bidi w:val="0"/>
                    <w:spacing w:before="0" w:beforeAutospacing="0" w:after="0" w:afterAutospacing="0" w:line="360" w:lineRule="auto"/>
                    <w:ind w:left="0" w:leftChars="0" w:right="0" w:rightChars="0"/>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0"/>
                      <w:sz w:val="18"/>
                      <w:szCs w:val="18"/>
                      <w:highlight w:val="none"/>
                      <w:lang w:val="en-US" w:eastAsia="zh-CN" w:bidi="ar-SA"/>
                    </w:rPr>
                    <w:t>0.0035</w:t>
                  </w:r>
                </w:p>
              </w:tc>
              <w:tc>
                <w:tcPr>
                  <w:tcW w:w="1093" w:type="pct"/>
                  <w:noWrap w:val="0"/>
                  <w:vAlign w:val="center"/>
                </w:tcPr>
                <w:p w14:paraId="7ACF5CFF">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0.007</w:t>
                  </w:r>
                </w:p>
              </w:tc>
            </w:tr>
            <w:tr w14:paraId="1BCD6E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4" w:type="pct"/>
                  <w:noWrap w:val="0"/>
                  <w:vAlign w:val="center"/>
                </w:tcPr>
                <w:p w14:paraId="261C97CC">
                  <w:pPr>
                    <w:pStyle w:val="110"/>
                    <w:keepNext w:val="0"/>
                    <w:keepLines w:val="0"/>
                    <w:pageBreakBefore w:val="0"/>
                    <w:suppressLineNumbers w:val="0"/>
                    <w:wordWrap/>
                    <w:bidi w:val="0"/>
                    <w:spacing w:before="0" w:beforeAutospacing="0" w:after="0" w:afterAutospacing="0" w:line="360" w:lineRule="auto"/>
                    <w:ind w:left="0" w:leftChars="0" w:right="0" w:rightChars="0"/>
                    <w:rPr>
                      <w:rFonts w:hint="default" w:ascii="Times New Roman" w:hAnsi="Times New Roman" w:eastAsia="宋体" w:cs="Times New Roman"/>
                      <w:color w:val="auto"/>
                      <w:kern w:val="0"/>
                      <w:sz w:val="21"/>
                      <w:szCs w:val="21"/>
                      <w:highlight w:val="none"/>
                      <w:lang w:val="en-US" w:eastAsia="zh-CN" w:bidi="ar-SA"/>
                    </w:rPr>
                  </w:pPr>
                  <w:r>
                    <w:rPr>
                      <w:rFonts w:hint="eastAsia"/>
                      <w:color w:val="auto"/>
                      <w:szCs w:val="21"/>
                      <w:highlight w:val="none"/>
                    </w:rPr>
                    <w:t>2</w:t>
                  </w:r>
                </w:p>
              </w:tc>
              <w:tc>
                <w:tcPr>
                  <w:tcW w:w="830" w:type="pct"/>
                  <w:vMerge w:val="continue"/>
                  <w:noWrap w:val="0"/>
                  <w:vAlign w:val="center"/>
                </w:tcPr>
                <w:p w14:paraId="052846B8">
                  <w:pPr>
                    <w:pStyle w:val="110"/>
                    <w:keepNext w:val="0"/>
                    <w:keepLines w:val="0"/>
                    <w:pageBreakBefore w:val="0"/>
                    <w:suppressLineNumbers w:val="0"/>
                    <w:wordWrap/>
                    <w:bidi w:val="0"/>
                    <w:spacing w:before="0" w:beforeAutospacing="0" w:after="0" w:afterAutospacing="0" w:line="360" w:lineRule="auto"/>
                    <w:ind w:left="0" w:leftChars="0" w:right="0"/>
                    <w:rPr>
                      <w:rFonts w:hint="default" w:eastAsia="宋体"/>
                      <w:color w:val="auto"/>
                      <w:szCs w:val="21"/>
                      <w:highlight w:val="none"/>
                      <w:lang w:val="en-US" w:eastAsia="zh-CN"/>
                    </w:rPr>
                  </w:pPr>
                </w:p>
              </w:tc>
              <w:tc>
                <w:tcPr>
                  <w:tcW w:w="828" w:type="pct"/>
                  <w:noWrap w:val="0"/>
                  <w:vAlign w:val="center"/>
                </w:tcPr>
                <w:p w14:paraId="1292911D">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工业粉尘</w:t>
                  </w:r>
                </w:p>
              </w:tc>
              <w:tc>
                <w:tcPr>
                  <w:tcW w:w="899" w:type="pct"/>
                  <w:noWrap w:val="0"/>
                  <w:vAlign w:val="center"/>
                </w:tcPr>
                <w:p w14:paraId="722FE997">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0.289</w:t>
                  </w:r>
                </w:p>
              </w:tc>
              <w:tc>
                <w:tcPr>
                  <w:tcW w:w="932" w:type="pct"/>
                  <w:noWrap w:val="0"/>
                  <w:vAlign w:val="center"/>
                </w:tcPr>
                <w:p w14:paraId="25BEFC0B">
                  <w:pPr>
                    <w:pStyle w:val="110"/>
                    <w:keepNext w:val="0"/>
                    <w:keepLines w:val="0"/>
                    <w:pageBreakBefore w:val="0"/>
                    <w:suppressLineNumbers w:val="0"/>
                    <w:wordWrap/>
                    <w:bidi w:val="0"/>
                    <w:spacing w:before="0" w:beforeAutospacing="0" w:after="0" w:afterAutospacing="0" w:line="360" w:lineRule="auto"/>
                    <w:ind w:left="0" w:leftChars="0" w:right="0" w:rightChars="0"/>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0.00086</w:t>
                  </w:r>
                </w:p>
              </w:tc>
              <w:tc>
                <w:tcPr>
                  <w:tcW w:w="1093" w:type="pct"/>
                  <w:noWrap w:val="0"/>
                  <w:vAlign w:val="center"/>
                </w:tcPr>
                <w:p w14:paraId="7321373E">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0.0013</w:t>
                  </w:r>
                </w:p>
              </w:tc>
            </w:tr>
            <w:tr w14:paraId="4AFBAE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4" w:type="pct"/>
                  <w:noWrap w:val="0"/>
                  <w:vAlign w:val="center"/>
                </w:tcPr>
                <w:p w14:paraId="55D1D20E">
                  <w:pPr>
                    <w:pStyle w:val="110"/>
                    <w:keepNext w:val="0"/>
                    <w:keepLines w:val="0"/>
                    <w:pageBreakBefore w:val="0"/>
                    <w:suppressLineNumbers w:val="0"/>
                    <w:wordWrap/>
                    <w:bidi w:val="0"/>
                    <w:spacing w:before="0" w:beforeAutospacing="0" w:after="0" w:afterAutospacing="0" w:line="360" w:lineRule="auto"/>
                    <w:ind w:left="0" w:leftChars="0" w:right="0" w:rightChars="0"/>
                    <w:rPr>
                      <w:rFonts w:hint="eastAsia"/>
                      <w:color w:val="auto"/>
                      <w:szCs w:val="21"/>
                      <w:highlight w:val="none"/>
                    </w:rPr>
                  </w:pPr>
                  <w:r>
                    <w:rPr>
                      <w:rFonts w:hint="eastAsia"/>
                      <w:color w:val="auto"/>
                      <w:szCs w:val="21"/>
                      <w:highlight w:val="none"/>
                    </w:rPr>
                    <w:t>3</w:t>
                  </w:r>
                </w:p>
              </w:tc>
              <w:tc>
                <w:tcPr>
                  <w:tcW w:w="830" w:type="pct"/>
                  <w:vMerge w:val="restart"/>
                  <w:noWrap w:val="0"/>
                  <w:vAlign w:val="center"/>
                </w:tcPr>
                <w:p w14:paraId="3EA4217C">
                  <w:pPr>
                    <w:pStyle w:val="110"/>
                    <w:keepNext w:val="0"/>
                    <w:keepLines w:val="0"/>
                    <w:pageBreakBefore w:val="0"/>
                    <w:suppressLineNumbers w:val="0"/>
                    <w:wordWrap/>
                    <w:bidi w:val="0"/>
                    <w:spacing w:before="0" w:beforeAutospacing="0" w:after="0" w:afterAutospacing="0" w:line="360" w:lineRule="auto"/>
                    <w:ind w:left="0" w:leftChars="0" w:right="0"/>
                    <w:rPr>
                      <w:rFonts w:hint="default" w:eastAsia="宋体"/>
                      <w:color w:val="auto"/>
                      <w:szCs w:val="21"/>
                      <w:highlight w:val="none"/>
                      <w:lang w:val="en-US" w:eastAsia="zh-CN"/>
                    </w:rPr>
                  </w:pPr>
                  <w:r>
                    <w:rPr>
                      <w:rFonts w:hint="eastAsia"/>
                      <w:color w:val="auto"/>
                      <w:szCs w:val="21"/>
                      <w:highlight w:val="none"/>
                      <w:lang w:val="en-US" w:eastAsia="zh-CN"/>
                    </w:rPr>
                    <w:t>DA002</w:t>
                  </w:r>
                </w:p>
              </w:tc>
              <w:tc>
                <w:tcPr>
                  <w:tcW w:w="828" w:type="pct"/>
                  <w:noWrap w:val="0"/>
                  <w:vAlign w:val="center"/>
                </w:tcPr>
                <w:p w14:paraId="24169448">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颗粒物</w:t>
                  </w:r>
                </w:p>
              </w:tc>
              <w:tc>
                <w:tcPr>
                  <w:tcW w:w="1476" w:type="dxa"/>
                  <w:noWrap w:val="0"/>
                  <w:vAlign w:val="center"/>
                </w:tcPr>
                <w:p w14:paraId="2E1B3927">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eastAsia"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37</w:t>
                  </w:r>
                </w:p>
              </w:tc>
              <w:tc>
                <w:tcPr>
                  <w:tcW w:w="1530" w:type="dxa"/>
                  <w:noWrap w:val="0"/>
                  <w:vAlign w:val="center"/>
                </w:tcPr>
                <w:p w14:paraId="6C73BE21">
                  <w:pPr>
                    <w:pStyle w:val="110"/>
                    <w:keepNext w:val="0"/>
                    <w:keepLines w:val="0"/>
                    <w:pageBreakBefore w:val="0"/>
                    <w:suppressLineNumbers w:val="0"/>
                    <w:wordWrap/>
                    <w:bidi w:val="0"/>
                    <w:spacing w:before="0" w:beforeAutospacing="0" w:after="0" w:afterAutospacing="0" w:line="360" w:lineRule="auto"/>
                    <w:ind w:left="0" w:leftChars="0" w:right="0" w:rightChars="0"/>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0.119</w:t>
                  </w:r>
                </w:p>
              </w:tc>
              <w:tc>
                <w:tcPr>
                  <w:tcW w:w="1093" w:type="pct"/>
                  <w:noWrap w:val="0"/>
                  <w:vAlign w:val="center"/>
                </w:tcPr>
                <w:p w14:paraId="31BF7E70">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0.172</w:t>
                  </w:r>
                </w:p>
              </w:tc>
            </w:tr>
            <w:tr w14:paraId="7F6CBD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4" w:type="pct"/>
                  <w:noWrap w:val="0"/>
                  <w:vAlign w:val="center"/>
                </w:tcPr>
                <w:p w14:paraId="1A6A7366">
                  <w:pPr>
                    <w:pStyle w:val="110"/>
                    <w:keepNext w:val="0"/>
                    <w:keepLines w:val="0"/>
                    <w:pageBreakBefore w:val="0"/>
                    <w:suppressLineNumbers w:val="0"/>
                    <w:wordWrap/>
                    <w:bidi w:val="0"/>
                    <w:spacing w:before="0" w:beforeAutospacing="0" w:after="0" w:afterAutospacing="0" w:line="360" w:lineRule="auto"/>
                    <w:ind w:left="0" w:leftChars="0" w:right="0" w:right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4</w:t>
                  </w:r>
                </w:p>
              </w:tc>
              <w:tc>
                <w:tcPr>
                  <w:tcW w:w="830" w:type="pct"/>
                  <w:vMerge w:val="continue"/>
                  <w:noWrap w:val="0"/>
                  <w:vAlign w:val="center"/>
                </w:tcPr>
                <w:p w14:paraId="070CE12D">
                  <w:pPr>
                    <w:pStyle w:val="110"/>
                    <w:keepNext w:val="0"/>
                    <w:keepLines w:val="0"/>
                    <w:pageBreakBefore w:val="0"/>
                    <w:suppressLineNumbers w:val="0"/>
                    <w:wordWrap/>
                    <w:bidi w:val="0"/>
                    <w:spacing w:before="0" w:beforeAutospacing="0" w:after="0" w:afterAutospacing="0" w:line="360" w:lineRule="auto"/>
                    <w:ind w:left="0" w:leftChars="0" w:right="0"/>
                    <w:rPr>
                      <w:rFonts w:hint="default" w:eastAsia="宋体"/>
                      <w:color w:val="auto"/>
                      <w:szCs w:val="21"/>
                      <w:highlight w:val="none"/>
                      <w:lang w:val="en-US" w:eastAsia="zh-CN"/>
                    </w:rPr>
                  </w:pPr>
                </w:p>
              </w:tc>
              <w:tc>
                <w:tcPr>
                  <w:tcW w:w="828" w:type="pct"/>
                  <w:noWrap w:val="0"/>
                  <w:vAlign w:val="center"/>
                </w:tcPr>
                <w:p w14:paraId="1886AF13">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rPr>
                    <w:t>SO</w:t>
                  </w:r>
                  <w:r>
                    <w:rPr>
                      <w:rStyle w:val="120"/>
                      <w:rFonts w:hint="default" w:ascii="Times New Roman" w:hAnsi="Times New Roman" w:eastAsia="宋体" w:cs="Times New Roman"/>
                      <w:color w:val="auto"/>
                      <w:sz w:val="21"/>
                      <w:szCs w:val="21"/>
                      <w:highlight w:val="none"/>
                      <w:vertAlign w:val="subscript"/>
                    </w:rPr>
                    <w:t>2</w:t>
                  </w:r>
                </w:p>
              </w:tc>
              <w:tc>
                <w:tcPr>
                  <w:tcW w:w="1476" w:type="dxa"/>
                  <w:noWrap w:val="0"/>
                  <w:vAlign w:val="center"/>
                </w:tcPr>
                <w:p w14:paraId="4566A47E">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61</w:t>
                  </w:r>
                </w:p>
              </w:tc>
              <w:tc>
                <w:tcPr>
                  <w:tcW w:w="1530" w:type="dxa"/>
                  <w:noWrap w:val="0"/>
                  <w:vAlign w:val="center"/>
                </w:tcPr>
                <w:p w14:paraId="760A5F12">
                  <w:pPr>
                    <w:pStyle w:val="110"/>
                    <w:keepNext w:val="0"/>
                    <w:keepLines w:val="0"/>
                    <w:pageBreakBefore w:val="0"/>
                    <w:suppressLineNumbers w:val="0"/>
                    <w:wordWrap/>
                    <w:bidi w:val="0"/>
                    <w:spacing w:before="0" w:beforeAutospacing="0" w:after="0" w:afterAutospacing="0" w:line="360" w:lineRule="auto"/>
                    <w:ind w:left="0" w:leftChars="0" w:right="0" w:rightChars="0"/>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0.198</w:t>
                  </w:r>
                </w:p>
              </w:tc>
              <w:tc>
                <w:tcPr>
                  <w:tcW w:w="1093" w:type="pct"/>
                  <w:noWrap w:val="0"/>
                  <w:vAlign w:val="center"/>
                </w:tcPr>
                <w:p w14:paraId="53AFF2A0">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0.285</w:t>
                  </w:r>
                </w:p>
              </w:tc>
            </w:tr>
            <w:tr w14:paraId="65781D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4" w:type="pct"/>
                  <w:noWrap w:val="0"/>
                  <w:vAlign w:val="center"/>
                </w:tcPr>
                <w:p w14:paraId="1A62B787">
                  <w:pPr>
                    <w:pStyle w:val="110"/>
                    <w:keepNext w:val="0"/>
                    <w:keepLines w:val="0"/>
                    <w:pageBreakBefore w:val="0"/>
                    <w:suppressLineNumbers w:val="0"/>
                    <w:wordWrap/>
                    <w:bidi w:val="0"/>
                    <w:spacing w:before="0" w:beforeAutospacing="0" w:after="0" w:afterAutospacing="0" w:line="360" w:lineRule="auto"/>
                    <w:ind w:left="0" w:leftChars="0" w:right="0" w:rightChars="0"/>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5</w:t>
                  </w:r>
                </w:p>
              </w:tc>
              <w:tc>
                <w:tcPr>
                  <w:tcW w:w="830" w:type="pct"/>
                  <w:vMerge w:val="continue"/>
                  <w:noWrap w:val="0"/>
                  <w:vAlign w:val="center"/>
                </w:tcPr>
                <w:p w14:paraId="5B4E2B71">
                  <w:pPr>
                    <w:pStyle w:val="110"/>
                    <w:keepNext w:val="0"/>
                    <w:keepLines w:val="0"/>
                    <w:pageBreakBefore w:val="0"/>
                    <w:suppressLineNumbers w:val="0"/>
                    <w:wordWrap/>
                    <w:bidi w:val="0"/>
                    <w:spacing w:before="0" w:beforeAutospacing="0" w:after="0" w:afterAutospacing="0" w:line="360" w:lineRule="auto"/>
                    <w:ind w:left="0" w:leftChars="0" w:right="0"/>
                    <w:rPr>
                      <w:rFonts w:hint="default" w:eastAsia="宋体"/>
                      <w:color w:val="auto"/>
                      <w:szCs w:val="21"/>
                      <w:highlight w:val="none"/>
                      <w:lang w:val="en-US" w:eastAsia="zh-CN"/>
                    </w:rPr>
                  </w:pPr>
                </w:p>
              </w:tc>
              <w:tc>
                <w:tcPr>
                  <w:tcW w:w="828" w:type="pct"/>
                  <w:noWrap w:val="0"/>
                  <w:vAlign w:val="center"/>
                </w:tcPr>
                <w:p w14:paraId="61BAE326">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rPr>
                    <w:t>NO</w:t>
                  </w:r>
                  <w:r>
                    <w:rPr>
                      <w:rStyle w:val="120"/>
                      <w:rFonts w:hint="default" w:ascii="Times New Roman" w:hAnsi="Times New Roman" w:eastAsia="宋体" w:cs="Times New Roman"/>
                      <w:color w:val="auto"/>
                      <w:sz w:val="21"/>
                      <w:szCs w:val="21"/>
                      <w:highlight w:val="none"/>
                      <w:vertAlign w:val="subscript"/>
                    </w:rPr>
                    <w:t>X</w:t>
                  </w:r>
                </w:p>
              </w:tc>
              <w:tc>
                <w:tcPr>
                  <w:tcW w:w="1476" w:type="dxa"/>
                  <w:noWrap w:val="0"/>
                  <w:vAlign w:val="center"/>
                </w:tcPr>
                <w:p w14:paraId="4C2D69CD">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eastAsia"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101</w:t>
                  </w:r>
                </w:p>
              </w:tc>
              <w:tc>
                <w:tcPr>
                  <w:tcW w:w="1530" w:type="dxa"/>
                  <w:noWrap w:val="0"/>
                  <w:vAlign w:val="center"/>
                </w:tcPr>
                <w:p w14:paraId="2469B696">
                  <w:pPr>
                    <w:pStyle w:val="110"/>
                    <w:keepNext w:val="0"/>
                    <w:keepLines w:val="0"/>
                    <w:pageBreakBefore w:val="0"/>
                    <w:suppressLineNumbers w:val="0"/>
                    <w:wordWrap/>
                    <w:bidi w:val="0"/>
                    <w:spacing w:before="0" w:beforeAutospacing="0" w:after="0" w:afterAutospacing="0" w:line="360" w:lineRule="auto"/>
                    <w:ind w:left="0" w:leftChars="0" w:right="0" w:rightChars="0"/>
                    <w:rPr>
                      <w:rFonts w:hint="eastAsia"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0.329</w:t>
                  </w:r>
                </w:p>
              </w:tc>
              <w:tc>
                <w:tcPr>
                  <w:tcW w:w="1093" w:type="pct"/>
                  <w:noWrap w:val="0"/>
                  <w:vAlign w:val="center"/>
                </w:tcPr>
                <w:p w14:paraId="506C485B">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0.474</w:t>
                  </w:r>
                </w:p>
              </w:tc>
            </w:tr>
            <w:tr w14:paraId="1B3384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5" w:type="pct"/>
                  <w:gridSpan w:val="2"/>
                  <w:vMerge w:val="restart"/>
                  <w:noWrap w:val="0"/>
                  <w:vAlign w:val="center"/>
                </w:tcPr>
                <w:p w14:paraId="76FA6403">
                  <w:pPr>
                    <w:pStyle w:val="110"/>
                    <w:keepNext w:val="0"/>
                    <w:keepLines w:val="0"/>
                    <w:pageBreakBefore w:val="0"/>
                    <w:suppressLineNumbers w:val="0"/>
                    <w:wordWrap/>
                    <w:bidi w:val="0"/>
                    <w:spacing w:before="0" w:beforeAutospacing="0" w:after="0" w:afterAutospacing="0" w:line="360" w:lineRule="auto"/>
                    <w:ind w:left="0" w:leftChars="0" w:right="0"/>
                    <w:rPr>
                      <w:rFonts w:hint="default"/>
                      <w:color w:val="auto"/>
                      <w:szCs w:val="21"/>
                      <w:highlight w:val="none"/>
                    </w:rPr>
                  </w:pPr>
                  <w:r>
                    <w:rPr>
                      <w:rFonts w:hint="default"/>
                      <w:color w:val="auto"/>
                      <w:szCs w:val="21"/>
                      <w:highlight w:val="none"/>
                    </w:rPr>
                    <w:t>有组织排放总计</w:t>
                  </w:r>
                </w:p>
              </w:tc>
              <w:tc>
                <w:tcPr>
                  <w:tcW w:w="828" w:type="pct"/>
                  <w:noWrap w:val="0"/>
                  <w:vAlign w:val="center"/>
                </w:tcPr>
                <w:p w14:paraId="26D6ED13">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eastAsia" w:eastAsia="宋体"/>
                      <w:color w:val="auto"/>
                      <w:szCs w:val="21"/>
                      <w:highlight w:val="none"/>
                      <w:lang w:eastAsia="zh-CN"/>
                    </w:rPr>
                  </w:pPr>
                  <w:r>
                    <w:rPr>
                      <w:rFonts w:hint="default" w:ascii="Times New Roman" w:hAnsi="Times New Roman" w:eastAsia="宋体" w:cs="Times New Roman"/>
                      <w:color w:val="auto"/>
                      <w:sz w:val="21"/>
                      <w:szCs w:val="21"/>
                      <w:highlight w:val="none"/>
                      <w:lang w:val="en-US" w:eastAsia="zh-CN"/>
                    </w:rPr>
                    <w:t>非甲烷总烃</w:t>
                  </w:r>
                </w:p>
              </w:tc>
              <w:tc>
                <w:tcPr>
                  <w:tcW w:w="1831" w:type="pct"/>
                  <w:gridSpan w:val="2"/>
                  <w:noWrap w:val="0"/>
                  <w:vAlign w:val="center"/>
                </w:tcPr>
                <w:p w14:paraId="0C9F2ED9">
                  <w:pPr>
                    <w:pStyle w:val="110"/>
                    <w:keepNext w:val="0"/>
                    <w:keepLines w:val="0"/>
                    <w:pageBreakBefore w:val="0"/>
                    <w:suppressLineNumbers w:val="0"/>
                    <w:wordWrap/>
                    <w:bidi w:val="0"/>
                    <w:spacing w:before="0" w:beforeAutospacing="0" w:after="0" w:afterAutospacing="0" w:line="360" w:lineRule="auto"/>
                    <w:ind w:left="0" w:leftChars="0" w:right="0"/>
                    <w:rPr>
                      <w:rFonts w:hint="default"/>
                      <w:color w:val="auto"/>
                      <w:sz w:val="18"/>
                      <w:szCs w:val="18"/>
                      <w:highlight w:val="none"/>
                    </w:rPr>
                  </w:pPr>
                  <w:r>
                    <w:rPr>
                      <w:rFonts w:hint="eastAsia"/>
                      <w:color w:val="auto"/>
                      <w:sz w:val="18"/>
                      <w:szCs w:val="18"/>
                      <w:highlight w:val="none"/>
                    </w:rPr>
                    <w:t>/</w:t>
                  </w:r>
                </w:p>
              </w:tc>
              <w:tc>
                <w:tcPr>
                  <w:tcW w:w="1795" w:type="dxa"/>
                  <w:noWrap w:val="0"/>
                  <w:vAlign w:val="center"/>
                </w:tcPr>
                <w:p w14:paraId="14A8ECCC">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0.007</w:t>
                  </w:r>
                </w:p>
              </w:tc>
            </w:tr>
            <w:tr w14:paraId="450DE5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5" w:type="pct"/>
                  <w:gridSpan w:val="2"/>
                  <w:vMerge w:val="continue"/>
                  <w:noWrap w:val="0"/>
                  <w:vAlign w:val="center"/>
                </w:tcPr>
                <w:p w14:paraId="42BD0B48">
                  <w:pPr>
                    <w:pStyle w:val="110"/>
                    <w:keepNext w:val="0"/>
                    <w:keepLines w:val="0"/>
                    <w:pageBreakBefore w:val="0"/>
                    <w:suppressLineNumbers w:val="0"/>
                    <w:wordWrap/>
                    <w:bidi w:val="0"/>
                    <w:spacing w:before="0" w:beforeAutospacing="0" w:after="0" w:afterAutospacing="0" w:line="360" w:lineRule="auto"/>
                    <w:ind w:left="0" w:leftChars="0" w:right="0"/>
                    <w:rPr>
                      <w:rFonts w:hint="default"/>
                      <w:color w:val="auto"/>
                      <w:szCs w:val="21"/>
                      <w:highlight w:val="none"/>
                    </w:rPr>
                  </w:pPr>
                </w:p>
              </w:tc>
              <w:tc>
                <w:tcPr>
                  <w:tcW w:w="828" w:type="pct"/>
                  <w:noWrap w:val="0"/>
                  <w:vAlign w:val="center"/>
                </w:tcPr>
                <w:p w14:paraId="147757E0">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工业粉尘</w:t>
                  </w:r>
                </w:p>
              </w:tc>
              <w:tc>
                <w:tcPr>
                  <w:tcW w:w="1831" w:type="pct"/>
                  <w:gridSpan w:val="2"/>
                  <w:noWrap w:val="0"/>
                  <w:vAlign w:val="center"/>
                </w:tcPr>
                <w:p w14:paraId="30AA2DA2">
                  <w:pPr>
                    <w:pStyle w:val="110"/>
                    <w:keepNext w:val="0"/>
                    <w:keepLines w:val="0"/>
                    <w:pageBreakBefore w:val="0"/>
                    <w:suppressLineNumbers w:val="0"/>
                    <w:wordWrap/>
                    <w:bidi w:val="0"/>
                    <w:spacing w:before="0" w:beforeAutospacing="0" w:after="0" w:afterAutospacing="0" w:line="360" w:lineRule="auto"/>
                    <w:ind w:left="0" w:leftChars="0" w:right="0" w:rightChars="0"/>
                    <w:rPr>
                      <w:rFonts w:hint="eastAsia" w:ascii="Times New Roman" w:hAnsi="Times New Roman" w:eastAsia="宋体" w:cs="Times New Roman"/>
                      <w:color w:val="auto"/>
                      <w:kern w:val="0"/>
                      <w:sz w:val="18"/>
                      <w:szCs w:val="18"/>
                      <w:highlight w:val="none"/>
                      <w:lang w:val="en-US" w:eastAsia="zh-CN" w:bidi="ar-SA"/>
                    </w:rPr>
                  </w:pPr>
                  <w:r>
                    <w:rPr>
                      <w:rFonts w:hint="eastAsia"/>
                      <w:color w:val="auto"/>
                      <w:sz w:val="18"/>
                      <w:szCs w:val="18"/>
                      <w:highlight w:val="none"/>
                    </w:rPr>
                    <w:t>/</w:t>
                  </w:r>
                </w:p>
              </w:tc>
              <w:tc>
                <w:tcPr>
                  <w:tcW w:w="1795" w:type="dxa"/>
                  <w:noWrap w:val="0"/>
                  <w:vAlign w:val="center"/>
                </w:tcPr>
                <w:p w14:paraId="036EDC77">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0.0013</w:t>
                  </w:r>
                </w:p>
              </w:tc>
            </w:tr>
            <w:tr w14:paraId="313E79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5" w:type="pct"/>
                  <w:gridSpan w:val="2"/>
                  <w:vMerge w:val="continue"/>
                  <w:noWrap w:val="0"/>
                  <w:vAlign w:val="center"/>
                </w:tcPr>
                <w:p w14:paraId="3CBA3BCA">
                  <w:pPr>
                    <w:pStyle w:val="110"/>
                    <w:keepNext w:val="0"/>
                    <w:keepLines w:val="0"/>
                    <w:pageBreakBefore w:val="0"/>
                    <w:suppressLineNumbers w:val="0"/>
                    <w:wordWrap/>
                    <w:bidi w:val="0"/>
                    <w:spacing w:before="0" w:beforeAutospacing="0" w:after="0" w:afterAutospacing="0" w:line="360" w:lineRule="auto"/>
                    <w:ind w:left="0" w:leftChars="0" w:right="0"/>
                    <w:rPr>
                      <w:rFonts w:hint="default"/>
                      <w:color w:val="auto"/>
                      <w:szCs w:val="21"/>
                      <w:highlight w:val="none"/>
                    </w:rPr>
                  </w:pPr>
                </w:p>
              </w:tc>
              <w:tc>
                <w:tcPr>
                  <w:tcW w:w="828" w:type="pct"/>
                  <w:noWrap w:val="0"/>
                  <w:vAlign w:val="center"/>
                </w:tcPr>
                <w:p w14:paraId="6CCCABA0">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颗粒物</w:t>
                  </w:r>
                </w:p>
              </w:tc>
              <w:tc>
                <w:tcPr>
                  <w:tcW w:w="1831" w:type="pct"/>
                  <w:gridSpan w:val="2"/>
                  <w:noWrap w:val="0"/>
                  <w:vAlign w:val="center"/>
                </w:tcPr>
                <w:p w14:paraId="24905ACB">
                  <w:pPr>
                    <w:pStyle w:val="110"/>
                    <w:keepNext w:val="0"/>
                    <w:keepLines w:val="0"/>
                    <w:pageBreakBefore w:val="0"/>
                    <w:suppressLineNumbers w:val="0"/>
                    <w:wordWrap/>
                    <w:bidi w:val="0"/>
                    <w:spacing w:before="0" w:beforeAutospacing="0" w:after="0" w:afterAutospacing="0" w:line="360" w:lineRule="auto"/>
                    <w:ind w:left="0" w:leftChars="0" w:right="0" w:rightChars="0"/>
                    <w:rPr>
                      <w:rFonts w:hint="eastAsia" w:ascii="Times New Roman" w:hAnsi="Times New Roman" w:eastAsia="宋体" w:cs="Times New Roman"/>
                      <w:color w:val="auto"/>
                      <w:kern w:val="0"/>
                      <w:sz w:val="18"/>
                      <w:szCs w:val="18"/>
                      <w:highlight w:val="none"/>
                      <w:lang w:val="en-US" w:eastAsia="zh-CN" w:bidi="ar-SA"/>
                    </w:rPr>
                  </w:pPr>
                  <w:r>
                    <w:rPr>
                      <w:rFonts w:hint="eastAsia"/>
                      <w:color w:val="auto"/>
                      <w:sz w:val="18"/>
                      <w:szCs w:val="18"/>
                      <w:highlight w:val="none"/>
                    </w:rPr>
                    <w:t>/</w:t>
                  </w:r>
                </w:p>
              </w:tc>
              <w:tc>
                <w:tcPr>
                  <w:tcW w:w="1795" w:type="dxa"/>
                  <w:noWrap w:val="0"/>
                  <w:vAlign w:val="center"/>
                </w:tcPr>
                <w:p w14:paraId="0F069375">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0.172</w:t>
                  </w:r>
                </w:p>
              </w:tc>
            </w:tr>
            <w:tr w14:paraId="185BD7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5" w:type="pct"/>
                  <w:gridSpan w:val="2"/>
                  <w:vMerge w:val="continue"/>
                  <w:noWrap w:val="0"/>
                  <w:vAlign w:val="center"/>
                </w:tcPr>
                <w:p w14:paraId="0886CDC9">
                  <w:pPr>
                    <w:pStyle w:val="110"/>
                    <w:keepNext w:val="0"/>
                    <w:keepLines w:val="0"/>
                    <w:pageBreakBefore w:val="0"/>
                    <w:suppressLineNumbers w:val="0"/>
                    <w:wordWrap/>
                    <w:bidi w:val="0"/>
                    <w:spacing w:before="0" w:beforeAutospacing="0" w:after="0" w:afterAutospacing="0" w:line="360" w:lineRule="auto"/>
                    <w:ind w:left="0" w:leftChars="0" w:right="0"/>
                    <w:rPr>
                      <w:rFonts w:hint="default"/>
                      <w:color w:val="auto"/>
                      <w:szCs w:val="21"/>
                      <w:highlight w:val="none"/>
                    </w:rPr>
                  </w:pPr>
                </w:p>
              </w:tc>
              <w:tc>
                <w:tcPr>
                  <w:tcW w:w="828" w:type="pct"/>
                  <w:noWrap w:val="0"/>
                  <w:vAlign w:val="center"/>
                </w:tcPr>
                <w:p w14:paraId="44C0C77E">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color w:val="auto"/>
                      <w:szCs w:val="21"/>
                      <w:highlight w:val="none"/>
                    </w:rPr>
                  </w:pPr>
                  <w:r>
                    <w:rPr>
                      <w:rFonts w:hint="default" w:ascii="Times New Roman" w:hAnsi="Times New Roman" w:eastAsia="宋体" w:cs="Times New Roman"/>
                      <w:color w:val="auto"/>
                      <w:kern w:val="0"/>
                      <w:sz w:val="21"/>
                      <w:szCs w:val="21"/>
                      <w:highlight w:val="none"/>
                    </w:rPr>
                    <w:t>SO</w:t>
                  </w:r>
                  <w:r>
                    <w:rPr>
                      <w:rStyle w:val="120"/>
                      <w:rFonts w:hint="default" w:ascii="Times New Roman" w:hAnsi="Times New Roman" w:eastAsia="宋体" w:cs="Times New Roman"/>
                      <w:color w:val="auto"/>
                      <w:sz w:val="21"/>
                      <w:szCs w:val="21"/>
                      <w:highlight w:val="none"/>
                      <w:vertAlign w:val="subscript"/>
                    </w:rPr>
                    <w:t>2</w:t>
                  </w:r>
                </w:p>
              </w:tc>
              <w:tc>
                <w:tcPr>
                  <w:tcW w:w="1831" w:type="pct"/>
                  <w:gridSpan w:val="2"/>
                  <w:noWrap w:val="0"/>
                  <w:vAlign w:val="center"/>
                </w:tcPr>
                <w:p w14:paraId="29A48D32">
                  <w:pPr>
                    <w:pStyle w:val="110"/>
                    <w:keepNext w:val="0"/>
                    <w:keepLines w:val="0"/>
                    <w:pageBreakBefore w:val="0"/>
                    <w:suppressLineNumbers w:val="0"/>
                    <w:wordWrap/>
                    <w:bidi w:val="0"/>
                    <w:spacing w:before="0" w:beforeAutospacing="0" w:after="0" w:afterAutospacing="0" w:line="360" w:lineRule="auto"/>
                    <w:ind w:left="0" w:leftChars="0" w:right="0" w:rightChars="0"/>
                    <w:rPr>
                      <w:rFonts w:hint="eastAsia" w:eastAsia="宋体"/>
                      <w:color w:val="auto"/>
                      <w:sz w:val="18"/>
                      <w:szCs w:val="18"/>
                      <w:highlight w:val="none"/>
                      <w:lang w:val="en-US" w:eastAsia="zh-CN"/>
                    </w:rPr>
                  </w:pPr>
                  <w:r>
                    <w:rPr>
                      <w:rFonts w:hint="eastAsia"/>
                      <w:color w:val="auto"/>
                      <w:sz w:val="18"/>
                      <w:szCs w:val="18"/>
                      <w:highlight w:val="none"/>
                      <w:lang w:val="en-US" w:eastAsia="zh-CN"/>
                    </w:rPr>
                    <w:t>/</w:t>
                  </w:r>
                </w:p>
              </w:tc>
              <w:tc>
                <w:tcPr>
                  <w:tcW w:w="1795" w:type="dxa"/>
                  <w:noWrap w:val="0"/>
                  <w:vAlign w:val="center"/>
                </w:tcPr>
                <w:p w14:paraId="60B6326B">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0.285</w:t>
                  </w:r>
                </w:p>
              </w:tc>
            </w:tr>
            <w:tr w14:paraId="378D16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5" w:type="pct"/>
                  <w:gridSpan w:val="2"/>
                  <w:vMerge w:val="continue"/>
                  <w:noWrap w:val="0"/>
                  <w:vAlign w:val="center"/>
                </w:tcPr>
                <w:p w14:paraId="2EEB856F">
                  <w:pPr>
                    <w:pStyle w:val="110"/>
                    <w:keepNext w:val="0"/>
                    <w:keepLines w:val="0"/>
                    <w:pageBreakBefore w:val="0"/>
                    <w:suppressLineNumbers w:val="0"/>
                    <w:wordWrap/>
                    <w:bidi w:val="0"/>
                    <w:spacing w:before="0" w:beforeAutospacing="0" w:after="0" w:afterAutospacing="0" w:line="360" w:lineRule="auto"/>
                    <w:ind w:left="0" w:leftChars="0" w:right="0"/>
                    <w:rPr>
                      <w:rFonts w:hint="default"/>
                      <w:color w:val="auto"/>
                      <w:szCs w:val="21"/>
                      <w:highlight w:val="none"/>
                    </w:rPr>
                  </w:pPr>
                </w:p>
              </w:tc>
              <w:tc>
                <w:tcPr>
                  <w:tcW w:w="828" w:type="pct"/>
                  <w:noWrap w:val="0"/>
                  <w:vAlign w:val="center"/>
                </w:tcPr>
                <w:p w14:paraId="2A7374C3">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NO</w:t>
                  </w:r>
                  <w:r>
                    <w:rPr>
                      <w:rStyle w:val="120"/>
                      <w:rFonts w:hint="default" w:ascii="Times New Roman" w:hAnsi="Times New Roman" w:eastAsia="宋体" w:cs="Times New Roman"/>
                      <w:color w:val="auto"/>
                      <w:sz w:val="21"/>
                      <w:szCs w:val="21"/>
                      <w:highlight w:val="none"/>
                      <w:vertAlign w:val="subscript"/>
                    </w:rPr>
                    <w:t>X</w:t>
                  </w:r>
                </w:p>
              </w:tc>
              <w:tc>
                <w:tcPr>
                  <w:tcW w:w="1831" w:type="pct"/>
                  <w:gridSpan w:val="2"/>
                  <w:noWrap w:val="0"/>
                  <w:vAlign w:val="center"/>
                </w:tcPr>
                <w:p w14:paraId="17C55701">
                  <w:pPr>
                    <w:pStyle w:val="110"/>
                    <w:keepNext w:val="0"/>
                    <w:keepLines w:val="0"/>
                    <w:pageBreakBefore w:val="0"/>
                    <w:suppressLineNumbers w:val="0"/>
                    <w:wordWrap/>
                    <w:bidi w:val="0"/>
                    <w:spacing w:before="0" w:beforeAutospacing="0" w:after="0" w:afterAutospacing="0" w:line="360" w:lineRule="auto"/>
                    <w:ind w:left="0" w:leftChars="0" w:right="0" w:rightChars="0"/>
                    <w:rPr>
                      <w:rFonts w:hint="eastAsia"/>
                      <w:color w:val="auto"/>
                      <w:sz w:val="18"/>
                      <w:szCs w:val="18"/>
                      <w:highlight w:val="none"/>
                      <w:lang w:val="en-US" w:eastAsia="zh-CN"/>
                    </w:rPr>
                  </w:pPr>
                  <w:r>
                    <w:rPr>
                      <w:rFonts w:hint="eastAsia"/>
                      <w:color w:val="auto"/>
                      <w:sz w:val="18"/>
                      <w:szCs w:val="18"/>
                      <w:highlight w:val="none"/>
                      <w:lang w:val="en-US" w:eastAsia="zh-CN"/>
                    </w:rPr>
                    <w:t>/</w:t>
                  </w:r>
                </w:p>
              </w:tc>
              <w:tc>
                <w:tcPr>
                  <w:tcW w:w="1795" w:type="dxa"/>
                  <w:noWrap w:val="0"/>
                  <w:vAlign w:val="center"/>
                </w:tcPr>
                <w:p w14:paraId="4EC41A25">
                  <w:pPr>
                    <w:keepNext w:val="0"/>
                    <w:keepLines w:val="0"/>
                    <w:pageBreakBefore w:val="0"/>
                    <w:widowControl/>
                    <w:suppressLineNumbers w:val="0"/>
                    <w:wordWrap/>
                    <w:bidi w:val="0"/>
                    <w:spacing w:before="0" w:beforeAutospacing="0" w:after="0" w:afterAutospacing="0" w:line="360" w:lineRule="auto"/>
                    <w:ind w:left="0" w:leftChars="0" w:right="0" w:rightChars="0"/>
                    <w:jc w:val="center"/>
                    <w:textAlignment w:val="center"/>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0.474</w:t>
                  </w:r>
                </w:p>
              </w:tc>
            </w:tr>
          </w:tbl>
          <w:p w14:paraId="2BD27662">
            <w:pPr>
              <w:pStyle w:val="112"/>
              <w:spacing w:line="240" w:lineRule="auto"/>
              <w:rPr>
                <w:rFonts w:ascii="Times New Roman" w:eastAsiaTheme="minorEastAsia"/>
                <w:bCs/>
                <w:color w:val="auto"/>
                <w:kern w:val="2"/>
                <w:sz w:val="21"/>
                <w:szCs w:val="24"/>
              </w:rPr>
            </w:pPr>
            <w:r>
              <w:rPr>
                <w:rFonts w:ascii="Times New Roman" w:eastAsiaTheme="minorEastAsia"/>
                <w:bCs/>
                <w:color w:val="auto"/>
                <w:kern w:val="2"/>
                <w:sz w:val="21"/>
                <w:szCs w:val="24"/>
              </w:rPr>
              <w:t>表</w:t>
            </w:r>
            <w:r>
              <w:rPr>
                <w:rFonts w:hint="eastAsia" w:ascii="Times New Roman" w:eastAsiaTheme="minorEastAsia"/>
                <w:bCs/>
                <w:color w:val="auto"/>
                <w:kern w:val="2"/>
                <w:sz w:val="21"/>
                <w:szCs w:val="24"/>
              </w:rPr>
              <w:t>4-</w:t>
            </w:r>
            <w:r>
              <w:rPr>
                <w:rFonts w:hint="eastAsia" w:ascii="Times New Roman" w:eastAsiaTheme="minorEastAsia"/>
                <w:bCs/>
                <w:color w:val="auto"/>
                <w:kern w:val="2"/>
                <w:sz w:val="21"/>
                <w:szCs w:val="24"/>
                <w:lang w:val="en-US" w:eastAsia="zh-CN"/>
              </w:rPr>
              <w:t>4</w:t>
            </w:r>
            <w:r>
              <w:rPr>
                <w:rFonts w:ascii="Times New Roman" w:eastAsiaTheme="minorEastAsia"/>
                <w:bCs/>
                <w:color w:val="auto"/>
                <w:kern w:val="2"/>
                <w:sz w:val="21"/>
                <w:szCs w:val="24"/>
              </w:rPr>
              <w:t xml:space="preserve">  大气污染物无组织排放量核算表</w:t>
            </w:r>
          </w:p>
          <w:tbl>
            <w:tblPr>
              <w:tblStyle w:val="31"/>
              <w:tblW w:w="4995"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1"/>
              <w:gridCol w:w="1073"/>
              <w:gridCol w:w="1386"/>
              <w:gridCol w:w="1251"/>
              <w:gridCol w:w="1775"/>
              <w:gridCol w:w="1295"/>
              <w:gridCol w:w="960"/>
            </w:tblGrid>
            <w:tr w14:paraId="082F6B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6" w:type="pct"/>
                  <w:vMerge w:val="restart"/>
                  <w:vAlign w:val="center"/>
                </w:tcPr>
                <w:p w14:paraId="36841875">
                  <w:pPr>
                    <w:spacing w:line="360" w:lineRule="auto"/>
                    <w:jc w:val="center"/>
                    <w:rPr>
                      <w:bCs/>
                      <w:color w:val="auto"/>
                    </w:rPr>
                  </w:pPr>
                  <w:r>
                    <w:rPr>
                      <w:bCs/>
                      <w:color w:val="auto"/>
                    </w:rPr>
                    <w:t>序号</w:t>
                  </w:r>
                </w:p>
              </w:tc>
              <w:tc>
                <w:tcPr>
                  <w:tcW w:w="659" w:type="pct"/>
                  <w:vMerge w:val="restart"/>
                  <w:vAlign w:val="center"/>
                </w:tcPr>
                <w:p w14:paraId="7BFBCDE0">
                  <w:pPr>
                    <w:spacing w:line="360" w:lineRule="auto"/>
                    <w:jc w:val="center"/>
                    <w:rPr>
                      <w:bCs/>
                      <w:color w:val="auto"/>
                    </w:rPr>
                  </w:pPr>
                  <w:r>
                    <w:rPr>
                      <w:bCs/>
                      <w:color w:val="auto"/>
                    </w:rPr>
                    <w:t>产污环节</w:t>
                  </w:r>
                </w:p>
              </w:tc>
              <w:tc>
                <w:tcPr>
                  <w:tcW w:w="851" w:type="pct"/>
                  <w:vMerge w:val="restart"/>
                  <w:vAlign w:val="center"/>
                </w:tcPr>
                <w:p w14:paraId="30BF0B93">
                  <w:pPr>
                    <w:spacing w:line="360" w:lineRule="auto"/>
                    <w:jc w:val="center"/>
                    <w:rPr>
                      <w:bCs/>
                      <w:color w:val="auto"/>
                    </w:rPr>
                  </w:pPr>
                  <w:r>
                    <w:rPr>
                      <w:bCs/>
                      <w:color w:val="auto"/>
                    </w:rPr>
                    <w:t>污染物</w:t>
                  </w:r>
                </w:p>
              </w:tc>
              <w:tc>
                <w:tcPr>
                  <w:tcW w:w="768" w:type="pct"/>
                  <w:vMerge w:val="restart"/>
                  <w:vAlign w:val="center"/>
                </w:tcPr>
                <w:p w14:paraId="7B53DF99">
                  <w:pPr>
                    <w:spacing w:line="360" w:lineRule="auto"/>
                    <w:jc w:val="center"/>
                    <w:rPr>
                      <w:bCs/>
                      <w:color w:val="auto"/>
                    </w:rPr>
                  </w:pPr>
                  <w:r>
                    <w:rPr>
                      <w:bCs/>
                      <w:color w:val="auto"/>
                    </w:rPr>
                    <w:t>主要污染防治措施</w:t>
                  </w:r>
                </w:p>
              </w:tc>
              <w:tc>
                <w:tcPr>
                  <w:tcW w:w="1885" w:type="pct"/>
                  <w:gridSpan w:val="2"/>
                  <w:vAlign w:val="center"/>
                </w:tcPr>
                <w:p w14:paraId="3A6E12DA">
                  <w:pPr>
                    <w:spacing w:line="360" w:lineRule="auto"/>
                    <w:jc w:val="center"/>
                    <w:rPr>
                      <w:bCs/>
                      <w:color w:val="auto"/>
                    </w:rPr>
                  </w:pPr>
                  <w:r>
                    <w:rPr>
                      <w:bCs/>
                      <w:color w:val="auto"/>
                    </w:rPr>
                    <w:t>污染物排放标准</w:t>
                  </w:r>
                </w:p>
              </w:tc>
              <w:tc>
                <w:tcPr>
                  <w:tcW w:w="589" w:type="pct"/>
                  <w:vMerge w:val="restart"/>
                  <w:vAlign w:val="center"/>
                </w:tcPr>
                <w:p w14:paraId="65A67DEC">
                  <w:pPr>
                    <w:spacing w:line="360" w:lineRule="auto"/>
                    <w:jc w:val="center"/>
                    <w:rPr>
                      <w:bCs/>
                      <w:color w:val="auto"/>
                    </w:rPr>
                  </w:pPr>
                  <w:r>
                    <w:rPr>
                      <w:bCs/>
                      <w:color w:val="auto"/>
                    </w:rPr>
                    <w:t>年排放量</w:t>
                  </w:r>
                </w:p>
                <w:p w14:paraId="785C2C78">
                  <w:pPr>
                    <w:spacing w:line="360" w:lineRule="auto"/>
                    <w:jc w:val="center"/>
                    <w:rPr>
                      <w:bCs/>
                      <w:color w:val="auto"/>
                    </w:rPr>
                  </w:pPr>
                  <w:r>
                    <w:rPr>
                      <w:bCs/>
                      <w:color w:val="auto"/>
                    </w:rPr>
                    <w:t>（t/a）</w:t>
                  </w:r>
                </w:p>
              </w:tc>
            </w:tr>
            <w:tr w14:paraId="0CC984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6" w:type="pct"/>
                  <w:vMerge w:val="continue"/>
                  <w:vAlign w:val="center"/>
                </w:tcPr>
                <w:p w14:paraId="5CFC0922">
                  <w:pPr>
                    <w:spacing w:line="360" w:lineRule="auto"/>
                    <w:jc w:val="center"/>
                    <w:rPr>
                      <w:bCs/>
                      <w:color w:val="auto"/>
                    </w:rPr>
                  </w:pPr>
                </w:p>
              </w:tc>
              <w:tc>
                <w:tcPr>
                  <w:tcW w:w="659" w:type="pct"/>
                  <w:vMerge w:val="continue"/>
                  <w:vAlign w:val="center"/>
                </w:tcPr>
                <w:p w14:paraId="5EFDA1C2">
                  <w:pPr>
                    <w:spacing w:line="360" w:lineRule="auto"/>
                    <w:jc w:val="center"/>
                    <w:rPr>
                      <w:bCs/>
                      <w:color w:val="auto"/>
                    </w:rPr>
                  </w:pPr>
                </w:p>
              </w:tc>
              <w:tc>
                <w:tcPr>
                  <w:tcW w:w="851" w:type="pct"/>
                  <w:vMerge w:val="continue"/>
                  <w:vAlign w:val="center"/>
                </w:tcPr>
                <w:p w14:paraId="464F4D4D">
                  <w:pPr>
                    <w:spacing w:line="360" w:lineRule="auto"/>
                    <w:jc w:val="center"/>
                    <w:rPr>
                      <w:bCs/>
                      <w:color w:val="auto"/>
                    </w:rPr>
                  </w:pPr>
                </w:p>
              </w:tc>
              <w:tc>
                <w:tcPr>
                  <w:tcW w:w="768" w:type="pct"/>
                  <w:vMerge w:val="continue"/>
                  <w:vAlign w:val="center"/>
                </w:tcPr>
                <w:p w14:paraId="68266014">
                  <w:pPr>
                    <w:spacing w:line="360" w:lineRule="auto"/>
                    <w:jc w:val="center"/>
                    <w:rPr>
                      <w:bCs/>
                      <w:color w:val="auto"/>
                    </w:rPr>
                  </w:pPr>
                </w:p>
              </w:tc>
              <w:tc>
                <w:tcPr>
                  <w:tcW w:w="1090" w:type="pct"/>
                  <w:vAlign w:val="center"/>
                </w:tcPr>
                <w:p w14:paraId="6DF4D5E5">
                  <w:pPr>
                    <w:spacing w:line="360" w:lineRule="auto"/>
                    <w:jc w:val="center"/>
                    <w:rPr>
                      <w:bCs/>
                      <w:color w:val="auto"/>
                    </w:rPr>
                  </w:pPr>
                  <w:r>
                    <w:rPr>
                      <w:bCs/>
                      <w:color w:val="auto"/>
                    </w:rPr>
                    <w:t>标准名称</w:t>
                  </w:r>
                </w:p>
              </w:tc>
              <w:tc>
                <w:tcPr>
                  <w:tcW w:w="794" w:type="pct"/>
                  <w:vAlign w:val="center"/>
                </w:tcPr>
                <w:p w14:paraId="2B848D71">
                  <w:pPr>
                    <w:spacing w:line="360" w:lineRule="auto"/>
                    <w:jc w:val="center"/>
                    <w:rPr>
                      <w:bCs/>
                      <w:color w:val="auto"/>
                    </w:rPr>
                  </w:pPr>
                  <w:r>
                    <w:rPr>
                      <w:bCs/>
                      <w:color w:val="auto"/>
                    </w:rPr>
                    <w:t>浓度限值（mg/m</w:t>
                  </w:r>
                  <w:r>
                    <w:rPr>
                      <w:bCs/>
                      <w:color w:val="auto"/>
                      <w:vertAlign w:val="superscript"/>
                    </w:rPr>
                    <w:t>3</w:t>
                  </w:r>
                  <w:r>
                    <w:rPr>
                      <w:bCs/>
                      <w:color w:val="auto"/>
                    </w:rPr>
                    <w:t>）</w:t>
                  </w:r>
                </w:p>
              </w:tc>
              <w:tc>
                <w:tcPr>
                  <w:tcW w:w="589" w:type="pct"/>
                  <w:vMerge w:val="continue"/>
                  <w:vAlign w:val="center"/>
                </w:tcPr>
                <w:p w14:paraId="2F3B313C">
                  <w:pPr>
                    <w:spacing w:line="360" w:lineRule="auto"/>
                    <w:jc w:val="center"/>
                    <w:rPr>
                      <w:bCs/>
                      <w:color w:val="auto"/>
                    </w:rPr>
                  </w:pPr>
                </w:p>
              </w:tc>
            </w:tr>
            <w:tr w14:paraId="23AD12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08" w:hRule="atLeast"/>
              </w:trPr>
              <w:tc>
                <w:tcPr>
                  <w:tcW w:w="246" w:type="pct"/>
                  <w:vAlign w:val="center"/>
                </w:tcPr>
                <w:p w14:paraId="53D8C72E">
                  <w:pPr>
                    <w:spacing w:line="360" w:lineRule="auto"/>
                    <w:jc w:val="center"/>
                    <w:rPr>
                      <w:bCs/>
                      <w:color w:val="auto"/>
                    </w:rPr>
                  </w:pPr>
                  <w:r>
                    <w:rPr>
                      <w:bCs/>
                      <w:color w:val="auto"/>
                    </w:rPr>
                    <w:t>1</w:t>
                  </w:r>
                </w:p>
              </w:tc>
              <w:tc>
                <w:tcPr>
                  <w:tcW w:w="659" w:type="pct"/>
                  <w:vAlign w:val="center"/>
                </w:tcPr>
                <w:p w14:paraId="7652AED3">
                  <w:pPr>
                    <w:spacing w:line="360" w:lineRule="auto"/>
                    <w:jc w:val="center"/>
                    <w:rPr>
                      <w:rFonts w:hint="eastAsia"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预处理</w:t>
                  </w:r>
                </w:p>
              </w:tc>
              <w:tc>
                <w:tcPr>
                  <w:tcW w:w="851" w:type="pct"/>
                  <w:vAlign w:val="center"/>
                </w:tcPr>
                <w:p w14:paraId="307F7AFC">
                  <w:pPr>
                    <w:pStyle w:val="110"/>
                    <w:keepNext w:val="0"/>
                    <w:keepLines w:val="0"/>
                    <w:pageBreakBefore w:val="0"/>
                    <w:suppressLineNumbers w:val="0"/>
                    <w:wordWrap/>
                    <w:bidi w:val="0"/>
                    <w:spacing w:before="0" w:beforeAutospacing="0" w:after="0" w:afterAutospacing="0" w:line="360" w:lineRule="auto"/>
                    <w:ind w:left="0" w:leftChars="0" w:right="0" w:rightChars="0"/>
                    <w:rPr>
                      <w:color w:val="auto"/>
                      <w:kern w:val="0"/>
                    </w:rPr>
                  </w:pPr>
                  <w:r>
                    <w:rPr>
                      <w:rFonts w:hint="eastAsia"/>
                      <w:color w:val="auto"/>
                      <w:szCs w:val="21"/>
                      <w:highlight w:val="none"/>
                      <w:lang w:val="en-US" w:eastAsia="zh-CN"/>
                    </w:rPr>
                    <w:t>非甲烷总烃</w:t>
                  </w:r>
                </w:p>
              </w:tc>
              <w:tc>
                <w:tcPr>
                  <w:tcW w:w="768" w:type="pct"/>
                  <w:vMerge w:val="restart"/>
                  <w:vAlign w:val="center"/>
                </w:tcPr>
                <w:p w14:paraId="423CE368">
                  <w:pPr>
                    <w:spacing w:line="360" w:lineRule="auto"/>
                    <w:jc w:val="center"/>
                    <w:rPr>
                      <w:color w:val="auto"/>
                    </w:rPr>
                  </w:pPr>
                  <w:r>
                    <w:rPr>
                      <w:rFonts w:hint="eastAsia"/>
                      <w:color w:val="auto"/>
                      <w:lang w:val="en-US" w:eastAsia="zh-CN"/>
                    </w:rPr>
                    <w:t>自然通风</w:t>
                  </w:r>
                </w:p>
              </w:tc>
              <w:tc>
                <w:tcPr>
                  <w:tcW w:w="1090" w:type="pct"/>
                  <w:vMerge w:val="restart"/>
                  <w:vAlign w:val="center"/>
                </w:tcPr>
                <w:p w14:paraId="1ED72D1F">
                  <w:pPr>
                    <w:spacing w:line="360" w:lineRule="auto"/>
                    <w:jc w:val="center"/>
                    <w:rPr>
                      <w:color w:val="auto"/>
                    </w:rPr>
                  </w:pPr>
                  <w:r>
                    <w:rPr>
                      <w:color w:val="auto"/>
                    </w:rPr>
                    <w:t>《大气污染物综合排放标准》（GB16297-1996）表2中无组织排放浓度限值</w:t>
                  </w:r>
                </w:p>
              </w:tc>
              <w:tc>
                <w:tcPr>
                  <w:tcW w:w="794" w:type="pct"/>
                  <w:vAlign w:val="center"/>
                </w:tcPr>
                <w:p w14:paraId="665A3E9F">
                  <w:pPr>
                    <w:jc w:val="center"/>
                    <w:rPr>
                      <w:rFonts w:hint="default" w:eastAsia="宋体"/>
                      <w:bCs/>
                      <w:color w:val="auto"/>
                      <w:lang w:val="en-US" w:eastAsia="zh-CN"/>
                    </w:rPr>
                  </w:pPr>
                  <w:r>
                    <w:rPr>
                      <w:rFonts w:hint="eastAsia"/>
                      <w:color w:val="auto"/>
                      <w:lang w:val="en-US" w:eastAsia="zh-CN"/>
                    </w:rPr>
                    <w:t>4.0</w:t>
                  </w:r>
                </w:p>
              </w:tc>
              <w:tc>
                <w:tcPr>
                  <w:tcW w:w="589" w:type="pct"/>
                  <w:vAlign w:val="center"/>
                </w:tcPr>
                <w:p w14:paraId="0BF2F163">
                  <w:pPr>
                    <w:spacing w:line="360" w:lineRule="auto"/>
                    <w:jc w:val="center"/>
                    <w:rPr>
                      <w:rFonts w:hint="default" w:eastAsia="宋体"/>
                      <w:color w:val="auto"/>
                      <w:lang w:val="en-US" w:eastAsia="zh-CN"/>
                    </w:rPr>
                  </w:pPr>
                  <w:r>
                    <w:rPr>
                      <w:rFonts w:hint="eastAsia"/>
                      <w:color w:val="auto"/>
                      <w:lang w:val="en-US" w:eastAsia="zh-CN"/>
                    </w:rPr>
                    <w:t>0.004</w:t>
                  </w:r>
                </w:p>
              </w:tc>
            </w:tr>
            <w:tr w14:paraId="11BF32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7" w:hRule="atLeast"/>
              </w:trPr>
              <w:tc>
                <w:tcPr>
                  <w:tcW w:w="246" w:type="pct"/>
                  <w:vAlign w:val="center"/>
                </w:tcPr>
                <w:p w14:paraId="71324BF7">
                  <w:pPr>
                    <w:spacing w:line="360" w:lineRule="auto"/>
                    <w:jc w:val="center"/>
                    <w:rPr>
                      <w:rFonts w:hint="eastAsia" w:eastAsia="宋体"/>
                      <w:bCs/>
                      <w:color w:val="auto"/>
                      <w:lang w:eastAsia="zh-CN"/>
                    </w:rPr>
                  </w:pPr>
                  <w:r>
                    <w:rPr>
                      <w:rFonts w:hint="eastAsia"/>
                      <w:bCs/>
                      <w:color w:val="auto"/>
                      <w:lang w:val="en-US" w:eastAsia="zh-CN"/>
                    </w:rPr>
                    <w:t>2</w:t>
                  </w:r>
                </w:p>
              </w:tc>
              <w:tc>
                <w:tcPr>
                  <w:tcW w:w="659" w:type="pct"/>
                  <w:vAlign w:val="center"/>
                </w:tcPr>
                <w:p w14:paraId="5A4C86F8">
                  <w:pPr>
                    <w:spacing w:line="360" w:lineRule="auto"/>
                    <w:jc w:val="center"/>
                    <w:rPr>
                      <w:rFonts w:hint="eastAsia" w:eastAsia="宋体"/>
                      <w:color w:val="auto"/>
                      <w:lang w:val="en-US" w:eastAsia="zh-CN"/>
                    </w:rPr>
                  </w:pPr>
                  <w:r>
                    <w:rPr>
                      <w:rFonts w:hint="eastAsia"/>
                      <w:color w:val="auto"/>
                      <w:lang w:val="en-US" w:eastAsia="zh-CN"/>
                    </w:rPr>
                    <w:t>切割</w:t>
                  </w:r>
                </w:p>
              </w:tc>
              <w:tc>
                <w:tcPr>
                  <w:tcW w:w="851" w:type="pct"/>
                  <w:vAlign w:val="center"/>
                </w:tcPr>
                <w:p w14:paraId="583B9A0B">
                  <w:pPr>
                    <w:pStyle w:val="110"/>
                    <w:keepNext w:val="0"/>
                    <w:keepLines w:val="0"/>
                    <w:pageBreakBefore w:val="0"/>
                    <w:suppressLineNumbers w:val="0"/>
                    <w:wordWrap/>
                    <w:bidi w:val="0"/>
                    <w:spacing w:before="0" w:beforeAutospacing="0" w:after="0" w:afterAutospacing="0" w:line="360" w:lineRule="auto"/>
                    <w:ind w:left="0" w:leftChars="0" w:right="0" w:rightChars="0"/>
                    <w:rPr>
                      <w:rFonts w:hint="default"/>
                      <w:color w:val="auto"/>
                      <w:szCs w:val="21"/>
                      <w:highlight w:val="none"/>
                      <w:lang w:val="en-US" w:eastAsia="zh-CN"/>
                    </w:rPr>
                  </w:pPr>
                  <w:r>
                    <w:rPr>
                      <w:rFonts w:hint="eastAsia"/>
                      <w:color w:val="auto"/>
                      <w:spacing w:val="-10"/>
                      <w:szCs w:val="21"/>
                      <w:highlight w:val="none"/>
                      <w:lang w:val="en-US" w:eastAsia="zh-CN"/>
                    </w:rPr>
                    <w:t>工业粉尘</w:t>
                  </w:r>
                </w:p>
              </w:tc>
              <w:tc>
                <w:tcPr>
                  <w:tcW w:w="768" w:type="pct"/>
                  <w:vMerge w:val="continue"/>
                  <w:vAlign w:val="center"/>
                </w:tcPr>
                <w:p w14:paraId="6BDA5CB1">
                  <w:pPr>
                    <w:spacing w:line="360" w:lineRule="auto"/>
                    <w:jc w:val="center"/>
                    <w:rPr>
                      <w:color w:val="auto"/>
                    </w:rPr>
                  </w:pPr>
                </w:p>
              </w:tc>
              <w:tc>
                <w:tcPr>
                  <w:tcW w:w="1090" w:type="pct"/>
                  <w:vMerge w:val="continue"/>
                  <w:vAlign w:val="center"/>
                </w:tcPr>
                <w:p w14:paraId="0D0B3672">
                  <w:pPr>
                    <w:spacing w:line="360" w:lineRule="auto"/>
                    <w:jc w:val="center"/>
                    <w:rPr>
                      <w:color w:val="auto"/>
                    </w:rPr>
                  </w:pPr>
                </w:p>
              </w:tc>
              <w:tc>
                <w:tcPr>
                  <w:tcW w:w="794" w:type="pct"/>
                  <w:vAlign w:val="center"/>
                </w:tcPr>
                <w:p w14:paraId="08ABCDB2">
                  <w:pPr>
                    <w:jc w:val="center"/>
                    <w:rPr>
                      <w:rFonts w:hint="default"/>
                      <w:color w:val="auto"/>
                      <w:szCs w:val="21"/>
                      <w:lang w:val="en-US" w:eastAsia="zh-CN"/>
                    </w:rPr>
                  </w:pPr>
                  <w:r>
                    <w:rPr>
                      <w:rFonts w:hint="eastAsia"/>
                      <w:color w:val="auto"/>
                      <w:szCs w:val="21"/>
                      <w:lang w:val="en-US" w:eastAsia="zh-CN"/>
                    </w:rPr>
                    <w:t>1.0</w:t>
                  </w:r>
                </w:p>
              </w:tc>
              <w:tc>
                <w:tcPr>
                  <w:tcW w:w="589" w:type="pct"/>
                  <w:vAlign w:val="center"/>
                </w:tcPr>
                <w:p w14:paraId="59F3F595">
                  <w:pPr>
                    <w:spacing w:line="360" w:lineRule="auto"/>
                    <w:jc w:val="center"/>
                    <w:rPr>
                      <w:rFonts w:hint="default"/>
                      <w:color w:val="auto"/>
                      <w:lang w:val="en-US" w:eastAsia="zh-CN"/>
                    </w:rPr>
                  </w:pPr>
                  <w:r>
                    <w:rPr>
                      <w:rFonts w:hint="eastAsia"/>
                      <w:color w:val="auto"/>
                      <w:lang w:val="en-US" w:eastAsia="zh-CN"/>
                    </w:rPr>
                    <w:t>0.015</w:t>
                  </w:r>
                </w:p>
              </w:tc>
            </w:tr>
            <w:tr w14:paraId="44DD54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05" w:type="pct"/>
                  <w:gridSpan w:val="2"/>
                  <w:vMerge w:val="restart"/>
                  <w:vAlign w:val="center"/>
                </w:tcPr>
                <w:p w14:paraId="2F5C293D">
                  <w:pPr>
                    <w:spacing w:line="360" w:lineRule="auto"/>
                    <w:jc w:val="center"/>
                    <w:rPr>
                      <w:bCs/>
                      <w:color w:val="auto"/>
                    </w:rPr>
                  </w:pPr>
                  <w:r>
                    <w:rPr>
                      <w:bCs/>
                      <w:color w:val="auto"/>
                    </w:rPr>
                    <w:t>无组织排放总计</w:t>
                  </w:r>
                </w:p>
              </w:tc>
              <w:tc>
                <w:tcPr>
                  <w:tcW w:w="5745" w:type="dxa"/>
                  <w:gridSpan w:val="4"/>
                  <w:vAlign w:val="center"/>
                </w:tcPr>
                <w:p w14:paraId="394504AA">
                  <w:pPr>
                    <w:pStyle w:val="110"/>
                    <w:keepNext w:val="0"/>
                    <w:keepLines w:val="0"/>
                    <w:pageBreakBefore w:val="0"/>
                    <w:suppressLineNumbers w:val="0"/>
                    <w:wordWrap/>
                    <w:bidi w:val="0"/>
                    <w:spacing w:before="0" w:beforeAutospacing="0" w:after="0" w:afterAutospacing="0" w:line="360" w:lineRule="auto"/>
                    <w:ind w:left="0" w:leftChars="0" w:right="0" w:rightChars="0"/>
                    <w:rPr>
                      <w:bCs/>
                      <w:color w:val="auto"/>
                    </w:rPr>
                  </w:pPr>
                  <w:r>
                    <w:rPr>
                      <w:rFonts w:hint="eastAsia"/>
                      <w:color w:val="auto"/>
                      <w:szCs w:val="21"/>
                      <w:highlight w:val="none"/>
                      <w:lang w:val="en-US" w:eastAsia="zh-CN"/>
                    </w:rPr>
                    <w:t>非甲烷总烃</w:t>
                  </w:r>
                </w:p>
              </w:tc>
              <w:tc>
                <w:tcPr>
                  <w:tcW w:w="966" w:type="dxa"/>
                  <w:vAlign w:val="center"/>
                </w:tcPr>
                <w:p w14:paraId="0D315560">
                  <w:pPr>
                    <w:spacing w:line="360" w:lineRule="auto"/>
                    <w:jc w:val="center"/>
                    <w:rPr>
                      <w:rFonts w:hint="default" w:eastAsia="宋体"/>
                      <w:color w:val="auto"/>
                      <w:lang w:val="en-US" w:eastAsia="zh-CN"/>
                    </w:rPr>
                  </w:pPr>
                  <w:r>
                    <w:rPr>
                      <w:rFonts w:hint="eastAsia"/>
                      <w:color w:val="auto"/>
                      <w:lang w:val="en-US" w:eastAsia="zh-CN"/>
                    </w:rPr>
                    <w:t>0.004</w:t>
                  </w:r>
                </w:p>
              </w:tc>
            </w:tr>
            <w:tr w14:paraId="0A8111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05" w:type="pct"/>
                  <w:gridSpan w:val="2"/>
                  <w:vMerge w:val="continue"/>
                  <w:vAlign w:val="center"/>
                </w:tcPr>
                <w:p w14:paraId="5B91C44A">
                  <w:pPr>
                    <w:spacing w:line="360" w:lineRule="auto"/>
                    <w:jc w:val="center"/>
                    <w:rPr>
                      <w:bCs/>
                      <w:color w:val="auto"/>
                    </w:rPr>
                  </w:pPr>
                </w:p>
              </w:tc>
              <w:tc>
                <w:tcPr>
                  <w:tcW w:w="5745" w:type="dxa"/>
                  <w:gridSpan w:val="4"/>
                  <w:vAlign w:val="center"/>
                </w:tcPr>
                <w:p w14:paraId="6C5923CD">
                  <w:pPr>
                    <w:pStyle w:val="110"/>
                    <w:keepNext w:val="0"/>
                    <w:keepLines w:val="0"/>
                    <w:pageBreakBefore w:val="0"/>
                    <w:suppressLineNumbers w:val="0"/>
                    <w:wordWrap/>
                    <w:bidi w:val="0"/>
                    <w:spacing w:before="0" w:beforeAutospacing="0" w:after="0" w:afterAutospacing="0" w:line="360" w:lineRule="auto"/>
                    <w:ind w:left="0" w:leftChars="0" w:right="0" w:rightChars="0"/>
                    <w:rPr>
                      <w:color w:val="auto"/>
                      <w:kern w:val="0"/>
                    </w:rPr>
                  </w:pPr>
                  <w:r>
                    <w:rPr>
                      <w:rFonts w:hint="eastAsia"/>
                      <w:color w:val="auto"/>
                      <w:spacing w:val="-10"/>
                      <w:szCs w:val="21"/>
                      <w:highlight w:val="none"/>
                      <w:lang w:val="en-US" w:eastAsia="zh-CN"/>
                    </w:rPr>
                    <w:t>工业粉尘</w:t>
                  </w:r>
                </w:p>
              </w:tc>
              <w:tc>
                <w:tcPr>
                  <w:tcW w:w="966" w:type="dxa"/>
                  <w:vAlign w:val="center"/>
                </w:tcPr>
                <w:p w14:paraId="296FDD8E">
                  <w:pPr>
                    <w:spacing w:line="360" w:lineRule="auto"/>
                    <w:jc w:val="center"/>
                    <w:rPr>
                      <w:rFonts w:hint="default" w:eastAsia="宋体"/>
                      <w:color w:val="auto"/>
                      <w:lang w:val="en-US" w:eastAsia="zh-CN"/>
                    </w:rPr>
                  </w:pPr>
                  <w:r>
                    <w:rPr>
                      <w:rFonts w:hint="eastAsia"/>
                      <w:color w:val="auto"/>
                      <w:lang w:val="en-US" w:eastAsia="zh-CN"/>
                    </w:rPr>
                    <w:t>0.015</w:t>
                  </w:r>
                </w:p>
              </w:tc>
            </w:tr>
          </w:tbl>
          <w:p w14:paraId="2BF96CAA">
            <w:pPr>
              <w:pStyle w:val="112"/>
              <w:keepNext w:val="0"/>
              <w:keepLines w:val="0"/>
              <w:pageBreakBefore w:val="0"/>
              <w:suppressLineNumbers w:val="0"/>
              <w:wordWrap/>
              <w:bidi w:val="0"/>
              <w:spacing w:before="0" w:beforeAutospacing="0" w:after="0" w:afterAutospacing="0" w:line="240" w:lineRule="auto"/>
              <w:ind w:left="0" w:leftChars="0" w:right="0"/>
              <w:rPr>
                <w:rFonts w:hint="eastAsia" w:ascii="Times New Roman" w:hAnsi="Times New Roman" w:cs="Times New Roman" w:eastAsiaTheme="minorEastAsia"/>
                <w:b/>
                <w:bCs/>
                <w:color w:val="auto"/>
                <w:kern w:val="2"/>
                <w:sz w:val="21"/>
                <w:szCs w:val="24"/>
                <w:highlight w:val="none"/>
                <w:lang w:val="en-US" w:eastAsia="zh-CN" w:bidi="ar-SA"/>
              </w:rPr>
            </w:pPr>
            <w:r>
              <w:rPr>
                <w:rFonts w:hint="eastAsia" w:ascii="Times New Roman" w:hAnsi="Times New Roman" w:cs="Times New Roman" w:eastAsiaTheme="minorEastAsia"/>
                <w:b/>
                <w:bCs/>
                <w:color w:val="auto"/>
                <w:kern w:val="2"/>
                <w:sz w:val="21"/>
                <w:szCs w:val="24"/>
                <w:highlight w:val="none"/>
                <w:lang w:val="en-US" w:eastAsia="zh-CN" w:bidi="ar-SA"/>
              </w:rPr>
              <w:t>表4-</w:t>
            </w:r>
            <w:r>
              <w:rPr>
                <w:rFonts w:hint="eastAsia" w:ascii="Times New Roman" w:cs="Times New Roman" w:eastAsiaTheme="minorEastAsia"/>
                <w:b/>
                <w:bCs/>
                <w:color w:val="auto"/>
                <w:kern w:val="2"/>
                <w:sz w:val="21"/>
                <w:szCs w:val="24"/>
                <w:highlight w:val="none"/>
                <w:lang w:val="en-US" w:eastAsia="zh-CN" w:bidi="ar-SA"/>
              </w:rPr>
              <w:t>5</w:t>
            </w:r>
            <w:r>
              <w:rPr>
                <w:rFonts w:hint="eastAsia" w:ascii="Times New Roman" w:hAnsi="Times New Roman" w:cs="Times New Roman" w:eastAsiaTheme="minorEastAsia"/>
                <w:b/>
                <w:bCs/>
                <w:color w:val="auto"/>
                <w:kern w:val="2"/>
                <w:sz w:val="21"/>
                <w:szCs w:val="24"/>
                <w:highlight w:val="none"/>
                <w:lang w:val="en-US" w:eastAsia="zh-CN" w:bidi="ar-SA"/>
              </w:rPr>
              <w:t xml:space="preserve">  大气污染物年排放量核算表</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90"/>
              <w:gridCol w:w="2575"/>
              <w:gridCol w:w="4285"/>
            </w:tblGrid>
            <w:tr w14:paraId="1CA405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791" w:type="pct"/>
                  <w:noWrap w:val="0"/>
                  <w:vAlign w:val="center"/>
                </w:tcPr>
                <w:p w14:paraId="57D0B346">
                  <w:pPr>
                    <w:pStyle w:val="110"/>
                    <w:keepNext w:val="0"/>
                    <w:keepLines w:val="0"/>
                    <w:pageBreakBefore w:val="0"/>
                    <w:suppressLineNumbers w:val="0"/>
                    <w:wordWrap/>
                    <w:bidi w:val="0"/>
                    <w:spacing w:before="0" w:beforeAutospacing="0" w:after="0" w:afterAutospacing="0" w:line="240" w:lineRule="auto"/>
                    <w:ind w:left="0" w:leftChars="0" w:right="0"/>
                    <w:jc w:val="center"/>
                    <w:rPr>
                      <w:rFonts w:hint="default"/>
                      <w:color w:val="auto"/>
                      <w:szCs w:val="21"/>
                      <w:highlight w:val="none"/>
                    </w:rPr>
                  </w:pPr>
                  <w:r>
                    <w:rPr>
                      <w:rFonts w:hint="default"/>
                      <w:color w:val="auto"/>
                      <w:szCs w:val="21"/>
                      <w:highlight w:val="none"/>
                    </w:rPr>
                    <w:t>序号</w:t>
                  </w:r>
                </w:p>
              </w:tc>
              <w:tc>
                <w:tcPr>
                  <w:tcW w:w="1579" w:type="pct"/>
                  <w:noWrap w:val="0"/>
                  <w:vAlign w:val="center"/>
                </w:tcPr>
                <w:p w14:paraId="2DDA82B9">
                  <w:pPr>
                    <w:pStyle w:val="110"/>
                    <w:keepNext w:val="0"/>
                    <w:keepLines w:val="0"/>
                    <w:pageBreakBefore w:val="0"/>
                    <w:suppressLineNumbers w:val="0"/>
                    <w:wordWrap/>
                    <w:bidi w:val="0"/>
                    <w:spacing w:before="0" w:beforeAutospacing="0" w:after="0" w:afterAutospacing="0" w:line="240" w:lineRule="auto"/>
                    <w:ind w:left="0" w:leftChars="0" w:right="0"/>
                    <w:jc w:val="center"/>
                    <w:rPr>
                      <w:rFonts w:hint="default"/>
                      <w:color w:val="auto"/>
                      <w:szCs w:val="21"/>
                      <w:highlight w:val="none"/>
                    </w:rPr>
                  </w:pPr>
                  <w:r>
                    <w:rPr>
                      <w:rFonts w:hint="default"/>
                      <w:color w:val="auto"/>
                      <w:szCs w:val="21"/>
                      <w:highlight w:val="none"/>
                    </w:rPr>
                    <w:t>污染物</w:t>
                  </w:r>
                </w:p>
              </w:tc>
              <w:tc>
                <w:tcPr>
                  <w:tcW w:w="2628" w:type="pct"/>
                  <w:noWrap w:val="0"/>
                  <w:vAlign w:val="center"/>
                </w:tcPr>
                <w:p w14:paraId="4FEDE8E5">
                  <w:pPr>
                    <w:pStyle w:val="110"/>
                    <w:keepNext w:val="0"/>
                    <w:keepLines w:val="0"/>
                    <w:pageBreakBefore w:val="0"/>
                    <w:suppressLineNumbers w:val="0"/>
                    <w:wordWrap/>
                    <w:bidi w:val="0"/>
                    <w:spacing w:before="0" w:beforeAutospacing="0" w:after="0" w:afterAutospacing="0" w:line="240" w:lineRule="auto"/>
                    <w:ind w:left="0" w:leftChars="0" w:right="0"/>
                    <w:jc w:val="center"/>
                    <w:rPr>
                      <w:rFonts w:hint="default"/>
                      <w:color w:val="auto"/>
                      <w:szCs w:val="21"/>
                      <w:highlight w:val="none"/>
                    </w:rPr>
                  </w:pPr>
                  <w:r>
                    <w:rPr>
                      <w:rFonts w:hint="default"/>
                      <w:color w:val="auto"/>
                      <w:szCs w:val="21"/>
                      <w:highlight w:val="none"/>
                    </w:rPr>
                    <w:t>核算年排放量（t/a）</w:t>
                  </w:r>
                </w:p>
              </w:tc>
            </w:tr>
            <w:tr w14:paraId="604C2F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1" w:type="pct"/>
                  <w:noWrap w:val="0"/>
                  <w:vAlign w:val="center"/>
                </w:tcPr>
                <w:p w14:paraId="3B8158AF">
                  <w:pPr>
                    <w:pStyle w:val="110"/>
                    <w:keepNext w:val="0"/>
                    <w:keepLines w:val="0"/>
                    <w:pageBreakBefore w:val="0"/>
                    <w:suppressLineNumbers w:val="0"/>
                    <w:wordWrap/>
                    <w:bidi w:val="0"/>
                    <w:spacing w:before="0" w:beforeAutospacing="0" w:after="0" w:afterAutospacing="0" w:line="240" w:lineRule="auto"/>
                    <w:ind w:left="0" w:leftChars="0" w:right="0"/>
                    <w:jc w:val="center"/>
                    <w:rPr>
                      <w:rFonts w:hint="default"/>
                      <w:color w:val="auto"/>
                      <w:szCs w:val="21"/>
                      <w:highlight w:val="none"/>
                    </w:rPr>
                  </w:pPr>
                  <w:r>
                    <w:rPr>
                      <w:rFonts w:hint="default"/>
                      <w:color w:val="auto"/>
                      <w:szCs w:val="21"/>
                      <w:highlight w:val="none"/>
                    </w:rPr>
                    <w:t>1</w:t>
                  </w:r>
                </w:p>
              </w:tc>
              <w:tc>
                <w:tcPr>
                  <w:tcW w:w="2592" w:type="dxa"/>
                  <w:noWrap w:val="0"/>
                  <w:vAlign w:val="center"/>
                </w:tcPr>
                <w:p w14:paraId="2A0C492B">
                  <w:pPr>
                    <w:keepNext w:val="0"/>
                    <w:keepLines w:val="0"/>
                    <w:pageBreakBefore w:val="0"/>
                    <w:widowControl/>
                    <w:suppressLineNumbers w:val="0"/>
                    <w:wordWrap/>
                    <w:bidi w:val="0"/>
                    <w:spacing w:before="0" w:beforeAutospacing="0" w:after="0" w:afterAutospacing="0" w:line="240" w:lineRule="auto"/>
                    <w:ind w:left="0" w:leftChars="0" w:right="0" w:rightChars="0"/>
                    <w:jc w:val="center"/>
                    <w:textAlignment w:val="center"/>
                    <w:rPr>
                      <w:rFonts w:hint="eastAsia" w:eastAsia="宋体"/>
                      <w:color w:val="auto"/>
                      <w:szCs w:val="21"/>
                      <w:highlight w:val="none"/>
                      <w:lang w:eastAsia="zh-CN"/>
                    </w:rPr>
                  </w:pPr>
                  <w:r>
                    <w:rPr>
                      <w:rFonts w:hint="default" w:ascii="Times New Roman" w:hAnsi="Times New Roman" w:eastAsia="宋体" w:cs="Times New Roman"/>
                      <w:color w:val="auto"/>
                      <w:sz w:val="21"/>
                      <w:szCs w:val="21"/>
                      <w:highlight w:val="none"/>
                      <w:lang w:val="en-US" w:eastAsia="zh-CN"/>
                    </w:rPr>
                    <w:t>颗粒物</w:t>
                  </w:r>
                </w:p>
              </w:tc>
              <w:tc>
                <w:tcPr>
                  <w:tcW w:w="4313" w:type="dxa"/>
                  <w:noWrap w:val="0"/>
                  <w:vAlign w:val="center"/>
                </w:tcPr>
                <w:p w14:paraId="0FF3CA40">
                  <w:pPr>
                    <w:keepNext w:val="0"/>
                    <w:keepLines w:val="0"/>
                    <w:pageBreakBefore w:val="0"/>
                    <w:widowControl/>
                    <w:suppressLineNumbers w:val="0"/>
                    <w:wordWrap/>
                    <w:bidi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0.172</w:t>
                  </w:r>
                </w:p>
              </w:tc>
            </w:tr>
            <w:tr w14:paraId="74FB2C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1" w:type="pct"/>
                  <w:noWrap w:val="0"/>
                  <w:vAlign w:val="center"/>
                </w:tcPr>
                <w:p w14:paraId="2874B9D7">
                  <w:pPr>
                    <w:pStyle w:val="110"/>
                    <w:keepNext w:val="0"/>
                    <w:keepLines w:val="0"/>
                    <w:pageBreakBefore w:val="0"/>
                    <w:suppressLineNumbers w:val="0"/>
                    <w:wordWrap/>
                    <w:bidi w:val="0"/>
                    <w:spacing w:before="0" w:beforeAutospacing="0" w:after="0" w:afterAutospacing="0" w:line="240" w:lineRule="auto"/>
                    <w:ind w:left="0" w:leftChars="0" w:right="0"/>
                    <w:jc w:val="center"/>
                    <w:rPr>
                      <w:rFonts w:hint="default"/>
                      <w:color w:val="auto"/>
                      <w:szCs w:val="21"/>
                      <w:highlight w:val="none"/>
                    </w:rPr>
                  </w:pPr>
                  <w:r>
                    <w:rPr>
                      <w:rFonts w:hint="eastAsia"/>
                      <w:color w:val="auto"/>
                      <w:szCs w:val="21"/>
                      <w:highlight w:val="none"/>
                    </w:rPr>
                    <w:t>2</w:t>
                  </w:r>
                </w:p>
              </w:tc>
              <w:tc>
                <w:tcPr>
                  <w:tcW w:w="2592" w:type="dxa"/>
                  <w:noWrap w:val="0"/>
                  <w:vAlign w:val="center"/>
                </w:tcPr>
                <w:p w14:paraId="4D947F5A">
                  <w:pPr>
                    <w:keepNext w:val="0"/>
                    <w:keepLines w:val="0"/>
                    <w:pageBreakBefore w:val="0"/>
                    <w:widowControl/>
                    <w:suppressLineNumbers w:val="0"/>
                    <w:wordWrap/>
                    <w:bidi w:val="0"/>
                    <w:spacing w:before="0" w:beforeAutospacing="0" w:after="0" w:afterAutospacing="0" w:line="240" w:lineRule="auto"/>
                    <w:ind w:left="0" w:leftChars="0" w:right="0" w:rightChars="0"/>
                    <w:jc w:val="center"/>
                    <w:textAlignment w:val="center"/>
                    <w:rPr>
                      <w:rFonts w:hint="default" w:eastAsia="宋体"/>
                      <w:color w:val="auto"/>
                      <w:szCs w:val="21"/>
                      <w:highlight w:val="none"/>
                      <w:lang w:val="en-US" w:eastAsia="zh-CN"/>
                    </w:rPr>
                  </w:pPr>
                  <w:r>
                    <w:rPr>
                      <w:rFonts w:hint="default" w:ascii="Times New Roman" w:hAnsi="Times New Roman" w:eastAsia="宋体" w:cs="Times New Roman"/>
                      <w:color w:val="auto"/>
                      <w:kern w:val="0"/>
                      <w:sz w:val="21"/>
                      <w:szCs w:val="21"/>
                      <w:highlight w:val="none"/>
                    </w:rPr>
                    <w:t>SO</w:t>
                  </w:r>
                  <w:r>
                    <w:rPr>
                      <w:rStyle w:val="120"/>
                      <w:rFonts w:hint="default" w:ascii="Times New Roman" w:hAnsi="Times New Roman" w:eastAsia="宋体" w:cs="Times New Roman"/>
                      <w:color w:val="auto"/>
                      <w:sz w:val="21"/>
                      <w:szCs w:val="21"/>
                      <w:highlight w:val="none"/>
                      <w:vertAlign w:val="subscript"/>
                    </w:rPr>
                    <w:t>2</w:t>
                  </w:r>
                </w:p>
              </w:tc>
              <w:tc>
                <w:tcPr>
                  <w:tcW w:w="4313" w:type="dxa"/>
                  <w:noWrap w:val="0"/>
                  <w:vAlign w:val="center"/>
                </w:tcPr>
                <w:p w14:paraId="1D748FAB">
                  <w:pPr>
                    <w:keepNext w:val="0"/>
                    <w:keepLines w:val="0"/>
                    <w:pageBreakBefore w:val="0"/>
                    <w:widowControl/>
                    <w:suppressLineNumbers w:val="0"/>
                    <w:wordWrap/>
                    <w:bidi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0.285</w:t>
                  </w:r>
                </w:p>
              </w:tc>
            </w:tr>
            <w:tr w14:paraId="294940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1" w:type="pct"/>
                  <w:noWrap w:val="0"/>
                  <w:vAlign w:val="center"/>
                </w:tcPr>
                <w:p w14:paraId="6996CC56">
                  <w:pPr>
                    <w:pStyle w:val="110"/>
                    <w:keepNext w:val="0"/>
                    <w:keepLines w:val="0"/>
                    <w:pageBreakBefore w:val="0"/>
                    <w:suppressLineNumbers w:val="0"/>
                    <w:wordWrap/>
                    <w:bidi w:val="0"/>
                    <w:spacing w:before="0" w:beforeAutospacing="0" w:after="0" w:afterAutospacing="0" w:line="240" w:lineRule="auto"/>
                    <w:ind w:left="0" w:leftChars="0" w:right="0"/>
                    <w:jc w:val="center"/>
                    <w:rPr>
                      <w:rFonts w:hint="eastAsia" w:eastAsia="宋体"/>
                      <w:color w:val="auto"/>
                      <w:szCs w:val="21"/>
                      <w:highlight w:val="none"/>
                      <w:lang w:val="en-US" w:eastAsia="zh-CN"/>
                    </w:rPr>
                  </w:pPr>
                  <w:r>
                    <w:rPr>
                      <w:rFonts w:hint="eastAsia"/>
                      <w:color w:val="auto"/>
                      <w:szCs w:val="21"/>
                      <w:highlight w:val="none"/>
                      <w:lang w:val="en-US" w:eastAsia="zh-CN"/>
                    </w:rPr>
                    <w:t>3</w:t>
                  </w:r>
                </w:p>
              </w:tc>
              <w:tc>
                <w:tcPr>
                  <w:tcW w:w="2592" w:type="dxa"/>
                  <w:noWrap w:val="0"/>
                  <w:vAlign w:val="center"/>
                </w:tcPr>
                <w:p w14:paraId="35A9A514">
                  <w:pPr>
                    <w:keepNext w:val="0"/>
                    <w:keepLines w:val="0"/>
                    <w:pageBreakBefore w:val="0"/>
                    <w:widowControl/>
                    <w:suppressLineNumbers w:val="0"/>
                    <w:wordWrap/>
                    <w:bidi w:val="0"/>
                    <w:spacing w:before="0" w:beforeAutospacing="0" w:after="0" w:afterAutospacing="0" w:line="240" w:lineRule="auto"/>
                    <w:ind w:left="0" w:leftChars="0" w:right="0" w:rightChars="0"/>
                    <w:jc w:val="center"/>
                    <w:textAlignment w:val="center"/>
                    <w:rPr>
                      <w:rFonts w:hint="eastAsia"/>
                      <w:color w:val="auto"/>
                      <w:szCs w:val="21"/>
                      <w:highlight w:val="none"/>
                      <w:lang w:val="en-US" w:eastAsia="zh-CN"/>
                    </w:rPr>
                  </w:pPr>
                  <w:r>
                    <w:rPr>
                      <w:rFonts w:hint="default" w:ascii="Times New Roman" w:hAnsi="Times New Roman" w:eastAsia="宋体" w:cs="Times New Roman"/>
                      <w:color w:val="auto"/>
                      <w:kern w:val="0"/>
                      <w:sz w:val="21"/>
                      <w:szCs w:val="21"/>
                      <w:highlight w:val="none"/>
                    </w:rPr>
                    <w:t>NO</w:t>
                  </w:r>
                  <w:r>
                    <w:rPr>
                      <w:rStyle w:val="120"/>
                      <w:rFonts w:hint="default" w:ascii="Times New Roman" w:hAnsi="Times New Roman" w:eastAsia="宋体" w:cs="Times New Roman"/>
                      <w:color w:val="auto"/>
                      <w:sz w:val="21"/>
                      <w:szCs w:val="21"/>
                      <w:highlight w:val="none"/>
                      <w:vertAlign w:val="subscript"/>
                    </w:rPr>
                    <w:t>X</w:t>
                  </w:r>
                </w:p>
              </w:tc>
              <w:tc>
                <w:tcPr>
                  <w:tcW w:w="4313" w:type="dxa"/>
                  <w:noWrap w:val="0"/>
                  <w:vAlign w:val="center"/>
                </w:tcPr>
                <w:p w14:paraId="4433550B">
                  <w:pPr>
                    <w:keepNext w:val="0"/>
                    <w:keepLines w:val="0"/>
                    <w:pageBreakBefore w:val="0"/>
                    <w:widowControl/>
                    <w:suppressLineNumbers w:val="0"/>
                    <w:wordWrap/>
                    <w:bidi w:val="0"/>
                    <w:spacing w:before="0" w:beforeAutospacing="0" w:after="0" w:afterAutospacing="0" w:line="240" w:lineRule="auto"/>
                    <w:ind w:left="0" w:leftChars="0" w:right="0" w:rightChars="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0.474</w:t>
                  </w:r>
                </w:p>
              </w:tc>
            </w:tr>
            <w:tr w14:paraId="772190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1" w:type="pct"/>
                  <w:noWrap w:val="0"/>
                  <w:vAlign w:val="center"/>
                </w:tcPr>
                <w:p w14:paraId="293FAB9F">
                  <w:pPr>
                    <w:pStyle w:val="110"/>
                    <w:keepNext w:val="0"/>
                    <w:keepLines w:val="0"/>
                    <w:pageBreakBefore w:val="0"/>
                    <w:suppressLineNumbers w:val="0"/>
                    <w:wordWrap/>
                    <w:bidi w:val="0"/>
                    <w:spacing w:before="0" w:beforeAutospacing="0" w:after="0" w:afterAutospacing="0" w:line="240" w:lineRule="auto"/>
                    <w:ind w:left="0" w:leftChars="0" w:right="0"/>
                    <w:jc w:val="center"/>
                    <w:rPr>
                      <w:rFonts w:hint="eastAsia" w:eastAsia="宋体"/>
                      <w:color w:val="auto"/>
                      <w:szCs w:val="21"/>
                      <w:highlight w:val="none"/>
                      <w:lang w:val="en-US" w:eastAsia="zh-CN"/>
                    </w:rPr>
                  </w:pPr>
                  <w:r>
                    <w:rPr>
                      <w:rFonts w:hint="eastAsia"/>
                      <w:color w:val="auto"/>
                      <w:szCs w:val="21"/>
                      <w:highlight w:val="none"/>
                      <w:lang w:val="en-US" w:eastAsia="zh-CN"/>
                    </w:rPr>
                    <w:t>4</w:t>
                  </w:r>
                </w:p>
              </w:tc>
              <w:tc>
                <w:tcPr>
                  <w:tcW w:w="2592" w:type="dxa"/>
                  <w:noWrap w:val="0"/>
                  <w:vAlign w:val="center"/>
                </w:tcPr>
                <w:p w14:paraId="700B3AAB">
                  <w:pPr>
                    <w:pStyle w:val="110"/>
                    <w:keepNext w:val="0"/>
                    <w:keepLines w:val="0"/>
                    <w:pageBreakBefore w:val="0"/>
                    <w:suppressLineNumbers w:val="0"/>
                    <w:wordWrap/>
                    <w:bidi w:val="0"/>
                    <w:spacing w:before="0" w:beforeAutospacing="0" w:after="0" w:afterAutospacing="0" w:line="240" w:lineRule="auto"/>
                    <w:ind w:left="0" w:leftChars="0" w:right="0" w:rightChars="0"/>
                    <w:jc w:val="center"/>
                    <w:rPr>
                      <w:rFonts w:hint="eastAsia"/>
                      <w:color w:val="auto"/>
                      <w:szCs w:val="21"/>
                      <w:highlight w:val="none"/>
                      <w:lang w:val="en-US" w:eastAsia="zh-CN"/>
                    </w:rPr>
                  </w:pPr>
                  <w:r>
                    <w:rPr>
                      <w:rFonts w:hint="eastAsia"/>
                      <w:color w:val="auto"/>
                      <w:szCs w:val="21"/>
                      <w:highlight w:val="none"/>
                      <w:lang w:val="en-US" w:eastAsia="zh-CN"/>
                    </w:rPr>
                    <w:t>非甲烷总烃</w:t>
                  </w:r>
                </w:p>
              </w:tc>
              <w:tc>
                <w:tcPr>
                  <w:tcW w:w="4313" w:type="dxa"/>
                  <w:noWrap w:val="0"/>
                  <w:vAlign w:val="center"/>
                </w:tcPr>
                <w:p w14:paraId="6D03657A">
                  <w:pPr>
                    <w:keepNext w:val="0"/>
                    <w:keepLines w:val="0"/>
                    <w:pageBreakBefore w:val="0"/>
                    <w:widowControl/>
                    <w:suppressLineNumbers w:val="0"/>
                    <w:wordWrap/>
                    <w:bidi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0.011</w:t>
                  </w:r>
                </w:p>
              </w:tc>
            </w:tr>
            <w:tr w14:paraId="3539EC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1" w:type="pct"/>
                  <w:noWrap w:val="0"/>
                  <w:vAlign w:val="center"/>
                </w:tcPr>
                <w:p w14:paraId="7C0FF75F">
                  <w:pPr>
                    <w:pStyle w:val="110"/>
                    <w:keepNext w:val="0"/>
                    <w:keepLines w:val="0"/>
                    <w:pageBreakBefore w:val="0"/>
                    <w:suppressLineNumbers w:val="0"/>
                    <w:wordWrap/>
                    <w:bidi w:val="0"/>
                    <w:spacing w:before="0" w:beforeAutospacing="0" w:after="0" w:afterAutospacing="0" w:line="240" w:lineRule="auto"/>
                    <w:ind w:left="0" w:leftChars="0" w:right="0"/>
                    <w:jc w:val="center"/>
                    <w:rPr>
                      <w:rFonts w:hint="eastAsia" w:eastAsia="宋体"/>
                      <w:color w:val="auto"/>
                      <w:szCs w:val="21"/>
                      <w:highlight w:val="none"/>
                      <w:lang w:val="en-US" w:eastAsia="zh-CN"/>
                    </w:rPr>
                  </w:pPr>
                  <w:r>
                    <w:rPr>
                      <w:rFonts w:hint="eastAsia"/>
                      <w:color w:val="auto"/>
                      <w:szCs w:val="21"/>
                      <w:highlight w:val="none"/>
                      <w:lang w:val="en-US" w:eastAsia="zh-CN"/>
                    </w:rPr>
                    <w:t>5</w:t>
                  </w:r>
                </w:p>
              </w:tc>
              <w:tc>
                <w:tcPr>
                  <w:tcW w:w="2592" w:type="dxa"/>
                  <w:noWrap w:val="0"/>
                  <w:vAlign w:val="center"/>
                </w:tcPr>
                <w:p w14:paraId="29CA2986">
                  <w:pPr>
                    <w:pStyle w:val="110"/>
                    <w:keepNext w:val="0"/>
                    <w:keepLines w:val="0"/>
                    <w:pageBreakBefore w:val="0"/>
                    <w:suppressLineNumbers w:val="0"/>
                    <w:wordWrap/>
                    <w:bidi w:val="0"/>
                    <w:spacing w:before="0" w:beforeAutospacing="0" w:after="0" w:afterAutospacing="0" w:line="240" w:lineRule="auto"/>
                    <w:ind w:left="0" w:leftChars="0" w:right="0" w:rightChars="0"/>
                    <w:jc w:val="center"/>
                    <w:rPr>
                      <w:rFonts w:hint="eastAsia"/>
                      <w:color w:val="auto"/>
                      <w:szCs w:val="21"/>
                      <w:highlight w:val="none"/>
                      <w:lang w:val="en-US" w:eastAsia="zh-CN"/>
                    </w:rPr>
                  </w:pPr>
                  <w:r>
                    <w:rPr>
                      <w:rFonts w:hint="eastAsia"/>
                      <w:color w:val="auto"/>
                      <w:spacing w:val="-10"/>
                      <w:szCs w:val="21"/>
                      <w:highlight w:val="none"/>
                      <w:lang w:val="en-US" w:eastAsia="zh-CN"/>
                    </w:rPr>
                    <w:t>工业粉尘</w:t>
                  </w:r>
                </w:p>
              </w:tc>
              <w:tc>
                <w:tcPr>
                  <w:tcW w:w="4313" w:type="dxa"/>
                  <w:noWrap w:val="0"/>
                  <w:vAlign w:val="center"/>
                </w:tcPr>
                <w:p w14:paraId="2F0C148F">
                  <w:pPr>
                    <w:keepNext w:val="0"/>
                    <w:keepLines w:val="0"/>
                    <w:pageBreakBefore w:val="0"/>
                    <w:widowControl/>
                    <w:suppressLineNumbers w:val="0"/>
                    <w:wordWrap/>
                    <w:bidi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0.0163</w:t>
                  </w:r>
                </w:p>
              </w:tc>
            </w:tr>
          </w:tbl>
          <w:p w14:paraId="6DC429A0">
            <w:pPr>
              <w:keepNext w:val="0"/>
              <w:keepLines w:val="0"/>
              <w:pageBreakBefore w:val="0"/>
              <w:numPr>
                <w:ilvl w:val="0"/>
                <w:numId w:val="0"/>
              </w:numPr>
              <w:suppressLineNumbers w:val="0"/>
              <w:tabs>
                <w:tab w:val="left" w:pos="1291"/>
              </w:tabs>
              <w:wordWrap/>
              <w:topLinePunct w:val="0"/>
              <w:bidi w:val="0"/>
              <w:spacing w:before="0" w:beforeAutospacing="0" w:after="0" w:afterAutospacing="0" w:line="360" w:lineRule="auto"/>
              <w:ind w:left="0" w:leftChars="0" w:right="0" w:rightChars="0" w:firstLine="480" w:firstLineChars="200"/>
              <w:jc w:val="left"/>
              <w:rPr>
                <w:rFonts w:hint="eastAsia"/>
                <w:bCs/>
                <w:color w:val="auto"/>
                <w:sz w:val="24"/>
                <w:highlight w:val="none"/>
                <w:lang w:val="en-US" w:eastAsia="zh-CN"/>
              </w:rPr>
            </w:pPr>
            <w:r>
              <w:rPr>
                <w:rFonts w:hint="eastAsia"/>
                <w:bCs/>
                <w:color w:val="auto"/>
                <w:sz w:val="24"/>
                <w:highlight w:val="none"/>
                <w:lang w:val="en-US" w:eastAsia="zh-CN"/>
              </w:rPr>
              <w:t>2、非正常工况</w:t>
            </w:r>
          </w:p>
          <w:p w14:paraId="7941C08C">
            <w:pPr>
              <w:pStyle w:val="122"/>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当</w:t>
            </w:r>
            <w:r>
              <w:rPr>
                <w:rFonts w:hint="eastAsia" w:ascii="Times New Roman" w:hAnsi="Times New Roman" w:eastAsia="宋体" w:cs="Times New Roman"/>
                <w:color w:val="auto"/>
                <w:kern w:val="0"/>
                <w:sz w:val="24"/>
                <w:szCs w:val="24"/>
                <w:highlight w:val="none"/>
                <w:lang w:val="en-US" w:eastAsia="zh-CN" w:bidi="ar-SA"/>
              </w:rPr>
              <w:t>布袋除尘器出现故障时，工业粉尘</w:t>
            </w:r>
            <w:r>
              <w:rPr>
                <w:rFonts w:hint="default" w:ascii="Times New Roman" w:hAnsi="Times New Roman" w:eastAsia="宋体" w:cs="Times New Roman"/>
                <w:color w:val="auto"/>
                <w:kern w:val="0"/>
                <w:sz w:val="24"/>
                <w:szCs w:val="24"/>
                <w:highlight w:val="none"/>
                <w:lang w:val="en-US" w:eastAsia="zh-CN" w:bidi="ar-SA"/>
              </w:rPr>
              <w:t>去除效率降为</w:t>
            </w:r>
            <w:r>
              <w:rPr>
                <w:rFonts w:hint="eastAsia" w:ascii="Times New Roman" w:hAnsi="Times New Roman" w:eastAsia="宋体" w:cs="Times New Roman"/>
                <w:color w:val="auto"/>
                <w:kern w:val="0"/>
                <w:sz w:val="24"/>
                <w:szCs w:val="24"/>
                <w:highlight w:val="none"/>
                <w:lang w:val="en-US" w:eastAsia="zh-CN" w:bidi="ar-SA"/>
              </w:rPr>
              <w:t>70</w:t>
            </w:r>
            <w:r>
              <w:rPr>
                <w:rFonts w:hint="default"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，工业粉尘</w:t>
            </w:r>
            <w:r>
              <w:rPr>
                <w:rFonts w:hint="default" w:ascii="Times New Roman" w:hAnsi="Times New Roman" w:eastAsia="宋体" w:cs="Times New Roman"/>
                <w:color w:val="auto"/>
                <w:kern w:val="0"/>
                <w:sz w:val="24"/>
                <w:szCs w:val="24"/>
                <w:highlight w:val="none"/>
                <w:lang w:val="en-US" w:eastAsia="zh-CN" w:bidi="ar-SA"/>
              </w:rPr>
              <w:t>的排放量为</w:t>
            </w:r>
            <w:r>
              <w:rPr>
                <w:rFonts w:hint="eastAsia" w:ascii="Times New Roman" w:hAnsi="Times New Roman" w:eastAsia="宋体" w:cs="Times New Roman"/>
                <w:color w:val="auto"/>
                <w:kern w:val="0"/>
                <w:sz w:val="24"/>
                <w:szCs w:val="24"/>
                <w:highlight w:val="none"/>
                <w:lang w:val="en-US" w:eastAsia="zh-CN" w:bidi="ar-SA"/>
              </w:rPr>
              <w:t>0.35</w:t>
            </w:r>
            <w:r>
              <w:rPr>
                <w:rFonts w:hint="default" w:ascii="Times New Roman" w:hAnsi="Times New Roman" w:eastAsia="宋体" w:cs="Times New Roman"/>
                <w:color w:val="auto"/>
                <w:kern w:val="0"/>
                <w:sz w:val="24"/>
                <w:szCs w:val="24"/>
                <w:highlight w:val="none"/>
                <w:lang w:val="en-US" w:eastAsia="zh-CN" w:bidi="ar-SA"/>
              </w:rPr>
              <w:t>kg/h</w:t>
            </w:r>
            <w:r>
              <w:rPr>
                <w:rFonts w:hint="eastAsia"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当活性炭吸附装置</w:t>
            </w:r>
            <w:r>
              <w:rPr>
                <w:rFonts w:hint="default" w:ascii="Times New Roman" w:hAnsi="Times New Roman" w:eastAsia="宋体" w:cs="Times New Roman"/>
                <w:color w:val="auto"/>
                <w:kern w:val="0"/>
                <w:sz w:val="24"/>
                <w:szCs w:val="24"/>
                <w:highlight w:val="none"/>
                <w:lang w:val="en-US" w:eastAsia="zh-CN" w:bidi="ar-SA"/>
              </w:rPr>
              <w:t>出现故障时，</w:t>
            </w:r>
            <w:r>
              <w:rPr>
                <w:rFonts w:hint="eastAsia" w:ascii="Times New Roman" w:hAnsi="Times New Roman" w:eastAsia="宋体" w:cs="Times New Roman"/>
                <w:color w:val="auto"/>
                <w:kern w:val="0"/>
                <w:sz w:val="24"/>
                <w:szCs w:val="24"/>
                <w:highlight w:val="none"/>
                <w:lang w:val="en-US" w:eastAsia="zh-CN" w:bidi="ar-SA"/>
              </w:rPr>
              <w:t>挥发性有机物去除效率降为50%</w:t>
            </w:r>
            <w:r>
              <w:rPr>
                <w:rFonts w:hint="default"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非甲烷总烃</w:t>
            </w:r>
            <w:r>
              <w:rPr>
                <w:rFonts w:hint="default" w:ascii="Times New Roman" w:hAnsi="Times New Roman" w:eastAsia="宋体" w:cs="Times New Roman"/>
                <w:color w:val="auto"/>
                <w:kern w:val="0"/>
                <w:sz w:val="24"/>
                <w:szCs w:val="24"/>
                <w:highlight w:val="none"/>
                <w:lang w:val="en-US" w:eastAsia="zh-CN" w:bidi="ar-SA"/>
              </w:rPr>
              <w:t>的排放量为</w:t>
            </w:r>
            <w:r>
              <w:rPr>
                <w:rFonts w:hint="eastAsia" w:ascii="Times New Roman" w:hAnsi="Times New Roman" w:eastAsia="宋体" w:cs="Times New Roman"/>
                <w:color w:val="auto"/>
                <w:kern w:val="0"/>
                <w:sz w:val="24"/>
                <w:szCs w:val="24"/>
                <w:highlight w:val="none"/>
                <w:lang w:val="en-US" w:eastAsia="zh-CN" w:bidi="ar-SA"/>
              </w:rPr>
              <w:t>2.36</w:t>
            </w:r>
            <w:r>
              <w:rPr>
                <w:rFonts w:hint="default" w:ascii="Times New Roman" w:hAnsi="Times New Roman" w:eastAsia="宋体" w:cs="Times New Roman"/>
                <w:color w:val="auto"/>
                <w:kern w:val="0"/>
                <w:sz w:val="24"/>
                <w:szCs w:val="24"/>
                <w:highlight w:val="none"/>
                <w:lang w:val="en-US" w:eastAsia="zh-CN" w:bidi="ar-SA"/>
              </w:rPr>
              <w:t>kg/h</w:t>
            </w:r>
            <w:r>
              <w:rPr>
                <w:rFonts w:hint="eastAsia"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当旋风除尘器+布袋除尘器出现故障时，颗粒物去除效率降为70%，颗粒物的排放量为3.58kg/h。</w:t>
            </w:r>
            <w:r>
              <w:rPr>
                <w:rFonts w:hint="default" w:ascii="Times New Roman" w:hAnsi="Times New Roman" w:eastAsia="宋体" w:cs="Times New Roman"/>
                <w:color w:val="auto"/>
                <w:kern w:val="0"/>
                <w:sz w:val="24"/>
                <w:szCs w:val="24"/>
                <w:highlight w:val="none"/>
                <w:lang w:val="en-US" w:eastAsia="zh-CN" w:bidi="ar-SA"/>
              </w:rPr>
              <w:t>若发生非正常工况时，企业做停产处理</w:t>
            </w:r>
            <w:r>
              <w:rPr>
                <w:rFonts w:hint="eastAsia" w:ascii="Times New Roman" w:hAnsi="Times New Roman" w:eastAsia="宋体"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非正常工况下废气污染源强核算结果及相关参数</w:t>
            </w:r>
            <w:r>
              <w:rPr>
                <w:rFonts w:hint="eastAsia" w:ascii="Times New Roman" w:hAnsi="Times New Roman" w:eastAsia="宋体" w:cs="Times New Roman"/>
                <w:color w:val="auto"/>
                <w:kern w:val="0"/>
                <w:sz w:val="24"/>
                <w:szCs w:val="24"/>
                <w:highlight w:val="none"/>
                <w:lang w:val="en-US" w:eastAsia="zh-CN" w:bidi="ar-SA"/>
              </w:rPr>
              <w:t>见</w:t>
            </w:r>
            <w:r>
              <w:rPr>
                <w:rFonts w:hint="default" w:ascii="Times New Roman" w:hAnsi="Times New Roman" w:eastAsia="宋体" w:cs="Times New Roman"/>
                <w:color w:val="auto"/>
                <w:kern w:val="0"/>
                <w:sz w:val="24"/>
                <w:szCs w:val="24"/>
                <w:highlight w:val="none"/>
                <w:lang w:val="en-US" w:eastAsia="zh-CN" w:bidi="ar-SA"/>
              </w:rPr>
              <w:t>表</w:t>
            </w:r>
            <w:r>
              <w:rPr>
                <w:rFonts w:hint="eastAsia" w:ascii="Times New Roman" w:hAnsi="Times New Roman" w:eastAsia="宋体" w:cs="Times New Roman"/>
                <w:color w:val="auto"/>
                <w:kern w:val="0"/>
                <w:sz w:val="24"/>
                <w:szCs w:val="24"/>
                <w:highlight w:val="none"/>
                <w:lang w:val="en-US" w:eastAsia="zh-CN" w:bidi="ar-SA"/>
              </w:rPr>
              <w:t>4-6</w:t>
            </w:r>
            <w:r>
              <w:rPr>
                <w:rFonts w:hint="default" w:ascii="Times New Roman" w:hAnsi="Times New Roman" w:eastAsia="宋体" w:cs="Times New Roman"/>
                <w:color w:val="auto"/>
                <w:kern w:val="0"/>
                <w:sz w:val="24"/>
                <w:szCs w:val="24"/>
                <w:highlight w:val="none"/>
                <w:lang w:val="en-US" w:eastAsia="zh-CN" w:bidi="ar-SA"/>
              </w:rPr>
              <w:t>。</w:t>
            </w:r>
          </w:p>
          <w:p w14:paraId="654D73C6">
            <w:pPr>
              <w:pStyle w:val="122"/>
              <w:keepNext w:val="0"/>
              <w:keepLines w:val="0"/>
              <w:pageBreakBefore w:val="0"/>
              <w:suppressLineNumbers w:val="0"/>
              <w:wordWrap/>
              <w:topLinePunct w:val="0"/>
              <w:bidi w:val="0"/>
              <w:adjustRightInd w:val="0"/>
              <w:snapToGrid w:val="0"/>
              <w:spacing w:before="0" w:beforeAutospacing="0" w:after="0" w:afterAutospacing="0" w:line="240" w:lineRule="auto"/>
              <w:ind w:left="0" w:leftChars="0" w:right="0" w:rightChars="0" w:firstLine="422" w:firstLineChars="200"/>
              <w:rPr>
                <w:rFonts w:hint="default" w:ascii="Times New Roman" w:hAnsi="Times New Roman" w:cs="Times New Roman" w:eastAsiaTheme="minorEastAsia"/>
                <w:b/>
                <w:bCs/>
                <w:color w:val="auto"/>
                <w:kern w:val="2"/>
                <w:sz w:val="21"/>
                <w:szCs w:val="24"/>
                <w:highlight w:val="none"/>
                <w:lang w:val="en-US" w:eastAsia="zh-CN" w:bidi="ar-SA"/>
              </w:rPr>
            </w:pPr>
            <w:r>
              <w:rPr>
                <w:rFonts w:hint="default" w:ascii="Times New Roman" w:hAnsi="Times New Roman" w:cs="Times New Roman" w:eastAsiaTheme="minorEastAsia"/>
                <w:b/>
                <w:bCs/>
                <w:color w:val="auto"/>
                <w:kern w:val="2"/>
                <w:sz w:val="21"/>
                <w:szCs w:val="24"/>
                <w:highlight w:val="none"/>
                <w:lang w:val="en-US" w:eastAsia="zh-CN" w:bidi="ar-SA"/>
              </w:rPr>
              <w:t>表4-</w:t>
            </w:r>
            <w:r>
              <w:rPr>
                <w:rFonts w:hint="eastAsia" w:ascii="Times New Roman" w:hAnsi="Times New Roman" w:cs="Times New Roman" w:eastAsiaTheme="minorEastAsia"/>
                <w:b/>
                <w:bCs/>
                <w:color w:val="auto"/>
                <w:kern w:val="2"/>
                <w:sz w:val="21"/>
                <w:szCs w:val="24"/>
                <w:highlight w:val="none"/>
                <w:lang w:val="en-US" w:eastAsia="zh-CN" w:bidi="ar-SA"/>
              </w:rPr>
              <w:t>6</w:t>
            </w:r>
            <w:r>
              <w:rPr>
                <w:rFonts w:hint="default" w:ascii="Times New Roman" w:hAnsi="Times New Roman" w:cs="Times New Roman" w:eastAsiaTheme="minorEastAsia"/>
                <w:b/>
                <w:bCs/>
                <w:color w:val="auto"/>
                <w:kern w:val="2"/>
                <w:sz w:val="21"/>
                <w:szCs w:val="24"/>
                <w:highlight w:val="none"/>
                <w:lang w:val="en-US" w:eastAsia="zh-CN" w:bidi="ar-SA"/>
              </w:rPr>
              <w:t xml:space="preserve">  非正常工况下废气污染源强核算结果及相关参数一览表</w:t>
            </w:r>
          </w:p>
          <w:tbl>
            <w:tblPr>
              <w:tblStyle w:val="31"/>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09"/>
              <w:gridCol w:w="768"/>
              <w:gridCol w:w="1059"/>
              <w:gridCol w:w="882"/>
              <w:gridCol w:w="1222"/>
              <w:gridCol w:w="1014"/>
              <w:gridCol w:w="810"/>
              <w:gridCol w:w="891"/>
              <w:gridCol w:w="1093"/>
            </w:tblGrid>
            <w:tr w14:paraId="195A2B0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251" w:type="pct"/>
                  <w:tcBorders>
                    <w:tl2br w:val="nil"/>
                    <w:tr2bl w:val="nil"/>
                  </w:tcBorders>
                  <w:noWrap/>
                  <w:vAlign w:val="center"/>
                </w:tcPr>
                <w:p w14:paraId="70DC8906">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right="0" w:rightChars="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序号</w:t>
                  </w:r>
                </w:p>
              </w:tc>
              <w:tc>
                <w:tcPr>
                  <w:tcW w:w="471" w:type="pct"/>
                  <w:tcBorders>
                    <w:tl2br w:val="nil"/>
                    <w:tr2bl w:val="nil"/>
                  </w:tcBorders>
                  <w:noWrap/>
                  <w:vAlign w:val="center"/>
                </w:tcPr>
                <w:p w14:paraId="0B62FF91">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right="0" w:rightChars="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污染源</w:t>
                  </w:r>
                </w:p>
              </w:tc>
              <w:tc>
                <w:tcPr>
                  <w:tcW w:w="649" w:type="pct"/>
                  <w:tcBorders>
                    <w:tl2br w:val="nil"/>
                    <w:tr2bl w:val="nil"/>
                  </w:tcBorders>
                  <w:noWrap/>
                  <w:vAlign w:val="center"/>
                </w:tcPr>
                <w:p w14:paraId="4D496403">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right="0" w:rightChars="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非正常排放原因</w:t>
                  </w:r>
                </w:p>
              </w:tc>
              <w:tc>
                <w:tcPr>
                  <w:tcW w:w="541" w:type="pct"/>
                  <w:tcBorders>
                    <w:tl2br w:val="nil"/>
                    <w:tr2bl w:val="nil"/>
                  </w:tcBorders>
                  <w:noWrap/>
                  <w:vAlign w:val="center"/>
                </w:tcPr>
                <w:p w14:paraId="548163C9">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right="0" w:rightChars="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污染物</w:t>
                  </w:r>
                </w:p>
              </w:tc>
              <w:tc>
                <w:tcPr>
                  <w:tcW w:w="749" w:type="pct"/>
                  <w:tcBorders>
                    <w:tl2br w:val="nil"/>
                    <w:tr2bl w:val="nil"/>
                  </w:tcBorders>
                  <w:noWrap/>
                  <w:vAlign w:val="center"/>
                </w:tcPr>
                <w:p w14:paraId="1744103E">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right="0" w:rightChars="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非正常排放浓度/（</w:t>
                  </w:r>
                  <w:r>
                    <w:rPr>
                      <w:rFonts w:hint="default" w:ascii="Times New Roman" w:hAnsi="Times New Roman" w:cs="Times New Roman"/>
                      <w:color w:val="auto"/>
                      <w:kern w:val="0"/>
                      <w:sz w:val="21"/>
                      <w:szCs w:val="21"/>
                      <w:highlight w:val="none"/>
                      <w:lang w:val="en-US" w:eastAsia="zh-CN"/>
                    </w:rPr>
                    <w:t>m</w:t>
                  </w:r>
                  <w:r>
                    <w:rPr>
                      <w:rFonts w:hint="default" w:ascii="Times New Roman" w:hAnsi="Times New Roman" w:cs="Times New Roman"/>
                      <w:color w:val="auto"/>
                      <w:kern w:val="0"/>
                      <w:sz w:val="21"/>
                      <w:szCs w:val="21"/>
                      <w:highlight w:val="none"/>
                    </w:rPr>
                    <w:t>g/m</w:t>
                  </w:r>
                  <w:r>
                    <w:rPr>
                      <w:rFonts w:hint="default" w:ascii="Times New Roman" w:hAnsi="Times New Roman" w:cs="Times New Roman"/>
                      <w:color w:val="auto"/>
                      <w:kern w:val="0"/>
                      <w:sz w:val="21"/>
                      <w:szCs w:val="21"/>
                      <w:highlight w:val="none"/>
                      <w:vertAlign w:val="superscript"/>
                    </w:rPr>
                    <w:t>3</w:t>
                  </w:r>
                  <w:r>
                    <w:rPr>
                      <w:rFonts w:hint="default" w:ascii="Times New Roman" w:hAnsi="Times New Roman" w:cs="Times New Roman"/>
                      <w:color w:val="auto"/>
                      <w:kern w:val="0"/>
                      <w:sz w:val="21"/>
                      <w:szCs w:val="21"/>
                      <w:highlight w:val="none"/>
                    </w:rPr>
                    <w:t>）</w:t>
                  </w:r>
                </w:p>
              </w:tc>
              <w:tc>
                <w:tcPr>
                  <w:tcW w:w="622" w:type="pct"/>
                  <w:tcBorders>
                    <w:tl2br w:val="nil"/>
                    <w:tr2bl w:val="nil"/>
                  </w:tcBorders>
                  <w:noWrap/>
                  <w:vAlign w:val="center"/>
                </w:tcPr>
                <w:p w14:paraId="7112AFD7">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right="0" w:rightChars="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非正常排放速率/（kg/h）</w:t>
                  </w:r>
                </w:p>
              </w:tc>
              <w:tc>
                <w:tcPr>
                  <w:tcW w:w="497" w:type="pct"/>
                  <w:tcBorders>
                    <w:tl2br w:val="nil"/>
                    <w:tr2bl w:val="nil"/>
                  </w:tcBorders>
                  <w:noWrap/>
                  <w:vAlign w:val="center"/>
                </w:tcPr>
                <w:p w14:paraId="057753EB">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right="0" w:rightChars="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单次持续时间/h</w:t>
                  </w:r>
                </w:p>
              </w:tc>
              <w:tc>
                <w:tcPr>
                  <w:tcW w:w="546" w:type="pct"/>
                  <w:tcBorders>
                    <w:tl2br w:val="nil"/>
                    <w:tr2bl w:val="nil"/>
                  </w:tcBorders>
                  <w:noWrap/>
                  <w:vAlign w:val="center"/>
                </w:tcPr>
                <w:p w14:paraId="62F0AB4E">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right="0" w:rightChars="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年发生频次/次</w:t>
                  </w:r>
                </w:p>
              </w:tc>
              <w:tc>
                <w:tcPr>
                  <w:tcW w:w="670" w:type="pct"/>
                  <w:tcBorders>
                    <w:tl2br w:val="nil"/>
                    <w:tr2bl w:val="nil"/>
                  </w:tcBorders>
                  <w:noWrap/>
                  <w:vAlign w:val="center"/>
                </w:tcPr>
                <w:p w14:paraId="4CE74362">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right="0" w:rightChars="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应对</w:t>
                  </w:r>
                </w:p>
                <w:p w14:paraId="1824C8D9">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right="0" w:rightChars="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措施</w:t>
                  </w:r>
                </w:p>
              </w:tc>
            </w:tr>
            <w:tr w14:paraId="2ADC7DA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251" w:type="pct"/>
                  <w:tcBorders>
                    <w:tl2br w:val="nil"/>
                    <w:tr2bl w:val="nil"/>
                  </w:tcBorders>
                  <w:noWrap/>
                  <w:vAlign w:val="center"/>
                </w:tcPr>
                <w:p w14:paraId="4E256B04">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right="0" w:rightChars="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1</w:t>
                  </w:r>
                </w:p>
              </w:tc>
              <w:tc>
                <w:tcPr>
                  <w:tcW w:w="471" w:type="pct"/>
                  <w:tcBorders>
                    <w:tl2br w:val="nil"/>
                    <w:tr2bl w:val="nil"/>
                  </w:tcBorders>
                  <w:noWrap/>
                  <w:vAlign w:val="center"/>
                </w:tcPr>
                <w:p w14:paraId="65F3D2A1">
                  <w:pPr>
                    <w:keepNext w:val="0"/>
                    <w:keepLines w:val="0"/>
                    <w:pageBreakBefore w:val="0"/>
                    <w:suppressLineNumbers w:val="0"/>
                    <w:wordWrap/>
                    <w:bidi w:val="0"/>
                    <w:spacing w:before="0" w:beforeAutospacing="0" w:after="0" w:afterAutospacing="0" w:line="360" w:lineRule="auto"/>
                    <w:ind w:left="0" w:leftChars="0" w:right="0" w:rightChars="0" w:firstLine="0" w:firstLineChars="0"/>
                    <w:jc w:val="center"/>
                    <w:rPr>
                      <w:rFonts w:hint="eastAsia"/>
                      <w:smallCaps w:val="0"/>
                      <w:color w:val="auto"/>
                      <w:sz w:val="21"/>
                      <w:highlight w:val="none"/>
                      <w:lang w:val="en-US" w:eastAsia="zh-CN"/>
                    </w:rPr>
                  </w:pPr>
                  <w:r>
                    <w:rPr>
                      <w:rFonts w:hint="eastAsia"/>
                      <w:smallCaps w:val="0"/>
                      <w:color w:val="auto"/>
                      <w:sz w:val="21"/>
                      <w:highlight w:val="none"/>
                      <w:lang w:val="en-US" w:eastAsia="zh-CN"/>
                    </w:rPr>
                    <w:t>预处理</w:t>
                  </w:r>
                </w:p>
              </w:tc>
              <w:tc>
                <w:tcPr>
                  <w:tcW w:w="649" w:type="pct"/>
                  <w:vMerge w:val="restart"/>
                  <w:tcBorders>
                    <w:tl2br w:val="nil"/>
                    <w:tr2bl w:val="nil"/>
                  </w:tcBorders>
                  <w:noWrap/>
                  <w:vAlign w:val="center"/>
                </w:tcPr>
                <w:p w14:paraId="076BD994">
                  <w:pPr>
                    <w:keepNext w:val="0"/>
                    <w:keepLines w:val="0"/>
                    <w:pageBreakBefore w:val="0"/>
                    <w:suppressLineNumbers w:val="0"/>
                    <w:wordWrap/>
                    <w:bidi w:val="0"/>
                    <w:spacing w:before="0" w:beforeAutospacing="0" w:after="0" w:afterAutospacing="0" w:line="360" w:lineRule="auto"/>
                    <w:ind w:left="0" w:leftChars="0" w:right="0" w:rightChars="0" w:firstLine="0" w:firstLineChars="0"/>
                    <w:jc w:val="center"/>
                    <w:rPr>
                      <w:rFonts w:hint="default" w:cs="Times New Roman"/>
                      <w:smallCaps w:val="0"/>
                      <w:color w:val="auto"/>
                      <w:kern w:val="2"/>
                      <w:sz w:val="21"/>
                      <w:szCs w:val="24"/>
                      <w:highlight w:val="none"/>
                      <w:lang w:val="en-US" w:eastAsia="zh-CN" w:bidi="ar-SA"/>
                    </w:rPr>
                  </w:pPr>
                  <w:r>
                    <w:rPr>
                      <w:rFonts w:hint="eastAsia" w:cs="Times New Roman"/>
                      <w:smallCaps w:val="0"/>
                      <w:color w:val="auto"/>
                      <w:kern w:val="2"/>
                      <w:sz w:val="21"/>
                      <w:szCs w:val="24"/>
                      <w:highlight w:val="none"/>
                      <w:lang w:val="en-US" w:eastAsia="zh-CN" w:bidi="ar-SA"/>
                    </w:rPr>
                    <w:t>布袋除尘器+活性炭吸附装置</w:t>
                  </w:r>
                  <w:r>
                    <w:rPr>
                      <w:rFonts w:hint="default" w:cs="Times New Roman"/>
                      <w:smallCaps w:val="0"/>
                      <w:color w:val="auto"/>
                      <w:kern w:val="2"/>
                      <w:sz w:val="21"/>
                      <w:szCs w:val="24"/>
                      <w:highlight w:val="none"/>
                      <w:lang w:val="en-US" w:eastAsia="zh-CN" w:bidi="ar-SA"/>
                    </w:rPr>
                    <w:t>出现故障</w:t>
                  </w:r>
                </w:p>
              </w:tc>
              <w:tc>
                <w:tcPr>
                  <w:tcW w:w="541" w:type="pct"/>
                  <w:tcBorders>
                    <w:tl2br w:val="nil"/>
                    <w:tr2bl w:val="nil"/>
                  </w:tcBorders>
                  <w:noWrap/>
                  <w:vAlign w:val="center"/>
                </w:tcPr>
                <w:p w14:paraId="0F9C16B2">
                  <w:pPr>
                    <w:keepNext w:val="0"/>
                    <w:keepLines w:val="0"/>
                    <w:pageBreakBefore w:val="0"/>
                    <w:suppressLineNumbers w:val="0"/>
                    <w:wordWrap/>
                    <w:bidi w:val="0"/>
                    <w:spacing w:before="0" w:beforeAutospacing="0" w:after="0" w:afterAutospacing="0" w:line="360" w:lineRule="auto"/>
                    <w:ind w:left="0" w:leftChars="0" w:right="0" w:rightChars="0" w:firstLine="0" w:firstLineChars="0"/>
                    <w:jc w:val="center"/>
                    <w:rPr>
                      <w:rFonts w:hint="default" w:cs="Times New Roman"/>
                      <w:smallCaps w:val="0"/>
                      <w:color w:val="auto"/>
                      <w:kern w:val="2"/>
                      <w:sz w:val="21"/>
                      <w:szCs w:val="24"/>
                      <w:highlight w:val="none"/>
                      <w:lang w:val="en-US" w:eastAsia="zh-CN" w:bidi="ar-SA"/>
                    </w:rPr>
                  </w:pPr>
                  <w:r>
                    <w:rPr>
                      <w:rFonts w:hint="eastAsia" w:cs="Times New Roman"/>
                      <w:smallCaps w:val="0"/>
                      <w:color w:val="auto"/>
                      <w:kern w:val="2"/>
                      <w:sz w:val="21"/>
                      <w:szCs w:val="24"/>
                      <w:highlight w:val="none"/>
                      <w:lang w:val="en-US" w:eastAsia="zh-CN" w:bidi="ar-SA"/>
                    </w:rPr>
                    <w:t>非甲烷总烃</w:t>
                  </w:r>
                </w:p>
              </w:tc>
              <w:tc>
                <w:tcPr>
                  <w:tcW w:w="749" w:type="pct"/>
                  <w:tcBorders>
                    <w:tl2br w:val="nil"/>
                    <w:tr2bl w:val="nil"/>
                  </w:tcBorders>
                  <w:noWrap/>
                  <w:vAlign w:val="center"/>
                </w:tcPr>
                <w:p w14:paraId="37614D98">
                  <w:pPr>
                    <w:keepNext w:val="0"/>
                    <w:keepLines w:val="0"/>
                    <w:pageBreakBefore w:val="0"/>
                    <w:suppressLineNumbers w:val="0"/>
                    <w:wordWrap/>
                    <w:bidi w:val="0"/>
                    <w:spacing w:before="0" w:beforeAutospacing="0" w:after="0" w:afterAutospacing="0" w:line="36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2.85</w:t>
                  </w:r>
                </w:p>
              </w:tc>
              <w:tc>
                <w:tcPr>
                  <w:tcW w:w="622" w:type="pct"/>
                  <w:tcBorders>
                    <w:tl2br w:val="nil"/>
                    <w:tr2bl w:val="nil"/>
                  </w:tcBorders>
                  <w:noWrap/>
                  <w:vAlign w:val="center"/>
                </w:tcPr>
                <w:p w14:paraId="27A9DF86">
                  <w:pPr>
                    <w:pStyle w:val="123"/>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0.008</w:t>
                  </w:r>
                </w:p>
              </w:tc>
              <w:tc>
                <w:tcPr>
                  <w:tcW w:w="497" w:type="pct"/>
                  <w:tcBorders>
                    <w:tl2br w:val="nil"/>
                    <w:tr2bl w:val="nil"/>
                  </w:tcBorders>
                  <w:noWrap/>
                  <w:vAlign w:val="center"/>
                </w:tcPr>
                <w:p w14:paraId="2C75ADEF">
                  <w:pPr>
                    <w:pStyle w:val="123"/>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1h</w:t>
                  </w:r>
                </w:p>
              </w:tc>
              <w:tc>
                <w:tcPr>
                  <w:tcW w:w="546" w:type="pct"/>
                  <w:tcBorders>
                    <w:tl2br w:val="nil"/>
                    <w:tr2bl w:val="nil"/>
                  </w:tcBorders>
                  <w:noWrap/>
                  <w:vAlign w:val="center"/>
                </w:tcPr>
                <w:p w14:paraId="45477C99">
                  <w:pPr>
                    <w:keepNext w:val="0"/>
                    <w:keepLines w:val="0"/>
                    <w:pageBreakBefore w:val="0"/>
                    <w:suppressLineNumbers w:val="0"/>
                    <w:wordWrap/>
                    <w:bidi w:val="0"/>
                    <w:spacing w:before="0" w:beforeAutospacing="0" w:after="0" w:afterAutospacing="0" w:line="360" w:lineRule="auto"/>
                    <w:ind w:left="0" w:leftChars="0" w:right="0" w:rightChars="0" w:firstLine="0" w:firstLineChars="0"/>
                    <w:jc w:val="center"/>
                    <w:rPr>
                      <w:rFonts w:hint="default"/>
                      <w:smallCaps w:val="0"/>
                      <w:color w:val="auto"/>
                      <w:sz w:val="21"/>
                      <w:highlight w:val="none"/>
                    </w:rPr>
                  </w:pPr>
                  <w:r>
                    <w:rPr>
                      <w:rFonts w:hint="default"/>
                      <w:smallCaps w:val="0"/>
                      <w:color w:val="auto"/>
                      <w:sz w:val="21"/>
                      <w:highlight w:val="none"/>
                    </w:rPr>
                    <w:t>1</w:t>
                  </w:r>
                  <w:r>
                    <w:rPr>
                      <w:rFonts w:hint="eastAsia"/>
                      <w:smallCaps w:val="0"/>
                      <w:color w:val="auto"/>
                      <w:sz w:val="21"/>
                      <w:highlight w:val="none"/>
                      <w:lang w:eastAsia="zh-CN"/>
                    </w:rPr>
                    <w:t>次</w:t>
                  </w:r>
                </w:p>
              </w:tc>
              <w:tc>
                <w:tcPr>
                  <w:tcW w:w="670" w:type="pct"/>
                  <w:tcBorders>
                    <w:tl2br w:val="nil"/>
                    <w:tr2bl w:val="nil"/>
                  </w:tcBorders>
                  <w:noWrap/>
                  <w:vAlign w:val="center"/>
                </w:tcPr>
                <w:p w14:paraId="51829849">
                  <w:pPr>
                    <w:keepNext w:val="0"/>
                    <w:keepLines w:val="0"/>
                    <w:pageBreakBefore w:val="0"/>
                    <w:suppressLineNumbers w:val="0"/>
                    <w:wordWrap/>
                    <w:bidi w:val="0"/>
                    <w:spacing w:before="0" w:beforeAutospacing="0" w:after="0" w:afterAutospacing="0" w:line="360" w:lineRule="auto"/>
                    <w:ind w:left="0" w:leftChars="0" w:right="0" w:rightChars="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停止生产及时检修</w:t>
                  </w:r>
                </w:p>
              </w:tc>
            </w:tr>
            <w:tr w14:paraId="2342914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251" w:type="pct"/>
                  <w:tcBorders>
                    <w:tl2br w:val="nil"/>
                    <w:tr2bl w:val="nil"/>
                  </w:tcBorders>
                  <w:noWrap/>
                  <w:vAlign w:val="center"/>
                </w:tcPr>
                <w:p w14:paraId="0F474B37">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right="0" w:rightChars="0"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w:t>
                  </w:r>
                </w:p>
              </w:tc>
              <w:tc>
                <w:tcPr>
                  <w:tcW w:w="471" w:type="pct"/>
                  <w:tcBorders>
                    <w:tl2br w:val="nil"/>
                    <w:tr2bl w:val="nil"/>
                  </w:tcBorders>
                  <w:noWrap/>
                  <w:vAlign w:val="center"/>
                </w:tcPr>
                <w:p w14:paraId="3B121360">
                  <w:pPr>
                    <w:keepNext w:val="0"/>
                    <w:keepLines w:val="0"/>
                    <w:pageBreakBefore w:val="0"/>
                    <w:suppressLineNumbers w:val="0"/>
                    <w:wordWrap/>
                    <w:bidi w:val="0"/>
                    <w:spacing w:before="0" w:beforeAutospacing="0" w:after="0" w:afterAutospacing="0" w:line="360" w:lineRule="auto"/>
                    <w:ind w:left="0" w:leftChars="0" w:right="0" w:rightChars="0" w:firstLine="0" w:firstLineChars="0"/>
                    <w:jc w:val="center"/>
                    <w:rPr>
                      <w:rFonts w:hint="default" w:ascii="Times New Roman" w:hAnsi="Times New Roman" w:eastAsia="宋体" w:cs="Times New Roman"/>
                      <w:smallCaps w:val="0"/>
                      <w:color w:val="auto"/>
                      <w:kern w:val="2"/>
                      <w:sz w:val="21"/>
                      <w:szCs w:val="24"/>
                      <w:highlight w:val="none"/>
                      <w:lang w:val="en-US" w:eastAsia="zh-CN" w:bidi="ar-SA"/>
                    </w:rPr>
                  </w:pPr>
                  <w:r>
                    <w:rPr>
                      <w:rFonts w:hint="eastAsia" w:cs="Times New Roman"/>
                      <w:smallCaps w:val="0"/>
                      <w:color w:val="auto"/>
                      <w:kern w:val="2"/>
                      <w:sz w:val="21"/>
                      <w:szCs w:val="24"/>
                      <w:highlight w:val="none"/>
                      <w:lang w:val="en-US" w:eastAsia="zh-CN" w:bidi="ar-SA"/>
                    </w:rPr>
                    <w:t>切割</w:t>
                  </w:r>
                </w:p>
              </w:tc>
              <w:tc>
                <w:tcPr>
                  <w:tcW w:w="649" w:type="pct"/>
                  <w:vMerge w:val="continue"/>
                  <w:tcBorders>
                    <w:tl2br w:val="nil"/>
                    <w:tr2bl w:val="nil"/>
                  </w:tcBorders>
                  <w:noWrap/>
                  <w:vAlign w:val="center"/>
                </w:tcPr>
                <w:p w14:paraId="3E748938">
                  <w:pPr>
                    <w:keepNext w:val="0"/>
                    <w:keepLines w:val="0"/>
                    <w:pageBreakBefore w:val="0"/>
                    <w:suppressLineNumbers w:val="0"/>
                    <w:wordWrap/>
                    <w:bidi w:val="0"/>
                    <w:spacing w:before="0" w:beforeAutospacing="0" w:after="0" w:afterAutospacing="0" w:line="360" w:lineRule="auto"/>
                    <w:ind w:left="0" w:leftChars="0" w:right="0" w:rightChars="0" w:firstLine="0" w:firstLineChars="0"/>
                    <w:jc w:val="center"/>
                    <w:rPr>
                      <w:rFonts w:hint="default" w:cs="Times New Roman"/>
                      <w:smallCaps w:val="0"/>
                      <w:color w:val="auto"/>
                      <w:kern w:val="2"/>
                      <w:sz w:val="21"/>
                      <w:szCs w:val="24"/>
                      <w:highlight w:val="none"/>
                      <w:lang w:val="en-US" w:eastAsia="zh-CN" w:bidi="ar-SA"/>
                    </w:rPr>
                  </w:pPr>
                </w:p>
              </w:tc>
              <w:tc>
                <w:tcPr>
                  <w:tcW w:w="541" w:type="pct"/>
                  <w:tcBorders>
                    <w:tl2br w:val="nil"/>
                    <w:tr2bl w:val="nil"/>
                  </w:tcBorders>
                  <w:noWrap/>
                  <w:vAlign w:val="center"/>
                </w:tcPr>
                <w:p w14:paraId="1849A697">
                  <w:pPr>
                    <w:keepNext w:val="0"/>
                    <w:keepLines w:val="0"/>
                    <w:pageBreakBefore w:val="0"/>
                    <w:suppressLineNumbers w:val="0"/>
                    <w:wordWrap/>
                    <w:bidi w:val="0"/>
                    <w:spacing w:before="0" w:beforeAutospacing="0" w:after="0" w:afterAutospacing="0" w:line="360" w:lineRule="auto"/>
                    <w:ind w:left="0" w:leftChars="0" w:right="0" w:rightChars="0" w:firstLine="0" w:firstLineChars="0"/>
                    <w:jc w:val="center"/>
                    <w:rPr>
                      <w:rFonts w:hint="default" w:cs="Times New Roman"/>
                      <w:smallCaps w:val="0"/>
                      <w:color w:val="auto"/>
                      <w:kern w:val="2"/>
                      <w:sz w:val="21"/>
                      <w:szCs w:val="24"/>
                      <w:highlight w:val="none"/>
                      <w:lang w:val="en-US" w:eastAsia="zh-CN" w:bidi="ar-SA"/>
                    </w:rPr>
                  </w:pPr>
                  <w:r>
                    <w:rPr>
                      <w:rFonts w:hint="eastAsia" w:cs="Times New Roman"/>
                      <w:smallCaps w:val="0"/>
                      <w:color w:val="auto"/>
                      <w:kern w:val="2"/>
                      <w:sz w:val="21"/>
                      <w:szCs w:val="24"/>
                      <w:highlight w:val="none"/>
                      <w:lang w:val="en-US" w:eastAsia="zh-CN" w:bidi="ar-SA"/>
                    </w:rPr>
                    <w:t>工业粉尘</w:t>
                  </w:r>
                </w:p>
              </w:tc>
              <w:tc>
                <w:tcPr>
                  <w:tcW w:w="749" w:type="pct"/>
                  <w:tcBorders>
                    <w:tl2br w:val="nil"/>
                    <w:tr2bl w:val="nil"/>
                  </w:tcBorders>
                  <w:noWrap/>
                  <w:vAlign w:val="center"/>
                </w:tcPr>
                <w:p w14:paraId="41C4B78B">
                  <w:pPr>
                    <w:keepNext w:val="0"/>
                    <w:keepLines w:val="0"/>
                    <w:pageBreakBefore w:val="0"/>
                    <w:suppressLineNumbers w:val="0"/>
                    <w:wordWrap/>
                    <w:bidi w:val="0"/>
                    <w:spacing w:before="0" w:beforeAutospacing="0" w:after="0" w:afterAutospacing="0" w:line="360" w:lineRule="auto"/>
                    <w:ind w:left="0" w:leftChars="0" w:right="0" w:rightChars="0" w:firstLine="0" w:firstLineChars="0"/>
                    <w:jc w:val="center"/>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8.82</w:t>
                  </w:r>
                </w:p>
              </w:tc>
              <w:tc>
                <w:tcPr>
                  <w:tcW w:w="622" w:type="pct"/>
                  <w:tcBorders>
                    <w:tl2br w:val="nil"/>
                    <w:tr2bl w:val="nil"/>
                  </w:tcBorders>
                  <w:noWrap/>
                  <w:vAlign w:val="center"/>
                </w:tcPr>
                <w:p w14:paraId="016F2F02">
                  <w:pPr>
                    <w:keepNext w:val="0"/>
                    <w:keepLines w:val="0"/>
                    <w:pageBreakBefore w:val="0"/>
                    <w:suppressLineNumbers w:val="0"/>
                    <w:wordWrap/>
                    <w:bidi w:val="0"/>
                    <w:spacing w:before="0" w:beforeAutospacing="0" w:after="0" w:afterAutospacing="0" w:line="360" w:lineRule="auto"/>
                    <w:ind w:left="0" w:leftChars="0" w:right="0" w:rightChars="0" w:firstLine="0" w:firstLineChars="0"/>
                    <w:jc w:val="center"/>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0.026</w:t>
                  </w:r>
                </w:p>
              </w:tc>
              <w:tc>
                <w:tcPr>
                  <w:tcW w:w="497" w:type="pct"/>
                  <w:tcBorders>
                    <w:tl2br w:val="nil"/>
                    <w:tr2bl w:val="nil"/>
                  </w:tcBorders>
                  <w:noWrap/>
                  <w:vAlign w:val="center"/>
                </w:tcPr>
                <w:p w14:paraId="662FD4CA">
                  <w:pPr>
                    <w:pStyle w:val="123"/>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1h</w:t>
                  </w:r>
                </w:p>
              </w:tc>
              <w:tc>
                <w:tcPr>
                  <w:tcW w:w="546" w:type="pct"/>
                  <w:tcBorders>
                    <w:tl2br w:val="nil"/>
                    <w:tr2bl w:val="nil"/>
                  </w:tcBorders>
                  <w:noWrap/>
                  <w:vAlign w:val="center"/>
                </w:tcPr>
                <w:p w14:paraId="30FD3D7C">
                  <w:pPr>
                    <w:keepNext w:val="0"/>
                    <w:keepLines w:val="0"/>
                    <w:pageBreakBefore w:val="0"/>
                    <w:suppressLineNumbers w:val="0"/>
                    <w:wordWrap/>
                    <w:bidi w:val="0"/>
                    <w:spacing w:before="0" w:beforeAutospacing="0" w:after="0" w:afterAutospacing="0" w:line="360" w:lineRule="auto"/>
                    <w:ind w:left="0" w:leftChars="0" w:right="0" w:rightChars="0" w:firstLine="0" w:firstLineChars="0"/>
                    <w:jc w:val="center"/>
                    <w:rPr>
                      <w:rFonts w:hint="default" w:ascii="Times New Roman" w:hAnsi="Times New Roman" w:eastAsia="宋体" w:cs="Times New Roman"/>
                      <w:smallCaps w:val="0"/>
                      <w:color w:val="auto"/>
                      <w:kern w:val="2"/>
                      <w:sz w:val="21"/>
                      <w:szCs w:val="24"/>
                      <w:highlight w:val="none"/>
                      <w:lang w:val="en-US" w:eastAsia="zh-CN" w:bidi="ar-SA"/>
                    </w:rPr>
                  </w:pPr>
                  <w:r>
                    <w:rPr>
                      <w:rFonts w:hint="default"/>
                      <w:smallCaps w:val="0"/>
                      <w:color w:val="auto"/>
                      <w:sz w:val="21"/>
                      <w:highlight w:val="none"/>
                    </w:rPr>
                    <w:t>1</w:t>
                  </w:r>
                  <w:r>
                    <w:rPr>
                      <w:rFonts w:hint="eastAsia"/>
                      <w:smallCaps w:val="0"/>
                      <w:color w:val="auto"/>
                      <w:sz w:val="21"/>
                      <w:highlight w:val="none"/>
                      <w:lang w:eastAsia="zh-CN"/>
                    </w:rPr>
                    <w:t>次</w:t>
                  </w:r>
                </w:p>
              </w:tc>
              <w:tc>
                <w:tcPr>
                  <w:tcW w:w="670" w:type="pct"/>
                  <w:tcBorders>
                    <w:tl2br w:val="nil"/>
                    <w:tr2bl w:val="nil"/>
                  </w:tcBorders>
                  <w:noWrap/>
                  <w:vAlign w:val="center"/>
                </w:tcPr>
                <w:p w14:paraId="05744168">
                  <w:pPr>
                    <w:keepNext w:val="0"/>
                    <w:keepLines w:val="0"/>
                    <w:pageBreakBefore w:val="0"/>
                    <w:suppressLineNumbers w:val="0"/>
                    <w:wordWrap/>
                    <w:bidi w:val="0"/>
                    <w:spacing w:before="0" w:beforeAutospacing="0" w:after="0" w:afterAutospacing="0" w:line="36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rPr>
                    <w:t>停止生产及时检修</w:t>
                  </w:r>
                </w:p>
              </w:tc>
            </w:tr>
            <w:tr w14:paraId="7F0B3A3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251" w:type="pct"/>
                  <w:tcBorders>
                    <w:tl2br w:val="nil"/>
                    <w:tr2bl w:val="nil"/>
                  </w:tcBorders>
                  <w:noWrap/>
                  <w:vAlign w:val="center"/>
                </w:tcPr>
                <w:p w14:paraId="29FB00C0">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right="0" w:rightChars="0"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w:t>
                  </w:r>
                </w:p>
              </w:tc>
              <w:tc>
                <w:tcPr>
                  <w:tcW w:w="471" w:type="pct"/>
                  <w:tcBorders>
                    <w:tl2br w:val="nil"/>
                    <w:tr2bl w:val="nil"/>
                  </w:tcBorders>
                  <w:noWrap/>
                  <w:vAlign w:val="center"/>
                </w:tcPr>
                <w:p w14:paraId="48C53AF0">
                  <w:pPr>
                    <w:keepNext w:val="0"/>
                    <w:keepLines w:val="0"/>
                    <w:pageBreakBefore w:val="0"/>
                    <w:suppressLineNumbers w:val="0"/>
                    <w:wordWrap/>
                    <w:bidi w:val="0"/>
                    <w:spacing w:before="0" w:beforeAutospacing="0" w:after="0" w:afterAutospacing="0" w:line="360" w:lineRule="auto"/>
                    <w:ind w:left="0" w:leftChars="0" w:right="0" w:rightChars="0" w:firstLine="0" w:firstLineChars="0"/>
                    <w:jc w:val="center"/>
                    <w:rPr>
                      <w:rFonts w:hint="default"/>
                      <w:smallCaps w:val="0"/>
                      <w:color w:val="auto"/>
                      <w:sz w:val="21"/>
                      <w:highlight w:val="none"/>
                      <w:lang w:val="en-US" w:eastAsia="zh-CN"/>
                    </w:rPr>
                  </w:pPr>
                  <w:r>
                    <w:rPr>
                      <w:rFonts w:hint="eastAsia"/>
                      <w:smallCaps w:val="0"/>
                      <w:color w:val="auto"/>
                      <w:sz w:val="21"/>
                      <w:highlight w:val="none"/>
                      <w:lang w:val="en-US" w:eastAsia="zh-CN"/>
                    </w:rPr>
                    <w:t>锅炉</w:t>
                  </w:r>
                </w:p>
              </w:tc>
              <w:tc>
                <w:tcPr>
                  <w:tcW w:w="649" w:type="pct"/>
                  <w:tcBorders>
                    <w:tl2br w:val="nil"/>
                    <w:tr2bl w:val="nil"/>
                  </w:tcBorders>
                  <w:noWrap/>
                  <w:vAlign w:val="center"/>
                </w:tcPr>
                <w:p w14:paraId="1593ADBE">
                  <w:pPr>
                    <w:keepNext w:val="0"/>
                    <w:keepLines w:val="0"/>
                    <w:pageBreakBefore w:val="0"/>
                    <w:suppressLineNumbers w:val="0"/>
                    <w:wordWrap/>
                    <w:bidi w:val="0"/>
                    <w:spacing w:before="0" w:beforeAutospacing="0" w:after="0" w:afterAutospacing="0" w:line="360" w:lineRule="auto"/>
                    <w:ind w:left="0" w:leftChars="0" w:right="0" w:rightChars="0" w:firstLine="0" w:firstLineChars="0"/>
                    <w:jc w:val="center"/>
                    <w:rPr>
                      <w:rFonts w:hint="default" w:cs="Times New Roman"/>
                      <w:smallCaps w:val="0"/>
                      <w:color w:val="auto"/>
                      <w:kern w:val="2"/>
                      <w:sz w:val="21"/>
                      <w:szCs w:val="24"/>
                      <w:highlight w:val="none"/>
                      <w:lang w:val="en-US" w:eastAsia="zh-CN" w:bidi="ar-SA"/>
                    </w:rPr>
                  </w:pPr>
                  <w:r>
                    <w:rPr>
                      <w:rFonts w:hint="eastAsia" w:cs="Times New Roman"/>
                      <w:smallCaps w:val="0"/>
                      <w:color w:val="auto"/>
                      <w:kern w:val="2"/>
                      <w:sz w:val="21"/>
                      <w:szCs w:val="24"/>
                      <w:highlight w:val="none"/>
                      <w:lang w:val="en-US" w:eastAsia="zh-CN" w:bidi="ar-SA"/>
                    </w:rPr>
                    <w:t>旋风除尘器+布袋除尘器</w:t>
                  </w:r>
                </w:p>
              </w:tc>
              <w:tc>
                <w:tcPr>
                  <w:tcW w:w="541" w:type="pct"/>
                  <w:tcBorders>
                    <w:tl2br w:val="nil"/>
                    <w:tr2bl w:val="nil"/>
                  </w:tcBorders>
                  <w:noWrap/>
                  <w:vAlign w:val="center"/>
                </w:tcPr>
                <w:p w14:paraId="2E49540C">
                  <w:pPr>
                    <w:keepNext w:val="0"/>
                    <w:keepLines w:val="0"/>
                    <w:pageBreakBefore w:val="0"/>
                    <w:suppressLineNumbers w:val="0"/>
                    <w:wordWrap/>
                    <w:bidi w:val="0"/>
                    <w:spacing w:before="0" w:beforeAutospacing="0" w:after="0" w:afterAutospacing="0" w:line="360" w:lineRule="auto"/>
                    <w:ind w:left="0" w:leftChars="0" w:right="0" w:rightChars="0" w:firstLine="0" w:firstLineChars="0"/>
                    <w:jc w:val="center"/>
                    <w:rPr>
                      <w:rFonts w:hint="default" w:cs="Times New Roman"/>
                      <w:smallCaps w:val="0"/>
                      <w:color w:val="auto"/>
                      <w:kern w:val="2"/>
                      <w:sz w:val="21"/>
                      <w:szCs w:val="24"/>
                      <w:highlight w:val="none"/>
                      <w:lang w:val="en-US" w:eastAsia="zh-CN" w:bidi="ar-SA"/>
                    </w:rPr>
                  </w:pPr>
                  <w:r>
                    <w:rPr>
                      <w:rFonts w:hint="eastAsia" w:cs="Times New Roman"/>
                      <w:smallCaps w:val="0"/>
                      <w:color w:val="auto"/>
                      <w:kern w:val="2"/>
                      <w:sz w:val="21"/>
                      <w:szCs w:val="24"/>
                      <w:highlight w:val="none"/>
                      <w:lang w:val="en-US" w:eastAsia="zh-CN" w:bidi="ar-SA"/>
                    </w:rPr>
                    <w:t>颗粒物</w:t>
                  </w:r>
                </w:p>
              </w:tc>
              <w:tc>
                <w:tcPr>
                  <w:tcW w:w="749" w:type="pct"/>
                  <w:tcBorders>
                    <w:tl2br w:val="nil"/>
                    <w:tr2bl w:val="nil"/>
                  </w:tcBorders>
                  <w:noWrap/>
                  <w:vAlign w:val="center"/>
                </w:tcPr>
                <w:p w14:paraId="479BC97A">
                  <w:pPr>
                    <w:keepNext w:val="0"/>
                    <w:keepLines w:val="0"/>
                    <w:pageBreakBefore w:val="0"/>
                    <w:suppressLineNumbers w:val="0"/>
                    <w:wordWrap/>
                    <w:bidi w:val="0"/>
                    <w:spacing w:before="0" w:beforeAutospacing="0" w:after="0" w:afterAutospacing="0" w:line="360" w:lineRule="auto"/>
                    <w:ind w:left="0" w:leftChars="0" w:right="0" w:rightChars="0" w:firstLine="0" w:firstLineChars="0"/>
                    <w:jc w:val="center"/>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1098</w:t>
                  </w:r>
                </w:p>
              </w:tc>
              <w:tc>
                <w:tcPr>
                  <w:tcW w:w="622" w:type="pct"/>
                  <w:tcBorders>
                    <w:tl2br w:val="nil"/>
                    <w:tr2bl w:val="nil"/>
                  </w:tcBorders>
                  <w:noWrap/>
                  <w:vAlign w:val="center"/>
                </w:tcPr>
                <w:p w14:paraId="34ECA7B8">
                  <w:pPr>
                    <w:keepNext w:val="0"/>
                    <w:keepLines w:val="0"/>
                    <w:pageBreakBefore w:val="0"/>
                    <w:suppressLineNumbers w:val="0"/>
                    <w:wordWrap/>
                    <w:bidi w:val="0"/>
                    <w:spacing w:before="0" w:beforeAutospacing="0" w:after="0" w:afterAutospacing="0" w:line="360" w:lineRule="auto"/>
                    <w:ind w:left="0" w:leftChars="0" w:right="0" w:rightChars="0" w:firstLine="0" w:firstLineChars="0"/>
                    <w:jc w:val="center"/>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3.58</w:t>
                  </w:r>
                </w:p>
              </w:tc>
              <w:tc>
                <w:tcPr>
                  <w:tcW w:w="497" w:type="pct"/>
                  <w:tcBorders>
                    <w:tl2br w:val="nil"/>
                    <w:tr2bl w:val="nil"/>
                  </w:tcBorders>
                  <w:noWrap/>
                  <w:vAlign w:val="center"/>
                </w:tcPr>
                <w:p w14:paraId="665A86A2">
                  <w:pPr>
                    <w:pStyle w:val="123"/>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1h</w:t>
                  </w:r>
                </w:p>
              </w:tc>
              <w:tc>
                <w:tcPr>
                  <w:tcW w:w="546" w:type="pct"/>
                  <w:tcBorders>
                    <w:tl2br w:val="nil"/>
                    <w:tr2bl w:val="nil"/>
                  </w:tcBorders>
                  <w:noWrap/>
                  <w:vAlign w:val="center"/>
                </w:tcPr>
                <w:p w14:paraId="5D99BFB9">
                  <w:pPr>
                    <w:keepNext w:val="0"/>
                    <w:keepLines w:val="0"/>
                    <w:pageBreakBefore w:val="0"/>
                    <w:suppressLineNumbers w:val="0"/>
                    <w:wordWrap/>
                    <w:bidi w:val="0"/>
                    <w:spacing w:before="0" w:beforeAutospacing="0" w:after="0" w:afterAutospacing="0" w:line="360" w:lineRule="auto"/>
                    <w:ind w:left="0" w:leftChars="0" w:right="0" w:rightChars="0" w:firstLine="0" w:firstLineChars="0"/>
                    <w:jc w:val="center"/>
                    <w:rPr>
                      <w:rFonts w:hint="default"/>
                      <w:smallCaps w:val="0"/>
                      <w:color w:val="auto"/>
                      <w:sz w:val="21"/>
                      <w:highlight w:val="none"/>
                    </w:rPr>
                  </w:pPr>
                  <w:r>
                    <w:rPr>
                      <w:rFonts w:hint="default"/>
                      <w:smallCaps w:val="0"/>
                      <w:color w:val="auto"/>
                      <w:sz w:val="21"/>
                      <w:highlight w:val="none"/>
                    </w:rPr>
                    <w:t>1</w:t>
                  </w:r>
                  <w:r>
                    <w:rPr>
                      <w:rFonts w:hint="eastAsia"/>
                      <w:smallCaps w:val="0"/>
                      <w:color w:val="auto"/>
                      <w:sz w:val="21"/>
                      <w:highlight w:val="none"/>
                      <w:lang w:eastAsia="zh-CN"/>
                    </w:rPr>
                    <w:t>次</w:t>
                  </w:r>
                </w:p>
              </w:tc>
              <w:tc>
                <w:tcPr>
                  <w:tcW w:w="670" w:type="pct"/>
                  <w:tcBorders>
                    <w:tl2br w:val="nil"/>
                    <w:tr2bl w:val="nil"/>
                  </w:tcBorders>
                  <w:noWrap/>
                  <w:vAlign w:val="center"/>
                </w:tcPr>
                <w:p w14:paraId="3BFE13B4">
                  <w:pPr>
                    <w:keepNext w:val="0"/>
                    <w:keepLines w:val="0"/>
                    <w:pageBreakBefore w:val="0"/>
                    <w:suppressLineNumbers w:val="0"/>
                    <w:wordWrap/>
                    <w:bidi w:val="0"/>
                    <w:spacing w:before="0" w:beforeAutospacing="0" w:after="0" w:afterAutospacing="0" w:line="360" w:lineRule="auto"/>
                    <w:ind w:left="0" w:leftChars="0" w:right="0" w:rightChars="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停止生产及时检修</w:t>
                  </w:r>
                </w:p>
              </w:tc>
            </w:tr>
          </w:tbl>
          <w:p w14:paraId="77B5A138">
            <w:pPr>
              <w:keepNext w:val="0"/>
              <w:keepLines w:val="0"/>
              <w:pageBreakBefore w:val="0"/>
              <w:numPr>
                <w:ilvl w:val="0"/>
                <w:numId w:val="0"/>
              </w:numPr>
              <w:suppressLineNumbers w:val="0"/>
              <w:tabs>
                <w:tab w:val="left" w:pos="1291"/>
              </w:tabs>
              <w:wordWrap/>
              <w:topLinePunct w:val="0"/>
              <w:bidi w:val="0"/>
              <w:spacing w:before="0" w:beforeAutospacing="0" w:after="0" w:afterAutospacing="0" w:line="360" w:lineRule="auto"/>
              <w:ind w:left="0" w:leftChars="0" w:right="0" w:rightChars="0" w:firstLine="480" w:firstLineChars="200"/>
              <w:jc w:val="left"/>
              <w:rPr>
                <w:rFonts w:hint="eastAsia" w:ascii="Times New Roman" w:hAnsi="Times New Roman" w:eastAsia="宋体" w:cs="Times New Roman"/>
                <w:bCs/>
                <w:color w:val="auto"/>
                <w:sz w:val="24"/>
                <w:highlight w:val="none"/>
                <w:lang w:eastAsia="zh-CN"/>
              </w:rPr>
            </w:pPr>
            <w:r>
              <w:rPr>
                <w:rFonts w:hint="eastAsia"/>
                <w:bCs/>
                <w:color w:val="auto"/>
                <w:sz w:val="24"/>
                <w:highlight w:val="none"/>
                <w:lang w:val="en-US" w:eastAsia="zh-CN"/>
              </w:rPr>
              <w:t>3、</w:t>
            </w:r>
            <w:r>
              <w:rPr>
                <w:rFonts w:hint="eastAsia"/>
                <w:bCs/>
                <w:color w:val="auto"/>
                <w:sz w:val="24"/>
                <w:highlight w:val="none"/>
                <w:lang w:eastAsia="zh-CN"/>
              </w:rPr>
              <w:t>废气</w:t>
            </w:r>
            <w:r>
              <w:rPr>
                <w:rFonts w:hint="default" w:ascii="Times New Roman" w:hAnsi="Times New Roman" w:eastAsia="宋体" w:cs="Times New Roman"/>
                <w:bCs/>
                <w:color w:val="auto"/>
                <w:sz w:val="24"/>
                <w:highlight w:val="none"/>
                <w:lang w:eastAsia="zh-CN"/>
              </w:rPr>
              <w:t>治理措施及利用可行性分析</w:t>
            </w:r>
          </w:p>
          <w:p w14:paraId="3AAE3BC1">
            <w:pPr>
              <w:keepNext w:val="0"/>
              <w:keepLines w:val="0"/>
              <w:pageBreakBefore w:val="0"/>
              <w:numPr>
                <w:ilvl w:val="0"/>
                <w:numId w:val="0"/>
              </w:numPr>
              <w:suppressLineNumbers w:val="0"/>
              <w:tabs>
                <w:tab w:val="left" w:pos="1291"/>
              </w:tabs>
              <w:wordWrap/>
              <w:topLinePunct w:val="0"/>
              <w:bidi w:val="0"/>
              <w:spacing w:before="0" w:beforeAutospacing="0" w:after="0" w:afterAutospacing="0" w:line="360" w:lineRule="auto"/>
              <w:ind w:left="0" w:leftChars="0" w:right="0" w:rightChars="0" w:firstLine="480" w:firstLineChars="200"/>
              <w:jc w:val="left"/>
              <w:rPr>
                <w:rFonts w:hint="eastAsia"/>
                <w:bCs/>
                <w:color w:val="auto"/>
                <w:sz w:val="24"/>
                <w:highlight w:val="none"/>
                <w:lang w:eastAsia="zh-CN"/>
              </w:rPr>
            </w:pPr>
            <w:r>
              <w:rPr>
                <w:rFonts w:hint="eastAsia"/>
                <w:bCs/>
                <w:color w:val="auto"/>
                <w:sz w:val="24"/>
                <w:highlight w:val="none"/>
                <w:lang w:val="en-US" w:eastAsia="zh-CN"/>
              </w:rPr>
              <w:t>（1）</w:t>
            </w:r>
            <w:r>
              <w:rPr>
                <w:rFonts w:hint="eastAsia"/>
                <w:bCs/>
                <w:color w:val="auto"/>
                <w:sz w:val="24"/>
                <w:highlight w:val="none"/>
                <w:lang w:eastAsia="zh-CN"/>
              </w:rPr>
              <w:t>环保措施可行性分析</w:t>
            </w:r>
          </w:p>
          <w:p w14:paraId="1539C674">
            <w:pPr>
              <w:keepNext w:val="0"/>
              <w:keepLines w:val="0"/>
              <w:pageBreakBefore w:val="0"/>
              <w:widowControl w:val="0"/>
              <w:numPr>
                <w:ilvl w:val="0"/>
                <w:numId w:val="0"/>
              </w:numPr>
              <w:suppressLineNumbers w:val="0"/>
              <w:tabs>
                <w:tab w:val="left" w:pos="1291"/>
              </w:tabs>
              <w:kinsoku/>
              <w:wordWrap w:val="0"/>
              <w:overflowPunct/>
              <w:topLinePunct w:val="0"/>
              <w:autoSpaceDE/>
              <w:autoSpaceDN/>
              <w:bidi w:val="0"/>
              <w:adjustRightInd/>
              <w:snapToGrid/>
              <w:spacing w:before="0" w:beforeAutospacing="0" w:after="0" w:afterAutospacing="0" w:line="360" w:lineRule="auto"/>
              <w:ind w:left="0" w:leftChars="0" w:right="0" w:rightChars="0" w:firstLine="480" w:firstLineChars="200"/>
              <w:jc w:val="left"/>
              <w:textAlignment w:val="auto"/>
              <w:rPr>
                <w:rFonts w:hint="default"/>
                <w:bCs/>
                <w:color w:val="auto"/>
                <w:sz w:val="24"/>
                <w:highlight w:val="none"/>
                <w:lang w:val="en-US" w:eastAsia="zh-CN"/>
              </w:rPr>
            </w:pPr>
            <w:r>
              <w:rPr>
                <w:rFonts w:hint="eastAsia"/>
                <w:bCs/>
                <w:color w:val="auto"/>
                <w:sz w:val="24"/>
                <w:highlight w:val="none"/>
                <w:lang w:eastAsia="zh-CN"/>
              </w:rPr>
              <w:t>根据《排污许可证申请与核发技术规范 废弃资源加工工业》（HJ1034-2019）</w:t>
            </w:r>
            <w:r>
              <w:rPr>
                <w:rFonts w:hint="eastAsia"/>
                <w:bCs/>
                <w:color w:val="auto"/>
                <w:sz w:val="24"/>
                <w:highlight w:val="none"/>
                <w:lang w:eastAsia="zh-CN"/>
              </w:rPr>
              <w:t>“表8 废机动车加工工业排污单位废气产排污环节名称、污染物种类、排放形式及污染防治设施一览表”</w:t>
            </w:r>
            <w:r>
              <w:rPr>
                <w:rFonts w:hint="eastAsia"/>
                <w:bCs/>
                <w:color w:val="auto"/>
                <w:sz w:val="24"/>
                <w:highlight w:val="none"/>
                <w:lang w:val="en-US" w:eastAsia="zh-CN"/>
              </w:rPr>
              <w:t>中对拆解预处理产生的非甲烷总烃处理可行性技术为“活性炭吸附，其他”，</w:t>
            </w:r>
            <w:r>
              <w:rPr>
                <w:rFonts w:hint="eastAsia"/>
                <w:bCs/>
                <w:color w:val="auto"/>
                <w:sz w:val="24"/>
                <w:highlight w:val="none"/>
                <w:lang w:val="en-US" w:eastAsia="zh-CN"/>
              </w:rPr>
              <w:t>对切割产生的颗粒物处理可行性技术为“集气收集+布袋除尘，其他”，本项目采用“集气罩收集+布袋除尘+活性炭吸附”处理废气是可行的。</w:t>
            </w:r>
          </w:p>
          <w:p w14:paraId="4E00F449">
            <w:pPr>
              <w:keepNext w:val="0"/>
              <w:keepLines w:val="0"/>
              <w:pageBreakBefore w:val="0"/>
              <w:numPr>
                <w:ilvl w:val="0"/>
                <w:numId w:val="0"/>
              </w:numPr>
              <w:suppressLineNumbers w:val="0"/>
              <w:tabs>
                <w:tab w:val="left" w:pos="1291"/>
              </w:tabs>
              <w:wordWrap/>
              <w:topLinePunct w:val="0"/>
              <w:bidi w:val="0"/>
              <w:spacing w:before="0" w:beforeAutospacing="0" w:after="0" w:afterAutospacing="0" w:line="360" w:lineRule="auto"/>
              <w:ind w:left="0" w:leftChars="0" w:right="0" w:rightChars="0" w:firstLine="480" w:firstLineChars="200"/>
              <w:jc w:val="left"/>
              <w:rPr>
                <w:rFonts w:hint="default" w:ascii="Times New Roman" w:hAnsi="Times New Roman" w:eastAsia="宋体" w:cs="Times New Roman"/>
                <w:bCs/>
                <w:color w:val="auto"/>
                <w:sz w:val="24"/>
                <w:highlight w:val="none"/>
                <w:lang w:val="en-US" w:eastAsia="zh-CN"/>
              </w:rPr>
            </w:pPr>
            <w:r>
              <w:rPr>
                <w:rFonts w:hint="eastAsia"/>
                <w:bCs/>
                <w:color w:val="auto"/>
                <w:sz w:val="24"/>
                <w:highlight w:val="none"/>
                <w:lang w:eastAsia="zh-CN"/>
              </w:rPr>
              <w:t>本项目</w:t>
            </w:r>
            <w:r>
              <w:rPr>
                <w:rFonts w:hint="eastAsia"/>
                <w:bCs/>
                <w:color w:val="auto"/>
                <w:sz w:val="24"/>
                <w:highlight w:val="none"/>
                <w:lang w:val="en-US" w:eastAsia="zh-CN"/>
              </w:rPr>
              <w:t>燃生物质</w:t>
            </w:r>
            <w:r>
              <w:rPr>
                <w:rFonts w:hint="eastAsia"/>
                <w:bCs/>
                <w:color w:val="auto"/>
                <w:sz w:val="24"/>
                <w:highlight w:val="none"/>
                <w:lang w:eastAsia="zh-CN"/>
              </w:rPr>
              <w:t>锅炉会产生颗粒物，</w:t>
            </w:r>
            <w:r>
              <w:rPr>
                <w:rFonts w:hint="eastAsia"/>
                <w:bCs/>
                <w:color w:val="auto"/>
                <w:sz w:val="24"/>
                <w:highlight w:val="none"/>
                <w:lang w:val="en-US" w:eastAsia="zh-CN"/>
              </w:rPr>
              <w:t>锅炉烟气采用旋风除尘器+</w:t>
            </w:r>
            <w:r>
              <w:rPr>
                <w:rFonts w:hint="eastAsia"/>
                <w:bCs/>
                <w:color w:val="auto"/>
                <w:sz w:val="24"/>
                <w:highlight w:val="none"/>
                <w:lang w:eastAsia="zh-CN"/>
              </w:rPr>
              <w:t>布袋除尘器处理，</w:t>
            </w:r>
            <w:r>
              <w:rPr>
                <w:rFonts w:hint="eastAsia"/>
                <w:bCs/>
                <w:color w:val="auto"/>
                <w:sz w:val="24"/>
                <w:highlight w:val="none"/>
                <w:lang w:val="en-US" w:eastAsia="zh-CN"/>
              </w:rPr>
              <w:t>处理后</w:t>
            </w:r>
            <w:r>
              <w:rPr>
                <w:rFonts w:hint="eastAsia"/>
                <w:bCs/>
                <w:color w:val="auto"/>
                <w:sz w:val="24"/>
                <w:highlight w:val="none"/>
                <w:lang w:eastAsia="zh-CN"/>
              </w:rPr>
              <w:t>后通过</w:t>
            </w:r>
            <w:r>
              <w:rPr>
                <w:rFonts w:hint="eastAsia"/>
                <w:bCs/>
                <w:color w:val="auto"/>
                <w:sz w:val="24"/>
                <w:highlight w:val="none"/>
                <w:lang w:val="en-US" w:eastAsia="zh-CN"/>
              </w:rPr>
              <w:t>30m高烟囱</w:t>
            </w:r>
            <w:r>
              <w:rPr>
                <w:rFonts w:hint="eastAsia" w:cs="Times New Roman"/>
                <w:color w:val="auto"/>
                <w:kern w:val="0"/>
                <w:sz w:val="24"/>
                <w:szCs w:val="24"/>
                <w:highlight w:val="none"/>
                <w:lang w:val="en-US" w:eastAsia="zh-CN" w:bidi="ar-SA"/>
              </w:rPr>
              <w:t>（DA001）</w:t>
            </w:r>
            <w:r>
              <w:rPr>
                <w:rFonts w:hint="eastAsia"/>
                <w:bCs/>
                <w:color w:val="auto"/>
                <w:sz w:val="24"/>
                <w:highlight w:val="none"/>
                <w:lang w:val="en-US" w:eastAsia="zh-CN"/>
              </w:rPr>
              <w:t>排放</w:t>
            </w:r>
            <w:r>
              <w:rPr>
                <w:rFonts w:hint="eastAsia"/>
                <w:bCs/>
                <w:color w:val="auto"/>
                <w:sz w:val="24"/>
                <w:highlight w:val="none"/>
                <w:lang w:eastAsia="zh-CN"/>
              </w:rPr>
              <w:t>。</w:t>
            </w:r>
            <w:r>
              <w:rPr>
                <w:rFonts w:hint="eastAsia"/>
                <w:bCs/>
                <w:color w:val="auto"/>
                <w:sz w:val="24"/>
                <w:highlight w:val="none"/>
                <w:lang w:eastAsia="zh-CN"/>
              </w:rPr>
              <w:t>根</w:t>
            </w:r>
            <w:r>
              <w:rPr>
                <w:rFonts w:hint="eastAsia" w:ascii="Times New Roman" w:hAnsi="Times New Roman" w:eastAsia="宋体" w:cs="Times New Roman"/>
                <w:bCs/>
                <w:color w:val="auto"/>
                <w:sz w:val="24"/>
                <w:highlight w:val="none"/>
                <w:lang w:eastAsia="zh-CN"/>
              </w:rPr>
              <w:t>据《排污许可证申请与核发技术规范 锅炉》（HJ953—2018）</w:t>
            </w:r>
            <w:r>
              <w:rPr>
                <w:rFonts w:hint="eastAsia" w:cs="Times New Roman"/>
                <w:bCs/>
                <w:color w:val="auto"/>
                <w:sz w:val="24"/>
                <w:highlight w:val="none"/>
                <w:lang w:eastAsia="zh-CN"/>
              </w:rPr>
              <w:t>“表7 锅炉烟气污染防治可行技术”</w:t>
            </w:r>
            <w:r>
              <w:rPr>
                <w:rFonts w:hint="eastAsia" w:ascii="Times New Roman" w:hAnsi="Times New Roman" w:eastAsia="宋体" w:cs="Times New Roman"/>
                <w:bCs/>
                <w:color w:val="auto"/>
                <w:sz w:val="24"/>
                <w:highlight w:val="none"/>
                <w:lang w:eastAsia="zh-CN"/>
              </w:rPr>
              <w:t>中对</w:t>
            </w:r>
            <w:r>
              <w:rPr>
                <w:rFonts w:hint="eastAsia" w:cs="Times New Roman"/>
                <w:bCs/>
                <w:color w:val="auto"/>
                <w:sz w:val="24"/>
                <w:highlight w:val="none"/>
                <w:lang w:val="en-US" w:eastAsia="zh-CN"/>
              </w:rPr>
              <w:t>燃生物质锅炉产生的颗粒物</w:t>
            </w:r>
            <w:r>
              <w:rPr>
                <w:rFonts w:hint="eastAsia" w:ascii="Times New Roman" w:hAnsi="Times New Roman" w:eastAsia="宋体" w:cs="Times New Roman"/>
                <w:bCs/>
                <w:color w:val="auto"/>
                <w:sz w:val="24"/>
                <w:highlight w:val="none"/>
                <w:lang w:eastAsia="zh-CN"/>
              </w:rPr>
              <w:t>可行性技术的要求</w:t>
            </w:r>
            <w:r>
              <w:rPr>
                <w:rFonts w:hint="eastAsia" w:cs="Times New Roman"/>
                <w:bCs/>
                <w:color w:val="auto"/>
                <w:sz w:val="24"/>
                <w:highlight w:val="none"/>
                <w:lang w:val="en-US" w:eastAsia="zh-CN"/>
              </w:rPr>
              <w:t>为“旋风除尘和袋式除尘组合技术”，</w:t>
            </w:r>
            <w:r>
              <w:rPr>
                <w:rFonts w:hint="eastAsia"/>
                <w:bCs/>
                <w:color w:val="auto"/>
                <w:sz w:val="24"/>
                <w:highlight w:val="none"/>
                <w:lang w:eastAsia="zh-CN"/>
              </w:rPr>
              <w:t>本项目采取</w:t>
            </w:r>
            <w:r>
              <w:rPr>
                <w:rFonts w:hint="eastAsia"/>
                <w:bCs/>
                <w:color w:val="auto"/>
                <w:sz w:val="24"/>
                <w:highlight w:val="none"/>
                <w:lang w:val="en-US" w:eastAsia="zh-CN"/>
              </w:rPr>
              <w:t>旋风除尘器+</w:t>
            </w:r>
            <w:r>
              <w:rPr>
                <w:rFonts w:hint="eastAsia"/>
                <w:bCs/>
                <w:color w:val="auto"/>
                <w:sz w:val="24"/>
                <w:highlight w:val="none"/>
                <w:lang w:eastAsia="zh-CN"/>
              </w:rPr>
              <w:t>布袋除尘器处理是可行的。</w:t>
            </w:r>
          </w:p>
          <w:p w14:paraId="3D337671">
            <w:pPr>
              <w:keepNext w:val="0"/>
              <w:keepLines w:val="0"/>
              <w:pageBreakBefore w:val="0"/>
              <w:numPr>
                <w:ilvl w:val="0"/>
                <w:numId w:val="0"/>
              </w:numPr>
              <w:suppressLineNumbers w:val="0"/>
              <w:tabs>
                <w:tab w:val="left" w:pos="1291"/>
              </w:tabs>
              <w:wordWrap/>
              <w:topLinePunct w:val="0"/>
              <w:bidi w:val="0"/>
              <w:spacing w:before="0" w:beforeAutospacing="0" w:after="0" w:afterAutospacing="0" w:line="360" w:lineRule="auto"/>
              <w:ind w:left="0" w:leftChars="0" w:right="0" w:rightChars="0" w:firstLine="480" w:firstLineChars="200"/>
              <w:jc w:val="left"/>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（2）排气筒高度设置合理性分析</w:t>
            </w:r>
          </w:p>
          <w:p w14:paraId="70AAE55E">
            <w:pPr>
              <w:kinsoku w:val="0"/>
              <w:overflowPunct w:val="0"/>
              <w:autoSpaceDE w:val="0"/>
              <w:autoSpaceDN w:val="0"/>
              <w:spacing w:line="360" w:lineRule="auto"/>
              <w:ind w:firstLine="480" w:firstLineChars="200"/>
              <w:rPr>
                <w:rFonts w:hint="eastAsia"/>
                <w:color w:val="auto"/>
                <w:sz w:val="24"/>
              </w:rPr>
            </w:pPr>
            <w:r>
              <w:rPr>
                <w:rFonts w:hint="eastAsia"/>
                <w:bCs/>
                <w:color w:val="auto"/>
                <w:sz w:val="24"/>
              </w:rPr>
              <w:t>根据《大气污染物综合排放标准》（GB16297-1996）中</w:t>
            </w:r>
            <w:r>
              <w:rPr>
                <w:rFonts w:hint="eastAsia"/>
                <w:bCs/>
                <w:color w:val="auto"/>
                <w:sz w:val="24"/>
                <w:lang w:eastAsia="zh-CN"/>
              </w:rPr>
              <w:t>“7.1 排气筒高度除须遵守表列排放速率标准值外，还应高出周围200m半径范围的建筑</w:t>
            </w:r>
            <w:r>
              <w:rPr>
                <w:rFonts w:hint="eastAsia"/>
                <w:bCs/>
                <w:color w:val="auto"/>
                <w:sz w:val="24"/>
                <w:lang w:val="en-US" w:eastAsia="zh-CN"/>
              </w:rPr>
              <w:t>5</w:t>
            </w:r>
            <w:r>
              <w:rPr>
                <w:rFonts w:hint="eastAsia"/>
                <w:bCs/>
                <w:color w:val="auto"/>
                <w:sz w:val="24"/>
                <w:lang w:eastAsia="zh-CN"/>
              </w:rPr>
              <w:t>m以上，不能达到该要求的排气筒，应按其高度对应的表列排放速率标准值严格</w:t>
            </w:r>
            <w:r>
              <w:rPr>
                <w:rFonts w:hint="eastAsia"/>
                <w:bCs/>
                <w:color w:val="auto"/>
                <w:sz w:val="24"/>
                <w:lang w:val="en-US" w:eastAsia="zh-CN"/>
              </w:rPr>
              <w:t>，</w:t>
            </w:r>
            <w:r>
              <w:rPr>
                <w:rFonts w:hint="eastAsia"/>
                <w:bCs/>
                <w:color w:val="auto"/>
                <w:sz w:val="24"/>
                <w:lang w:eastAsia="zh-CN"/>
              </w:rPr>
              <w:t>50%执行。”，</w:t>
            </w:r>
            <w:r>
              <w:rPr>
                <w:rFonts w:hint="eastAsia"/>
                <w:bCs/>
                <w:color w:val="auto"/>
                <w:sz w:val="24"/>
              </w:rPr>
              <w:t>“7.4 新污染源的排气筒一般</w:t>
            </w:r>
            <w:r>
              <w:rPr>
                <w:rFonts w:hint="eastAsia"/>
                <w:color w:val="auto"/>
                <w:sz w:val="24"/>
              </w:rPr>
              <w:t>不应低于15m”要求，</w:t>
            </w:r>
            <w:r>
              <w:rPr>
                <w:rFonts w:hint="eastAsia"/>
                <w:color w:val="auto"/>
                <w:sz w:val="24"/>
                <w:lang w:val="en-US" w:eastAsia="zh-CN"/>
              </w:rPr>
              <w:t>项目200m范围内最高建筑物建筑高度8m，</w:t>
            </w:r>
            <w:r>
              <w:rPr>
                <w:rFonts w:hint="eastAsia"/>
                <w:color w:val="auto"/>
                <w:sz w:val="24"/>
              </w:rPr>
              <w:t>本项目排气筒</w:t>
            </w:r>
            <w:r>
              <w:rPr>
                <w:rFonts w:hint="eastAsia"/>
                <w:color w:val="auto"/>
                <w:sz w:val="24"/>
                <w:lang w:eastAsia="zh-CN"/>
              </w:rPr>
              <w:t>（</w:t>
            </w:r>
            <w:r>
              <w:rPr>
                <w:rFonts w:hint="eastAsia"/>
                <w:color w:val="auto"/>
                <w:sz w:val="24"/>
                <w:lang w:val="en-US" w:eastAsia="zh-CN"/>
              </w:rPr>
              <w:t>DA001</w:t>
            </w:r>
            <w:r>
              <w:rPr>
                <w:rFonts w:hint="eastAsia"/>
                <w:color w:val="auto"/>
                <w:sz w:val="24"/>
                <w:lang w:eastAsia="zh-CN"/>
              </w:rPr>
              <w:t>）</w:t>
            </w:r>
            <w:r>
              <w:rPr>
                <w:rFonts w:hint="eastAsia"/>
                <w:color w:val="auto"/>
                <w:sz w:val="24"/>
              </w:rPr>
              <w:t>设置15m符合《大气污染物综合排放标准》（GB16297-1996）最低允许高度的要求。</w:t>
            </w:r>
          </w:p>
          <w:p w14:paraId="3DA676D5">
            <w:pPr>
              <w:kinsoku w:val="0"/>
              <w:overflowPunct w:val="0"/>
              <w:autoSpaceDE w:val="0"/>
              <w:autoSpaceDN w:val="0"/>
              <w:spacing w:line="360" w:lineRule="auto"/>
              <w:ind w:firstLine="480" w:firstLineChars="200"/>
              <w:rPr>
                <w:rFonts w:hint="eastAsia" w:eastAsia="宋体"/>
                <w:color w:val="auto"/>
                <w:sz w:val="24"/>
                <w:lang w:val="en-US" w:eastAsia="zh-CN"/>
              </w:rPr>
            </w:pPr>
            <w:r>
              <w:rPr>
                <w:rFonts w:hint="eastAsia" w:cs="Times New Roman"/>
                <w:color w:val="auto"/>
                <w:sz w:val="24"/>
                <w:szCs w:val="24"/>
                <w:highlight w:val="none"/>
                <w:lang w:val="en-US" w:eastAsia="zh-CN"/>
              </w:rPr>
              <w:t>本项目一台</w:t>
            </w:r>
            <w:r>
              <w:rPr>
                <w:rFonts w:hint="eastAsia" w:cs="Times New Roman"/>
                <w:bCs/>
                <w:color w:val="auto"/>
                <w:sz w:val="24"/>
                <w:lang w:val="en-US" w:eastAsia="zh-CN"/>
              </w:rPr>
              <w:t>2.5t</w:t>
            </w:r>
            <w:r>
              <w:rPr>
                <w:rFonts w:hint="eastAsia" w:ascii="Times New Roman" w:hAnsi="Times New Roman" w:cs="Times New Roman"/>
                <w:bCs/>
                <w:color w:val="auto"/>
                <w:sz w:val="24"/>
                <w:lang w:val="en-US" w:eastAsia="zh-CN"/>
              </w:rPr>
              <w:t>/h</w:t>
            </w:r>
            <w:r>
              <w:rPr>
                <w:rFonts w:hint="eastAsia" w:ascii="Times New Roman" w:hAnsi="Times New Roman" w:eastAsia="宋体" w:cs="Times New Roman"/>
                <w:bCs/>
                <w:color w:val="auto"/>
                <w:sz w:val="24"/>
                <w:lang w:val="en-US" w:eastAsia="zh-CN"/>
              </w:rPr>
              <w:t>燃</w:t>
            </w:r>
            <w:r>
              <w:rPr>
                <w:rFonts w:hint="eastAsia" w:ascii="Times New Roman" w:hAnsi="Times New Roman" w:cs="Times New Roman"/>
                <w:bCs/>
                <w:color w:val="auto"/>
                <w:sz w:val="24"/>
                <w:lang w:val="en-US" w:eastAsia="zh-CN"/>
              </w:rPr>
              <w:t>生物质</w:t>
            </w:r>
            <w:r>
              <w:rPr>
                <w:rFonts w:hint="eastAsia" w:ascii="Times New Roman" w:hAnsi="Times New Roman" w:eastAsia="宋体" w:cs="Times New Roman"/>
                <w:bCs/>
                <w:color w:val="auto"/>
                <w:sz w:val="24"/>
                <w:lang w:val="en-US" w:eastAsia="zh-CN"/>
              </w:rPr>
              <w:t>锅炉</w:t>
            </w:r>
            <w:r>
              <w:rPr>
                <w:rFonts w:hint="eastAsia" w:cs="Times New Roman"/>
                <w:color w:val="auto"/>
                <w:sz w:val="24"/>
                <w:szCs w:val="24"/>
                <w:highlight w:val="none"/>
                <w:lang w:val="en-US" w:eastAsia="zh-CN"/>
              </w:rPr>
              <w:t>，</w:t>
            </w:r>
            <w:r>
              <w:rPr>
                <w:rFonts w:hint="eastAsia"/>
                <w:color w:val="auto"/>
                <w:sz w:val="24"/>
                <w:szCs w:val="24"/>
                <w:highlight w:val="none"/>
                <w:lang w:val="en-US" w:eastAsia="zh-CN"/>
              </w:rPr>
              <w:t>根据</w:t>
            </w:r>
            <w:r>
              <w:rPr>
                <w:rFonts w:hint="eastAsia" w:ascii="Times New Roman" w:hAnsi="Times New Roman" w:eastAsia="宋体" w:cs="Times New Roman"/>
                <w:color w:val="auto"/>
                <w:sz w:val="24"/>
                <w:szCs w:val="24"/>
                <w:highlight w:val="none"/>
                <w:lang w:val="en-US" w:eastAsia="zh-CN"/>
              </w:rPr>
              <w:t>《锅炉大气污染物排放标准》（GB13271-2014）</w:t>
            </w:r>
            <w:r>
              <w:rPr>
                <w:rFonts w:hint="eastAsia" w:cs="Times New Roman"/>
                <w:color w:val="auto"/>
                <w:sz w:val="24"/>
                <w:szCs w:val="24"/>
                <w:highlight w:val="none"/>
                <w:lang w:val="en-US" w:eastAsia="zh-CN"/>
              </w:rPr>
              <w:t>表4中锅炉房最低允许高度，烟囱最低允许高度为30m，</w:t>
            </w:r>
            <w:r>
              <w:rPr>
                <w:rFonts w:hint="eastAsia" w:ascii="Times New Roman" w:hAnsi="Times New Roman" w:eastAsia="宋体" w:cs="Times New Roman"/>
                <w:color w:val="auto"/>
                <w:sz w:val="24"/>
                <w:szCs w:val="24"/>
                <w:highlight w:val="none"/>
                <w:lang w:val="en-US" w:eastAsia="zh-CN"/>
              </w:rPr>
              <w:t>“4.5 新建锅炉房的烟囱周围半径200m距离内有建筑物时，其烟囱应高出最高建筑物3m以上”，</w:t>
            </w:r>
            <w:r>
              <w:rPr>
                <w:rFonts w:hint="eastAsia" w:cs="Times New Roman"/>
                <w:color w:val="auto"/>
                <w:sz w:val="24"/>
                <w:szCs w:val="24"/>
                <w:highlight w:val="none"/>
                <w:lang w:val="en-US" w:eastAsia="zh-CN"/>
              </w:rPr>
              <w:t>项目周围半径200m范围内最高建筑物8m，</w:t>
            </w:r>
            <w:r>
              <w:rPr>
                <w:rFonts w:hint="eastAsia" w:ascii="Times New Roman" w:hAnsi="Times New Roman" w:eastAsia="宋体" w:cs="Times New Roman"/>
                <w:color w:val="auto"/>
                <w:sz w:val="24"/>
                <w:szCs w:val="24"/>
                <w:highlight w:val="none"/>
                <w:lang w:val="en-US" w:eastAsia="zh-CN"/>
              </w:rPr>
              <w:t>本项目锅炉房烟囱</w:t>
            </w:r>
            <w:r>
              <w:rPr>
                <w:rFonts w:hint="eastAsia" w:cs="Times New Roman"/>
                <w:color w:val="auto"/>
                <w:kern w:val="0"/>
                <w:sz w:val="24"/>
                <w:szCs w:val="24"/>
                <w:highlight w:val="none"/>
                <w:lang w:val="en-US" w:eastAsia="zh-CN" w:bidi="ar-SA"/>
              </w:rPr>
              <w:t>（DA002）</w:t>
            </w:r>
            <w:r>
              <w:rPr>
                <w:rFonts w:hint="eastAsia" w:ascii="Times New Roman" w:hAnsi="Times New Roman" w:eastAsia="宋体" w:cs="Times New Roman"/>
                <w:color w:val="auto"/>
                <w:sz w:val="24"/>
                <w:szCs w:val="24"/>
                <w:highlight w:val="none"/>
                <w:lang w:val="en-US" w:eastAsia="zh-CN"/>
              </w:rPr>
              <w:t>高</w:t>
            </w:r>
            <w:r>
              <w:rPr>
                <w:rFonts w:hint="eastAsia" w:cs="Times New Roman"/>
                <w:color w:val="auto"/>
                <w:sz w:val="24"/>
                <w:szCs w:val="24"/>
                <w:highlight w:val="none"/>
                <w:lang w:val="en-US" w:eastAsia="zh-CN"/>
              </w:rPr>
              <w:t>30</w:t>
            </w:r>
            <w:r>
              <w:rPr>
                <w:rFonts w:hint="eastAsia" w:ascii="Times New Roman" w:hAnsi="Times New Roman" w:eastAsia="宋体" w:cs="Times New Roman"/>
                <w:color w:val="auto"/>
                <w:sz w:val="24"/>
                <w:szCs w:val="24"/>
                <w:highlight w:val="none"/>
                <w:lang w:val="en-US" w:eastAsia="zh-CN"/>
              </w:rPr>
              <w:t>m符合《锅炉大气污染物排放标准》（GB13271-2014）</w:t>
            </w:r>
            <w:r>
              <w:rPr>
                <w:rFonts w:hint="eastAsia"/>
                <w:color w:val="auto"/>
                <w:sz w:val="24"/>
                <w:szCs w:val="24"/>
                <w:highlight w:val="none"/>
                <w:lang w:val="en-US" w:eastAsia="zh-CN"/>
              </w:rPr>
              <w:t>最低允许高度的要求。</w:t>
            </w:r>
          </w:p>
          <w:p w14:paraId="3622831A">
            <w:pPr>
              <w:keepNext w:val="0"/>
              <w:keepLines w:val="0"/>
              <w:pageBreakBefore w:val="0"/>
              <w:numPr>
                <w:ilvl w:val="0"/>
                <w:numId w:val="0"/>
              </w:numPr>
              <w:suppressLineNumbers w:val="0"/>
              <w:tabs>
                <w:tab w:val="left" w:pos="1291"/>
              </w:tabs>
              <w:wordWrap/>
              <w:topLinePunct w:val="0"/>
              <w:bidi w:val="0"/>
              <w:spacing w:before="0" w:beforeAutospacing="0" w:after="0" w:afterAutospacing="0" w:line="360" w:lineRule="auto"/>
              <w:ind w:left="0" w:leftChars="0" w:right="0" w:rightChars="0" w:firstLine="480" w:firstLineChars="200"/>
              <w:jc w:val="left"/>
              <w:rPr>
                <w:rFonts w:hint="default" w:ascii="Times New Roman" w:hAnsi="Times New Roman" w:cs="Times New Roman" w:eastAsiaTheme="minorEastAsia"/>
                <w:color w:val="auto"/>
                <w:sz w:val="24"/>
                <w:szCs w:val="28"/>
                <w:highlight w:val="none"/>
              </w:rPr>
            </w:pPr>
            <w:r>
              <w:rPr>
                <w:rFonts w:hint="eastAsia" w:cs="Times New Roman" w:eastAsiaTheme="minorEastAsia"/>
                <w:color w:val="auto"/>
                <w:sz w:val="24"/>
                <w:szCs w:val="28"/>
                <w:highlight w:val="none"/>
                <w:lang w:val="en-US" w:eastAsia="zh-CN"/>
              </w:rPr>
              <w:t>（3）</w:t>
            </w:r>
            <w:r>
              <w:rPr>
                <w:rFonts w:hint="default" w:ascii="Times New Roman" w:hAnsi="Times New Roman" w:cs="Times New Roman" w:eastAsiaTheme="minorEastAsia"/>
                <w:color w:val="auto"/>
                <w:sz w:val="24"/>
                <w:szCs w:val="28"/>
                <w:highlight w:val="none"/>
              </w:rPr>
              <w:t>排放口基本情况</w:t>
            </w:r>
          </w:p>
          <w:p w14:paraId="145841F3">
            <w:pPr>
              <w:pStyle w:val="42"/>
              <w:keepNext w:val="0"/>
              <w:keepLines w:val="0"/>
              <w:pageBreakBefore w:val="0"/>
              <w:numPr>
                <w:ilvl w:val="0"/>
                <w:numId w:val="0"/>
              </w:numPr>
              <w:suppressLineNumbers w:val="0"/>
              <w:wordWrap/>
              <w:topLinePunct w:val="0"/>
              <w:bidi w:val="0"/>
              <w:spacing w:before="0" w:beforeAutospacing="0" w:after="0" w:afterAutospacing="0" w:line="360" w:lineRule="auto"/>
              <w:ind w:left="0" w:leftChars="0" w:right="0" w:rightChars="0" w:firstLine="480" w:firstLineChars="200"/>
              <w:jc w:val="left"/>
              <w:rPr>
                <w:rFonts w:hint="default" w:ascii="Times New Roman" w:hAnsi="Times New Roman" w:cs="Times New Roman" w:eastAsiaTheme="minorEastAsia"/>
                <w:color w:val="auto"/>
                <w:highlight w:val="none"/>
                <w:lang w:eastAsia="zh-CN"/>
              </w:rPr>
            </w:pPr>
            <w:r>
              <w:rPr>
                <w:rFonts w:hint="default" w:ascii="Times New Roman" w:hAnsi="Times New Roman" w:cs="Times New Roman" w:eastAsiaTheme="minorEastAsia"/>
                <w:color w:val="auto"/>
                <w:highlight w:val="none"/>
                <w:lang w:val="en-US" w:eastAsia="zh-CN"/>
              </w:rPr>
              <w:t>废气产排污节点、污染物及污染治理设施信息</w:t>
            </w:r>
            <w:r>
              <w:rPr>
                <w:rFonts w:hint="eastAsia" w:ascii="Times New Roman" w:hAnsi="Times New Roman" w:cs="Times New Roman" w:eastAsiaTheme="minorEastAsia"/>
                <w:color w:val="auto"/>
                <w:highlight w:val="none"/>
                <w:lang w:val="en-US" w:eastAsia="zh-CN"/>
              </w:rPr>
              <w:t>，</w:t>
            </w:r>
            <w:r>
              <w:rPr>
                <w:rFonts w:hint="default" w:ascii="Times New Roman" w:hAnsi="Times New Roman" w:cs="Times New Roman" w:eastAsiaTheme="minorEastAsia"/>
                <w:color w:val="auto"/>
                <w:highlight w:val="none"/>
                <w:lang w:eastAsia="zh-CN"/>
              </w:rPr>
              <w:t>大气排放口基本情况</w:t>
            </w:r>
            <w:r>
              <w:rPr>
                <w:rFonts w:hint="eastAsia" w:ascii="Times New Roman" w:hAnsi="Times New Roman" w:cs="Times New Roman" w:eastAsiaTheme="minorEastAsia"/>
                <w:color w:val="auto"/>
                <w:highlight w:val="none"/>
                <w:lang w:eastAsia="zh-CN"/>
              </w:rPr>
              <w:t>见表</w:t>
            </w:r>
            <w:r>
              <w:rPr>
                <w:rFonts w:hint="eastAsia" w:ascii="Times New Roman" w:hAnsi="Times New Roman" w:cs="Times New Roman" w:eastAsiaTheme="minorEastAsia"/>
                <w:color w:val="auto"/>
                <w:highlight w:val="none"/>
                <w:lang w:val="en-US" w:eastAsia="zh-CN"/>
              </w:rPr>
              <w:t>4-7</w:t>
            </w:r>
            <w:r>
              <w:rPr>
                <w:rFonts w:hint="default" w:ascii="Times New Roman" w:hAnsi="Times New Roman" w:cs="Times New Roman" w:eastAsiaTheme="minorEastAsia"/>
                <w:color w:val="auto"/>
                <w:highlight w:val="none"/>
                <w:lang w:eastAsia="zh-CN"/>
              </w:rPr>
              <w:t>。</w:t>
            </w:r>
          </w:p>
          <w:p w14:paraId="08B44A9A">
            <w:pPr>
              <w:keepNext w:val="0"/>
              <w:keepLines w:val="0"/>
              <w:pageBreakBefore w:val="0"/>
              <w:suppressLineNumbers w:val="0"/>
              <w:kinsoku w:val="0"/>
              <w:wordWrap/>
              <w:overflowPunct w:val="0"/>
              <w:topLinePunct w:val="0"/>
              <w:autoSpaceDE w:val="0"/>
              <w:autoSpaceDN w:val="0"/>
              <w:bidi w:val="0"/>
              <w:snapToGrid w:val="0"/>
              <w:spacing w:before="0" w:beforeAutospacing="0" w:after="0" w:afterAutospacing="0" w:line="240" w:lineRule="auto"/>
              <w:ind w:left="0" w:leftChars="0" w:right="0" w:rightChars="0" w:firstLine="422" w:firstLineChars="200"/>
              <w:jc w:val="center"/>
              <w:rPr>
                <w:rFonts w:hint="default" w:ascii="Times New Roman" w:hAnsi="Times New Roman" w:cs="Times New Roman" w:eastAsiaTheme="minorEastAsia"/>
                <w:b/>
                <w:bCs/>
                <w:color w:val="auto"/>
                <w:kern w:val="2"/>
                <w:sz w:val="21"/>
                <w:szCs w:val="24"/>
                <w:highlight w:val="none"/>
                <w:lang w:val="en-US" w:eastAsia="zh-CN" w:bidi="ar-SA"/>
              </w:rPr>
            </w:pPr>
            <w:r>
              <w:rPr>
                <w:rFonts w:hint="default" w:ascii="Times New Roman" w:hAnsi="Times New Roman" w:cs="Times New Roman" w:eastAsiaTheme="minorEastAsia"/>
                <w:b/>
                <w:bCs/>
                <w:color w:val="auto"/>
                <w:kern w:val="2"/>
                <w:sz w:val="21"/>
                <w:szCs w:val="24"/>
                <w:highlight w:val="none"/>
                <w:lang w:val="en-US" w:eastAsia="zh-CN" w:bidi="ar-SA"/>
              </w:rPr>
              <w:t>表4-</w:t>
            </w:r>
            <w:r>
              <w:rPr>
                <w:rFonts w:hint="eastAsia" w:cs="Times New Roman" w:eastAsiaTheme="minorEastAsia"/>
                <w:b/>
                <w:bCs/>
                <w:color w:val="auto"/>
                <w:kern w:val="2"/>
                <w:sz w:val="21"/>
                <w:szCs w:val="24"/>
                <w:highlight w:val="none"/>
                <w:lang w:val="en-US" w:eastAsia="zh-CN" w:bidi="ar-SA"/>
              </w:rPr>
              <w:t xml:space="preserve">7  </w:t>
            </w:r>
            <w:r>
              <w:rPr>
                <w:rFonts w:hint="default" w:ascii="Times New Roman" w:hAnsi="Times New Roman" w:cs="Times New Roman" w:eastAsiaTheme="minorEastAsia"/>
                <w:b/>
                <w:bCs/>
                <w:color w:val="auto"/>
                <w:kern w:val="2"/>
                <w:sz w:val="21"/>
                <w:szCs w:val="24"/>
                <w:highlight w:val="none"/>
                <w:lang w:val="en-US" w:eastAsia="zh-CN" w:bidi="ar-SA"/>
              </w:rPr>
              <w:t>大气排放口基本情况表</w:t>
            </w:r>
          </w:p>
          <w:tbl>
            <w:tblPr>
              <w:tblStyle w:val="31"/>
              <w:tblW w:w="8152"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405"/>
              <w:gridCol w:w="641"/>
              <w:gridCol w:w="643"/>
              <w:gridCol w:w="1098"/>
              <w:gridCol w:w="1312"/>
              <w:gridCol w:w="1160"/>
              <w:gridCol w:w="785"/>
              <w:gridCol w:w="832"/>
              <w:gridCol w:w="782"/>
              <w:gridCol w:w="494"/>
            </w:tblGrid>
            <w:tr w14:paraId="3CF82D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71" w:hRule="atLeast"/>
                <w:tblHeader/>
                <w:jc w:val="center"/>
              </w:trPr>
              <w:tc>
                <w:tcPr>
                  <w:tcW w:w="248" w:type="pct"/>
                  <w:vMerge w:val="restart"/>
                  <w:noWrap/>
                  <w:vAlign w:val="center"/>
                </w:tcPr>
                <w:p w14:paraId="2C1D4022">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序号</w:t>
                  </w:r>
                </w:p>
              </w:tc>
              <w:tc>
                <w:tcPr>
                  <w:tcW w:w="393" w:type="pct"/>
                  <w:vMerge w:val="restart"/>
                  <w:noWrap/>
                  <w:vAlign w:val="center"/>
                </w:tcPr>
                <w:p w14:paraId="6468267F">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排放口编号</w:t>
                  </w:r>
                </w:p>
              </w:tc>
              <w:tc>
                <w:tcPr>
                  <w:tcW w:w="394" w:type="pct"/>
                  <w:vMerge w:val="restart"/>
                  <w:noWrap/>
                  <w:vAlign w:val="center"/>
                </w:tcPr>
                <w:p w14:paraId="449E0FA1">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排放口名称</w:t>
                  </w:r>
                </w:p>
              </w:tc>
              <w:tc>
                <w:tcPr>
                  <w:tcW w:w="673" w:type="pct"/>
                  <w:vMerge w:val="restart"/>
                  <w:noWrap/>
                  <w:vAlign w:val="center"/>
                </w:tcPr>
                <w:p w14:paraId="77FDED3C">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污染物种类</w:t>
                  </w:r>
                </w:p>
              </w:tc>
              <w:tc>
                <w:tcPr>
                  <w:tcW w:w="1516" w:type="pct"/>
                  <w:gridSpan w:val="2"/>
                  <w:noWrap/>
                  <w:vAlign w:val="center"/>
                </w:tcPr>
                <w:p w14:paraId="31E8FCBB">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排放口地理坐标（1）</w:t>
                  </w:r>
                </w:p>
              </w:tc>
              <w:tc>
                <w:tcPr>
                  <w:tcW w:w="481" w:type="pct"/>
                  <w:vMerge w:val="restart"/>
                  <w:noWrap/>
                  <w:vAlign w:val="center"/>
                </w:tcPr>
                <w:p w14:paraId="0A70715C">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排气筒高度</w:t>
                  </w:r>
                </w:p>
                <w:p w14:paraId="3AC8531D">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（m）</w:t>
                  </w:r>
                </w:p>
              </w:tc>
              <w:tc>
                <w:tcPr>
                  <w:tcW w:w="510" w:type="pct"/>
                  <w:vMerge w:val="restart"/>
                  <w:noWrap/>
                  <w:vAlign w:val="center"/>
                </w:tcPr>
                <w:p w14:paraId="613370C8">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排气筒出口内径</w:t>
                  </w:r>
                </w:p>
                <w:p w14:paraId="4F36469B">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（m）</w:t>
                  </w:r>
                </w:p>
              </w:tc>
              <w:tc>
                <w:tcPr>
                  <w:tcW w:w="479" w:type="pct"/>
                  <w:vMerge w:val="restart"/>
                  <w:noWrap/>
                  <w:vAlign w:val="center"/>
                </w:tcPr>
                <w:p w14:paraId="5AF92383">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排气温度（℃）</w:t>
                  </w:r>
                </w:p>
              </w:tc>
              <w:tc>
                <w:tcPr>
                  <w:tcW w:w="302" w:type="pct"/>
                  <w:vMerge w:val="restart"/>
                  <w:noWrap/>
                  <w:vAlign w:val="center"/>
                </w:tcPr>
                <w:p w14:paraId="5200B254">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其他信息</w:t>
                  </w:r>
                </w:p>
              </w:tc>
            </w:tr>
            <w:tr w14:paraId="7D3BBE3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43" w:hRule="atLeast"/>
                <w:tblHeader/>
                <w:jc w:val="center"/>
              </w:trPr>
              <w:tc>
                <w:tcPr>
                  <w:tcW w:w="248" w:type="pct"/>
                  <w:vMerge w:val="continue"/>
                  <w:noWrap/>
                  <w:vAlign w:val="center"/>
                </w:tcPr>
                <w:p w14:paraId="063EFDC7">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p>
              </w:tc>
              <w:tc>
                <w:tcPr>
                  <w:tcW w:w="393" w:type="pct"/>
                  <w:vMerge w:val="continue"/>
                  <w:noWrap/>
                  <w:vAlign w:val="center"/>
                </w:tcPr>
                <w:p w14:paraId="42A433A6">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p>
              </w:tc>
              <w:tc>
                <w:tcPr>
                  <w:tcW w:w="394" w:type="pct"/>
                  <w:vMerge w:val="continue"/>
                  <w:noWrap/>
                  <w:vAlign w:val="center"/>
                </w:tcPr>
                <w:p w14:paraId="0AC3FEDE">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p>
              </w:tc>
              <w:tc>
                <w:tcPr>
                  <w:tcW w:w="673" w:type="pct"/>
                  <w:vMerge w:val="continue"/>
                  <w:noWrap/>
                  <w:vAlign w:val="center"/>
                </w:tcPr>
                <w:p w14:paraId="7685B48C">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p>
              </w:tc>
              <w:tc>
                <w:tcPr>
                  <w:tcW w:w="804" w:type="pct"/>
                  <w:noWrap/>
                  <w:vAlign w:val="center"/>
                </w:tcPr>
                <w:p w14:paraId="404C5CF8">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经度</w:t>
                  </w:r>
                </w:p>
              </w:tc>
              <w:tc>
                <w:tcPr>
                  <w:tcW w:w="711" w:type="pct"/>
                  <w:noWrap/>
                  <w:vAlign w:val="center"/>
                </w:tcPr>
                <w:p w14:paraId="068CEDB7">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纬度</w:t>
                  </w:r>
                </w:p>
              </w:tc>
              <w:tc>
                <w:tcPr>
                  <w:tcW w:w="481" w:type="pct"/>
                  <w:vMerge w:val="continue"/>
                  <w:noWrap/>
                  <w:vAlign w:val="center"/>
                </w:tcPr>
                <w:p w14:paraId="3B7A8FA5">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p>
              </w:tc>
              <w:tc>
                <w:tcPr>
                  <w:tcW w:w="510" w:type="pct"/>
                  <w:vMerge w:val="continue"/>
                  <w:noWrap/>
                  <w:vAlign w:val="center"/>
                </w:tcPr>
                <w:p w14:paraId="2047ECEB">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p>
              </w:tc>
              <w:tc>
                <w:tcPr>
                  <w:tcW w:w="479" w:type="pct"/>
                  <w:vMerge w:val="continue"/>
                  <w:noWrap/>
                  <w:vAlign w:val="center"/>
                </w:tcPr>
                <w:p w14:paraId="4A4E41B1">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p>
              </w:tc>
              <w:tc>
                <w:tcPr>
                  <w:tcW w:w="302" w:type="pct"/>
                  <w:vMerge w:val="continue"/>
                  <w:noWrap/>
                  <w:vAlign w:val="center"/>
                </w:tcPr>
                <w:p w14:paraId="6D93E28A">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p>
              </w:tc>
            </w:tr>
            <w:tr w14:paraId="2CE728E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24" w:hRule="atLeast"/>
                <w:tblHeader/>
                <w:jc w:val="center"/>
              </w:trPr>
              <w:tc>
                <w:tcPr>
                  <w:tcW w:w="248" w:type="pct"/>
                  <w:noWrap/>
                  <w:vAlign w:val="center"/>
                </w:tcPr>
                <w:p w14:paraId="75851324">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1</w:t>
                  </w:r>
                </w:p>
              </w:tc>
              <w:tc>
                <w:tcPr>
                  <w:tcW w:w="393" w:type="pct"/>
                  <w:noWrap/>
                  <w:vAlign w:val="center"/>
                </w:tcPr>
                <w:p w14:paraId="0E390A5B">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rPr>
                    <w:t>DA00</w:t>
                  </w:r>
                  <w:r>
                    <w:rPr>
                      <w:rFonts w:hint="eastAsia" w:ascii="Times New Roman" w:hAnsi="Times New Roman" w:cs="Times New Roman" w:eastAsiaTheme="minorEastAsia"/>
                      <w:color w:val="auto"/>
                      <w:sz w:val="21"/>
                      <w:szCs w:val="21"/>
                      <w:highlight w:val="none"/>
                      <w:lang w:val="en-US" w:eastAsia="zh-CN"/>
                    </w:rPr>
                    <w:t>1</w:t>
                  </w:r>
                </w:p>
              </w:tc>
              <w:tc>
                <w:tcPr>
                  <w:tcW w:w="394" w:type="pct"/>
                  <w:noWrap/>
                  <w:vAlign w:val="center"/>
                </w:tcPr>
                <w:p w14:paraId="7EAB8859">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sz w:val="21"/>
                      <w:szCs w:val="21"/>
                      <w:highlight w:val="none"/>
                      <w:lang w:val="en-US" w:eastAsia="zh-CN"/>
                    </w:rPr>
                    <w:t>排气筒</w:t>
                  </w:r>
                </w:p>
              </w:tc>
              <w:tc>
                <w:tcPr>
                  <w:tcW w:w="673" w:type="pct"/>
                  <w:noWrap/>
                  <w:vAlign w:val="center"/>
                </w:tcPr>
                <w:p w14:paraId="2369755D">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rPr>
                    <w:t>颗粒物</w:t>
                  </w:r>
                  <w:r>
                    <w:rPr>
                      <w:rFonts w:hint="default" w:ascii="Times New Roman" w:hAnsi="Times New Roman" w:cs="Times New Roman" w:eastAsiaTheme="minorEastAsia"/>
                      <w:color w:val="auto"/>
                      <w:sz w:val="21"/>
                      <w:szCs w:val="21"/>
                      <w:highlight w:val="none"/>
                      <w:lang w:eastAsia="zh-CN"/>
                    </w:rPr>
                    <w:t>、</w:t>
                  </w:r>
                  <w:r>
                    <w:rPr>
                      <w:rFonts w:hint="eastAsia" w:ascii="Times New Roman" w:hAnsi="Times New Roman" w:cs="Times New Roman" w:eastAsiaTheme="minorEastAsia"/>
                      <w:color w:val="auto"/>
                      <w:sz w:val="21"/>
                      <w:szCs w:val="21"/>
                      <w:highlight w:val="none"/>
                      <w:lang w:val="en-US" w:eastAsia="zh-CN"/>
                    </w:rPr>
                    <w:t>非甲烷总烃</w:t>
                  </w:r>
                </w:p>
              </w:tc>
              <w:tc>
                <w:tcPr>
                  <w:tcW w:w="804" w:type="pct"/>
                  <w:noWrap/>
                  <w:vAlign w:val="center"/>
                </w:tcPr>
                <w:p w14:paraId="4FDD0322">
                  <w:pPr>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130.90850618</w:t>
                  </w:r>
                </w:p>
              </w:tc>
              <w:tc>
                <w:tcPr>
                  <w:tcW w:w="711" w:type="pct"/>
                  <w:noWrap/>
                  <w:vAlign w:val="center"/>
                </w:tcPr>
                <w:p w14:paraId="6074047A">
                  <w:pPr>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45.31882893</w:t>
                  </w:r>
                </w:p>
              </w:tc>
              <w:tc>
                <w:tcPr>
                  <w:tcW w:w="481" w:type="pct"/>
                  <w:noWrap/>
                  <w:vAlign w:val="center"/>
                </w:tcPr>
                <w:p w14:paraId="1B3A88D7">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15</w:t>
                  </w:r>
                </w:p>
              </w:tc>
              <w:tc>
                <w:tcPr>
                  <w:tcW w:w="510" w:type="pct"/>
                  <w:noWrap/>
                  <w:vAlign w:val="center"/>
                </w:tcPr>
                <w:p w14:paraId="26594594">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sz w:val="21"/>
                      <w:szCs w:val="21"/>
                      <w:highlight w:val="none"/>
                      <w:lang w:val="en-US" w:eastAsia="zh-CN"/>
                    </w:rPr>
                    <w:t>0.8</w:t>
                  </w:r>
                </w:p>
              </w:tc>
              <w:tc>
                <w:tcPr>
                  <w:tcW w:w="479" w:type="pct"/>
                  <w:noWrap/>
                  <w:vAlign w:val="center"/>
                </w:tcPr>
                <w:p w14:paraId="77743C6B">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sz w:val="21"/>
                      <w:szCs w:val="21"/>
                      <w:highlight w:val="none"/>
                      <w:lang w:val="en-US" w:eastAsia="zh-CN"/>
                    </w:rPr>
                    <w:t>20</w:t>
                  </w:r>
                </w:p>
              </w:tc>
              <w:tc>
                <w:tcPr>
                  <w:tcW w:w="302" w:type="pct"/>
                  <w:noWrap/>
                  <w:vAlign w:val="center"/>
                </w:tcPr>
                <w:p w14:paraId="5CDA89C8">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w:t>
                  </w:r>
                </w:p>
              </w:tc>
            </w:tr>
            <w:tr w14:paraId="0F90A5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24" w:hRule="atLeast"/>
                <w:tblHeader/>
                <w:jc w:val="center"/>
              </w:trPr>
              <w:tc>
                <w:tcPr>
                  <w:tcW w:w="248" w:type="pct"/>
                  <w:noWrap/>
                  <w:vAlign w:val="center"/>
                </w:tcPr>
                <w:p w14:paraId="3EA123E6">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2</w:t>
                  </w:r>
                </w:p>
              </w:tc>
              <w:tc>
                <w:tcPr>
                  <w:tcW w:w="393" w:type="pct"/>
                  <w:noWrap/>
                  <w:vAlign w:val="center"/>
                </w:tcPr>
                <w:p w14:paraId="3B8E25C1">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DA002</w:t>
                  </w:r>
                </w:p>
              </w:tc>
              <w:tc>
                <w:tcPr>
                  <w:tcW w:w="394" w:type="pct"/>
                  <w:noWrap/>
                  <w:vAlign w:val="center"/>
                </w:tcPr>
                <w:p w14:paraId="594337F6">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eastAsia"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烟囱</w:t>
                  </w:r>
                </w:p>
              </w:tc>
              <w:tc>
                <w:tcPr>
                  <w:tcW w:w="673" w:type="pct"/>
                  <w:noWrap/>
                  <w:vAlign w:val="center"/>
                </w:tcPr>
                <w:p w14:paraId="7FFFF9C1">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颗粒物</w:t>
                  </w:r>
                  <w:r>
                    <w:rPr>
                      <w:rFonts w:hint="default" w:ascii="Times New Roman" w:hAnsi="Times New Roman"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lang w:val="en-US" w:eastAsia="zh-CN"/>
                    </w:rPr>
                    <w:t>SO</w:t>
                  </w:r>
                  <w:r>
                    <w:rPr>
                      <w:rFonts w:hint="default" w:ascii="Times New Roman" w:hAnsi="Times New Roman" w:cs="Times New Roman" w:eastAsiaTheme="minorEastAsia"/>
                      <w:color w:val="auto"/>
                      <w:sz w:val="21"/>
                      <w:szCs w:val="21"/>
                      <w:highlight w:val="none"/>
                      <w:vertAlign w:val="subscript"/>
                      <w:lang w:val="en-US" w:eastAsia="zh-CN"/>
                    </w:rPr>
                    <w:t>2</w:t>
                  </w:r>
                  <w:r>
                    <w:rPr>
                      <w:rFonts w:hint="default" w:ascii="Times New Roman" w:hAnsi="Times New Roman"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lang w:val="en-US" w:eastAsia="zh-CN"/>
                    </w:rPr>
                    <w:t>NO</w:t>
                  </w:r>
                  <w:r>
                    <w:rPr>
                      <w:rFonts w:hint="eastAsia" w:ascii="Times New Roman" w:hAnsi="Times New Roman" w:cs="Times New Roman" w:eastAsiaTheme="minorEastAsia"/>
                      <w:color w:val="auto"/>
                      <w:sz w:val="21"/>
                      <w:szCs w:val="21"/>
                      <w:highlight w:val="none"/>
                      <w:lang w:val="en-US" w:eastAsia="zh-CN"/>
                    </w:rPr>
                    <w:t>x、烟气黑度</w:t>
                  </w:r>
                </w:p>
              </w:tc>
              <w:tc>
                <w:tcPr>
                  <w:tcW w:w="804" w:type="pct"/>
                  <w:noWrap/>
                  <w:vAlign w:val="center"/>
                </w:tcPr>
                <w:p w14:paraId="609F142D">
                  <w:pPr>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eastAsia"/>
                      <w:color w:val="auto"/>
                    </w:rPr>
                  </w:pPr>
                  <w:r>
                    <w:rPr>
                      <w:rFonts w:hint="eastAsia"/>
                      <w:color w:val="auto"/>
                    </w:rPr>
                    <w:t>130.90847936</w:t>
                  </w:r>
                </w:p>
              </w:tc>
              <w:tc>
                <w:tcPr>
                  <w:tcW w:w="711" w:type="pct"/>
                  <w:noWrap/>
                  <w:vAlign w:val="center"/>
                </w:tcPr>
                <w:p w14:paraId="5401F477">
                  <w:pPr>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eastAsia"/>
                      <w:color w:val="auto"/>
                    </w:rPr>
                  </w:pPr>
                  <w:r>
                    <w:rPr>
                      <w:rFonts w:hint="eastAsia"/>
                      <w:color w:val="auto"/>
                    </w:rPr>
                    <w:t>45.31897548</w:t>
                  </w:r>
                </w:p>
              </w:tc>
              <w:tc>
                <w:tcPr>
                  <w:tcW w:w="481" w:type="pct"/>
                  <w:noWrap/>
                  <w:vAlign w:val="center"/>
                </w:tcPr>
                <w:p w14:paraId="6E5EB861">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30</w:t>
                  </w:r>
                </w:p>
              </w:tc>
              <w:tc>
                <w:tcPr>
                  <w:tcW w:w="510" w:type="pct"/>
                  <w:noWrap/>
                  <w:vAlign w:val="center"/>
                </w:tcPr>
                <w:p w14:paraId="03A71758">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1.0</w:t>
                  </w:r>
                </w:p>
              </w:tc>
              <w:tc>
                <w:tcPr>
                  <w:tcW w:w="479" w:type="pct"/>
                  <w:noWrap/>
                  <w:vAlign w:val="center"/>
                </w:tcPr>
                <w:p w14:paraId="1A432878">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85</w:t>
                  </w:r>
                </w:p>
              </w:tc>
              <w:tc>
                <w:tcPr>
                  <w:tcW w:w="302" w:type="pct"/>
                  <w:noWrap/>
                  <w:vAlign w:val="center"/>
                </w:tcPr>
                <w:p w14:paraId="508E5E7D">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w:t>
                  </w:r>
                </w:p>
              </w:tc>
            </w:tr>
          </w:tbl>
          <w:p w14:paraId="3C48A552">
            <w:pPr>
              <w:pStyle w:val="29"/>
              <w:keepNext w:val="0"/>
              <w:keepLines w:val="0"/>
              <w:pageBreakBefore w:val="0"/>
              <w:widowControl w:val="0"/>
              <w:suppressLineNumbers w:val="0"/>
              <w:wordWrap/>
              <w:bidi w:val="0"/>
              <w:snapToGrid/>
              <w:spacing w:before="0" w:beforeAutospacing="0" w:after="0" w:afterAutospacing="0" w:line="360" w:lineRule="auto"/>
              <w:ind w:left="0" w:leftChars="0" w:right="0" w:firstLine="480" w:firstLineChars="200"/>
              <w:rPr>
                <w:rFonts w:hint="default"/>
                <w:bCs/>
                <w:color w:val="auto"/>
                <w:sz w:val="24"/>
                <w:highlight w:val="none"/>
              </w:rPr>
            </w:pPr>
            <w:r>
              <w:rPr>
                <w:rFonts w:hint="eastAsia"/>
                <w:bCs/>
                <w:color w:val="auto"/>
                <w:sz w:val="24"/>
                <w:highlight w:val="none"/>
                <w:lang w:val="en-US" w:eastAsia="zh-CN"/>
              </w:rPr>
              <w:t>4、</w:t>
            </w:r>
            <w:r>
              <w:rPr>
                <w:rFonts w:hint="default"/>
                <w:bCs/>
                <w:color w:val="auto"/>
                <w:sz w:val="24"/>
                <w:highlight w:val="none"/>
              </w:rPr>
              <w:t>大气监测计划</w:t>
            </w:r>
          </w:p>
          <w:p w14:paraId="272E9923">
            <w:pPr>
              <w:pStyle w:val="125"/>
              <w:ind w:firstLine="480"/>
              <w:rPr>
                <w:rFonts w:ascii="Times New Roman" w:hAnsi="Times New Roman"/>
                <w:color w:val="auto"/>
              </w:rPr>
            </w:pPr>
            <w:r>
              <w:rPr>
                <w:rFonts w:ascii="Times New Roman" w:hAnsi="Times New Roman"/>
                <w:color w:val="auto"/>
              </w:rPr>
              <w:t>本项目运行期污染源监测计划按照《排污单位自行监测技术指南 总则》（HJ 819-2017）</w:t>
            </w:r>
            <w:r>
              <w:rPr>
                <w:rFonts w:hint="eastAsia" w:ascii="Times New Roman" w:hAnsi="Times New Roman"/>
                <w:color w:val="auto"/>
              </w:rPr>
              <w:t>、本项目自行监测计划参照《排污许可证申请与核发技术规范废弃资源加工工业》</w:t>
            </w:r>
            <w:r>
              <w:rPr>
                <w:rFonts w:hint="eastAsia" w:ascii="Times New Roman" w:hAnsi="Times New Roman"/>
                <w:color w:val="auto"/>
                <w:lang w:eastAsia="zh-CN"/>
              </w:rPr>
              <w:t>（</w:t>
            </w:r>
            <w:r>
              <w:rPr>
                <w:rFonts w:hint="eastAsia" w:ascii="Times New Roman" w:hAnsi="Times New Roman"/>
                <w:color w:val="auto"/>
              </w:rPr>
              <w:t>H1034-2019</w:t>
            </w:r>
            <w:r>
              <w:rPr>
                <w:rFonts w:hint="eastAsia" w:ascii="Times New Roman" w:hAnsi="Times New Roman"/>
                <w:color w:val="auto"/>
                <w:lang w:eastAsia="zh-CN"/>
              </w:rPr>
              <w:t>）、</w:t>
            </w:r>
            <w:r>
              <w:rPr>
                <w:rFonts w:hint="eastAsia" w:ascii="Times New Roman" w:hAnsi="Times New Roman" w:cs="Times New Roman"/>
                <w:color w:val="auto"/>
                <w:kern w:val="2"/>
                <w:sz w:val="24"/>
                <w:szCs w:val="24"/>
                <w:highlight w:val="none"/>
                <w:lang w:val="en-US" w:eastAsia="zh-CN" w:bidi="ar-SA"/>
              </w:rPr>
              <w:t>《排污单位自行监测技术指南 火力发电及锅炉》（HJ 820-2017）</w:t>
            </w:r>
            <w:r>
              <w:rPr>
                <w:rFonts w:ascii="Times New Roman" w:hAnsi="Times New Roman"/>
                <w:color w:val="auto"/>
              </w:rPr>
              <w:t>中的监测要求制定，具体监测计划见下表。若企业不具备监测条件进行上述污染源及环境质量监测，可委托有资质的环境监测单位进行监测。</w:t>
            </w:r>
          </w:p>
          <w:p w14:paraId="6F5DEBC6">
            <w:pPr>
              <w:jc w:val="center"/>
              <w:rPr>
                <w:b/>
                <w:bCs/>
                <w:iCs/>
                <w:color w:val="auto"/>
                <w:kern w:val="0"/>
                <w:szCs w:val="21"/>
              </w:rPr>
            </w:pPr>
            <w:r>
              <w:rPr>
                <w:b/>
                <w:bCs/>
                <w:iCs/>
                <w:color w:val="auto"/>
                <w:kern w:val="0"/>
                <w:szCs w:val="21"/>
              </w:rPr>
              <w:t>表4-</w:t>
            </w:r>
            <w:r>
              <w:rPr>
                <w:rFonts w:hint="eastAsia"/>
                <w:b/>
                <w:bCs/>
                <w:iCs/>
                <w:color w:val="auto"/>
                <w:kern w:val="0"/>
                <w:szCs w:val="21"/>
                <w:lang w:val="en-US" w:eastAsia="zh-CN"/>
              </w:rPr>
              <w:t>8</w:t>
            </w:r>
            <w:r>
              <w:rPr>
                <w:b/>
                <w:bCs/>
                <w:iCs/>
                <w:color w:val="auto"/>
                <w:kern w:val="0"/>
                <w:szCs w:val="21"/>
              </w:rPr>
              <w:t xml:space="preserve">  大气监测计划</w:t>
            </w:r>
          </w:p>
          <w:tbl>
            <w:tblPr>
              <w:tblStyle w:val="3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534"/>
              <w:gridCol w:w="1968"/>
              <w:gridCol w:w="1639"/>
              <w:gridCol w:w="1163"/>
              <w:gridCol w:w="2844"/>
            </w:tblGrid>
            <w:tr w14:paraId="5F241C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28" w:type="pct"/>
                  <w:vAlign w:val="center"/>
                </w:tcPr>
                <w:p w14:paraId="1B660406">
                  <w:pPr>
                    <w:pStyle w:val="126"/>
                    <w:snapToGrid w:val="0"/>
                    <w:ind w:firstLine="0" w:firstLineChars="0"/>
                    <w:jc w:val="center"/>
                    <w:rPr>
                      <w:rFonts w:ascii="Times New Roman" w:eastAsia="宋体"/>
                      <w:color w:val="auto"/>
                      <w:sz w:val="21"/>
                      <w:szCs w:val="21"/>
                      <w:lang w:val="zh-CN"/>
                    </w:rPr>
                  </w:pPr>
                  <w:r>
                    <w:rPr>
                      <w:rFonts w:ascii="Times New Roman" w:eastAsia="宋体"/>
                      <w:color w:val="auto"/>
                      <w:sz w:val="21"/>
                      <w:szCs w:val="21"/>
                      <w:lang w:val="zh-CN"/>
                    </w:rPr>
                    <w:t>环境要素</w:t>
                  </w:r>
                </w:p>
              </w:tc>
              <w:tc>
                <w:tcPr>
                  <w:tcW w:w="1207" w:type="pct"/>
                  <w:vAlign w:val="center"/>
                </w:tcPr>
                <w:p w14:paraId="34D2DB50">
                  <w:pPr>
                    <w:pStyle w:val="126"/>
                    <w:snapToGrid w:val="0"/>
                    <w:ind w:firstLine="0" w:firstLineChars="0"/>
                    <w:jc w:val="center"/>
                    <w:rPr>
                      <w:rFonts w:ascii="Times New Roman" w:eastAsia="宋体"/>
                      <w:color w:val="auto"/>
                      <w:sz w:val="21"/>
                      <w:szCs w:val="21"/>
                      <w:lang w:val="zh-CN"/>
                    </w:rPr>
                  </w:pPr>
                  <w:r>
                    <w:rPr>
                      <w:rFonts w:ascii="Times New Roman" w:eastAsia="宋体"/>
                      <w:color w:val="auto"/>
                      <w:sz w:val="21"/>
                      <w:szCs w:val="21"/>
                      <w:lang w:val="zh-CN"/>
                    </w:rPr>
                    <w:t>监测项目</w:t>
                  </w:r>
                </w:p>
              </w:tc>
              <w:tc>
                <w:tcPr>
                  <w:tcW w:w="1005" w:type="pct"/>
                  <w:vAlign w:val="center"/>
                </w:tcPr>
                <w:p w14:paraId="0D6071BA">
                  <w:pPr>
                    <w:pStyle w:val="126"/>
                    <w:snapToGrid w:val="0"/>
                    <w:ind w:firstLine="0" w:firstLineChars="0"/>
                    <w:jc w:val="center"/>
                    <w:rPr>
                      <w:rFonts w:ascii="Times New Roman" w:eastAsia="宋体"/>
                      <w:color w:val="auto"/>
                      <w:sz w:val="21"/>
                      <w:szCs w:val="21"/>
                      <w:lang w:val="zh-CN"/>
                    </w:rPr>
                  </w:pPr>
                  <w:r>
                    <w:rPr>
                      <w:rFonts w:ascii="Times New Roman" w:eastAsia="宋体"/>
                      <w:color w:val="auto"/>
                      <w:sz w:val="21"/>
                      <w:szCs w:val="21"/>
                      <w:lang w:val="zh-CN"/>
                    </w:rPr>
                    <w:t>监测点</w:t>
                  </w:r>
                </w:p>
              </w:tc>
              <w:tc>
                <w:tcPr>
                  <w:tcW w:w="713" w:type="pct"/>
                  <w:vAlign w:val="center"/>
                </w:tcPr>
                <w:p w14:paraId="720096A4">
                  <w:pPr>
                    <w:pStyle w:val="126"/>
                    <w:snapToGrid w:val="0"/>
                    <w:ind w:firstLine="0" w:firstLineChars="0"/>
                    <w:jc w:val="center"/>
                    <w:rPr>
                      <w:rFonts w:ascii="Times New Roman" w:eastAsia="宋体"/>
                      <w:color w:val="auto"/>
                      <w:sz w:val="21"/>
                      <w:szCs w:val="21"/>
                      <w:lang w:val="zh-CN"/>
                    </w:rPr>
                  </w:pPr>
                  <w:r>
                    <w:rPr>
                      <w:rFonts w:ascii="Times New Roman" w:eastAsia="宋体"/>
                      <w:color w:val="auto"/>
                      <w:sz w:val="21"/>
                      <w:szCs w:val="21"/>
                      <w:lang w:val="zh-CN"/>
                    </w:rPr>
                    <w:t>监测时间及频率</w:t>
                  </w:r>
                </w:p>
              </w:tc>
              <w:tc>
                <w:tcPr>
                  <w:tcW w:w="1744" w:type="pct"/>
                  <w:vAlign w:val="center"/>
                </w:tcPr>
                <w:p w14:paraId="749B143F">
                  <w:pPr>
                    <w:pStyle w:val="126"/>
                    <w:snapToGrid w:val="0"/>
                    <w:ind w:firstLine="0" w:firstLineChars="0"/>
                    <w:jc w:val="center"/>
                    <w:rPr>
                      <w:rFonts w:ascii="Times New Roman" w:eastAsia="宋体"/>
                      <w:color w:val="auto"/>
                      <w:sz w:val="21"/>
                      <w:szCs w:val="21"/>
                      <w:lang w:val="zh-CN"/>
                    </w:rPr>
                  </w:pPr>
                  <w:r>
                    <w:rPr>
                      <w:rFonts w:hint="eastAsia" w:ascii="Times New Roman" w:eastAsia="宋体"/>
                      <w:color w:val="auto"/>
                      <w:sz w:val="21"/>
                      <w:szCs w:val="21"/>
                      <w:lang w:val="zh-CN"/>
                    </w:rPr>
                    <w:t>执行标准</w:t>
                  </w:r>
                </w:p>
              </w:tc>
            </w:tr>
            <w:tr w14:paraId="5BB917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28" w:type="pct"/>
                  <w:vMerge w:val="restart"/>
                  <w:vAlign w:val="center"/>
                </w:tcPr>
                <w:p w14:paraId="18974A5E">
                  <w:pPr>
                    <w:pStyle w:val="126"/>
                    <w:snapToGrid w:val="0"/>
                    <w:ind w:firstLine="0" w:firstLineChars="0"/>
                    <w:jc w:val="center"/>
                    <w:rPr>
                      <w:rFonts w:ascii="Times New Roman" w:eastAsia="宋体"/>
                      <w:color w:val="auto"/>
                      <w:sz w:val="21"/>
                      <w:szCs w:val="21"/>
                    </w:rPr>
                  </w:pPr>
                  <w:r>
                    <w:rPr>
                      <w:rFonts w:hint="eastAsia" w:ascii="Times New Roman" w:eastAsia="宋体"/>
                      <w:color w:val="auto"/>
                      <w:sz w:val="21"/>
                      <w:szCs w:val="21"/>
                      <w:lang w:val="zh-CN"/>
                    </w:rPr>
                    <w:t>废气</w:t>
                  </w:r>
                </w:p>
              </w:tc>
              <w:tc>
                <w:tcPr>
                  <w:tcW w:w="1207" w:type="pct"/>
                  <w:vAlign w:val="center"/>
                </w:tcPr>
                <w:p w14:paraId="71952B88">
                  <w:pPr>
                    <w:pStyle w:val="124"/>
                    <w:kinsoku w:val="0"/>
                    <w:overflowPunct w:val="0"/>
                    <w:autoSpaceDE w:val="0"/>
                    <w:autoSpaceDN w:val="0"/>
                    <w:spacing w:line="360" w:lineRule="auto"/>
                    <w:jc w:val="center"/>
                    <w:rPr>
                      <w:rFonts w:hint="default" w:ascii="Times New Roman" w:hAnsi="Times New Roman" w:eastAsiaTheme="minorEastAsia"/>
                      <w:color w:val="auto"/>
                      <w:szCs w:val="21"/>
                      <w:lang w:val="en-US" w:eastAsia="zh-CN"/>
                    </w:rPr>
                  </w:pPr>
                  <w:r>
                    <w:rPr>
                      <w:rFonts w:hint="eastAsia" w:ascii="Times New Roman" w:hAnsi="Times New Roman" w:eastAsiaTheme="minorEastAsia"/>
                      <w:color w:val="auto"/>
                      <w:szCs w:val="21"/>
                    </w:rPr>
                    <w:t>颗粒物、非甲烷总烃</w:t>
                  </w:r>
                </w:p>
              </w:tc>
              <w:tc>
                <w:tcPr>
                  <w:tcW w:w="1005" w:type="pct"/>
                  <w:vAlign w:val="center"/>
                </w:tcPr>
                <w:p w14:paraId="2840282B">
                  <w:pPr>
                    <w:pStyle w:val="124"/>
                    <w:kinsoku w:val="0"/>
                    <w:overflowPunct w:val="0"/>
                    <w:autoSpaceDE w:val="0"/>
                    <w:autoSpaceDN w:val="0"/>
                    <w:spacing w:line="360" w:lineRule="auto"/>
                    <w:jc w:val="center"/>
                    <w:rPr>
                      <w:rFonts w:hint="eastAsia" w:ascii="Times New Roman" w:hAnsi="Times New Roman" w:eastAsiaTheme="minorEastAsia"/>
                      <w:color w:val="auto"/>
                      <w:szCs w:val="21"/>
                      <w:lang w:val="zh-CN" w:eastAsia="zh-CN"/>
                    </w:rPr>
                  </w:pPr>
                  <w:r>
                    <w:rPr>
                      <w:rFonts w:ascii="Times New Roman" w:hAnsi="Times New Roman" w:eastAsiaTheme="minorEastAsia"/>
                      <w:color w:val="auto"/>
                      <w:szCs w:val="21"/>
                    </w:rPr>
                    <w:t>DA00</w:t>
                  </w:r>
                  <w:r>
                    <w:rPr>
                      <w:rFonts w:hint="eastAsia" w:ascii="Times New Roman" w:hAnsi="Times New Roman" w:eastAsiaTheme="minorEastAsia"/>
                      <w:color w:val="auto"/>
                      <w:szCs w:val="21"/>
                      <w:lang w:val="en-US" w:eastAsia="zh-CN"/>
                    </w:rPr>
                    <w:t>1</w:t>
                  </w:r>
                </w:p>
              </w:tc>
              <w:tc>
                <w:tcPr>
                  <w:tcW w:w="713" w:type="pct"/>
                  <w:vAlign w:val="center"/>
                </w:tcPr>
                <w:p w14:paraId="108457E2">
                  <w:pPr>
                    <w:pStyle w:val="126"/>
                    <w:snapToGrid w:val="0"/>
                    <w:ind w:firstLine="0" w:firstLineChars="0"/>
                    <w:jc w:val="center"/>
                    <w:rPr>
                      <w:rFonts w:ascii="Times New Roman" w:eastAsia="宋体"/>
                      <w:color w:val="auto"/>
                      <w:sz w:val="21"/>
                      <w:szCs w:val="21"/>
                    </w:rPr>
                  </w:pPr>
                  <w:r>
                    <w:rPr>
                      <w:rFonts w:ascii="Times New Roman" w:eastAsia="宋体"/>
                      <w:color w:val="auto"/>
                      <w:sz w:val="21"/>
                      <w:szCs w:val="21"/>
                    </w:rPr>
                    <w:t>1次</w:t>
                  </w:r>
                  <w:r>
                    <w:rPr>
                      <w:rFonts w:hint="eastAsia" w:ascii="Times New Roman" w:eastAsia="宋体"/>
                      <w:color w:val="auto"/>
                      <w:sz w:val="21"/>
                      <w:szCs w:val="21"/>
                      <w:lang w:val="en-US" w:eastAsia="zh-CN"/>
                    </w:rPr>
                    <w:t>/</w:t>
                  </w:r>
                  <w:r>
                    <w:rPr>
                      <w:rFonts w:hint="eastAsia" w:ascii="Times New Roman" w:eastAsia="宋体"/>
                      <w:color w:val="auto"/>
                      <w:sz w:val="21"/>
                      <w:szCs w:val="21"/>
                    </w:rPr>
                    <w:t>年</w:t>
                  </w:r>
                </w:p>
              </w:tc>
              <w:tc>
                <w:tcPr>
                  <w:tcW w:w="1744" w:type="pct"/>
                  <w:vAlign w:val="center"/>
                </w:tcPr>
                <w:p w14:paraId="43C967BE">
                  <w:pPr>
                    <w:pStyle w:val="126"/>
                    <w:snapToGrid w:val="0"/>
                    <w:ind w:firstLine="0" w:firstLineChars="0"/>
                    <w:jc w:val="center"/>
                    <w:rPr>
                      <w:rFonts w:ascii="Times New Roman" w:eastAsia="宋体"/>
                      <w:color w:val="auto"/>
                      <w:sz w:val="21"/>
                      <w:szCs w:val="21"/>
                    </w:rPr>
                  </w:pPr>
                  <w:r>
                    <w:rPr>
                      <w:rFonts w:hint="eastAsia" w:ascii="Times New Roman" w:eastAsia="宋体"/>
                      <w:color w:val="auto"/>
                      <w:sz w:val="21"/>
                      <w:szCs w:val="21"/>
                    </w:rPr>
                    <w:t>《大气污染物综合排放标准》（GB16297-1996）表2中二级标准限值</w:t>
                  </w:r>
                </w:p>
              </w:tc>
            </w:tr>
            <w:tr w14:paraId="7D1653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28" w:type="pct"/>
                  <w:vMerge w:val="continue"/>
                  <w:vAlign w:val="center"/>
                </w:tcPr>
                <w:p w14:paraId="7BD7E116">
                  <w:pPr>
                    <w:pStyle w:val="126"/>
                    <w:snapToGrid w:val="0"/>
                    <w:ind w:firstLine="0" w:firstLineChars="0"/>
                    <w:jc w:val="center"/>
                    <w:rPr>
                      <w:rFonts w:hint="eastAsia" w:ascii="Times New Roman" w:eastAsia="宋体"/>
                      <w:color w:val="auto"/>
                      <w:sz w:val="21"/>
                      <w:szCs w:val="21"/>
                      <w:lang w:val="zh-CN"/>
                    </w:rPr>
                  </w:pPr>
                </w:p>
              </w:tc>
              <w:tc>
                <w:tcPr>
                  <w:tcW w:w="1207" w:type="pct"/>
                  <w:vAlign w:val="center"/>
                </w:tcPr>
                <w:p w14:paraId="389BECCA">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eastAsia" w:ascii="Times New Roman" w:hAnsi="Times New Roman" w:eastAsiaTheme="minorEastAsia"/>
                      <w:color w:val="auto"/>
                      <w:szCs w:val="21"/>
                    </w:rPr>
                  </w:pPr>
                  <w:r>
                    <w:rPr>
                      <w:rFonts w:hint="default" w:ascii="Times New Roman" w:hAnsi="Times New Roman" w:cs="Times New Roman" w:eastAsiaTheme="minorEastAsia"/>
                      <w:color w:val="auto"/>
                      <w:sz w:val="21"/>
                      <w:szCs w:val="21"/>
                      <w:highlight w:val="none"/>
                    </w:rPr>
                    <w:t>颗粒物</w:t>
                  </w:r>
                  <w:r>
                    <w:rPr>
                      <w:rFonts w:hint="default" w:ascii="Times New Roman" w:hAnsi="Times New Roman"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lang w:val="en-US" w:eastAsia="zh-CN"/>
                    </w:rPr>
                    <w:t>SO</w:t>
                  </w:r>
                  <w:r>
                    <w:rPr>
                      <w:rFonts w:hint="default" w:ascii="Times New Roman" w:hAnsi="Times New Roman" w:cs="Times New Roman" w:eastAsiaTheme="minorEastAsia"/>
                      <w:color w:val="auto"/>
                      <w:sz w:val="21"/>
                      <w:szCs w:val="21"/>
                      <w:highlight w:val="none"/>
                      <w:vertAlign w:val="subscript"/>
                      <w:lang w:val="en-US" w:eastAsia="zh-CN"/>
                    </w:rPr>
                    <w:t>2</w:t>
                  </w:r>
                  <w:r>
                    <w:rPr>
                      <w:rFonts w:hint="default" w:ascii="Times New Roman" w:hAnsi="Times New Roman"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lang w:val="en-US" w:eastAsia="zh-CN"/>
                    </w:rPr>
                    <w:t>NO</w:t>
                  </w:r>
                  <w:r>
                    <w:rPr>
                      <w:rFonts w:hint="eastAsia" w:ascii="Times New Roman" w:hAnsi="Times New Roman" w:cs="Times New Roman" w:eastAsiaTheme="minorEastAsia"/>
                      <w:color w:val="auto"/>
                      <w:sz w:val="21"/>
                      <w:szCs w:val="21"/>
                      <w:highlight w:val="none"/>
                      <w:lang w:val="en-US" w:eastAsia="zh-CN"/>
                    </w:rPr>
                    <w:t>x、烟气黑度</w:t>
                  </w:r>
                </w:p>
              </w:tc>
              <w:tc>
                <w:tcPr>
                  <w:tcW w:w="1005" w:type="pct"/>
                  <w:vAlign w:val="center"/>
                </w:tcPr>
                <w:p w14:paraId="1DF2AA40">
                  <w:pPr>
                    <w:pStyle w:val="124"/>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ascii="Times New Roman" w:hAnsi="Times New Roman" w:eastAsiaTheme="minorEastAsia"/>
                      <w:color w:val="auto"/>
                      <w:szCs w:val="21"/>
                    </w:rPr>
                  </w:pPr>
                  <w:r>
                    <w:rPr>
                      <w:rFonts w:hint="default" w:ascii="Times New Roman" w:hAnsi="Times New Roman" w:cs="Times New Roman" w:eastAsiaTheme="minorEastAsia"/>
                      <w:color w:val="auto"/>
                      <w:sz w:val="21"/>
                      <w:szCs w:val="21"/>
                      <w:highlight w:val="none"/>
                    </w:rPr>
                    <w:t>DA00</w:t>
                  </w:r>
                  <w:r>
                    <w:rPr>
                      <w:rFonts w:hint="eastAsia" w:ascii="Times New Roman" w:hAnsi="Times New Roman" w:cs="Times New Roman" w:eastAsiaTheme="minorEastAsia"/>
                      <w:color w:val="auto"/>
                      <w:sz w:val="21"/>
                      <w:szCs w:val="21"/>
                      <w:highlight w:val="none"/>
                      <w:lang w:val="en-US" w:eastAsia="zh-CN"/>
                    </w:rPr>
                    <w:t>1</w:t>
                  </w:r>
                </w:p>
              </w:tc>
              <w:tc>
                <w:tcPr>
                  <w:tcW w:w="713" w:type="pct"/>
                  <w:vAlign w:val="center"/>
                </w:tcPr>
                <w:p w14:paraId="2FAE0F54">
                  <w:pPr>
                    <w:pStyle w:val="126"/>
                    <w:keepNext w:val="0"/>
                    <w:keepLines w:val="0"/>
                    <w:pageBreakBefore w:val="0"/>
                    <w:suppressLineNumbers w:val="0"/>
                    <w:wordWrap/>
                    <w:bidi w:val="0"/>
                    <w:snapToGrid w:val="0"/>
                    <w:spacing w:before="0" w:beforeAutospacing="0" w:after="0" w:afterAutospacing="0" w:line="360" w:lineRule="auto"/>
                    <w:ind w:left="0" w:leftChars="0" w:right="0" w:rightChars="0" w:firstLine="0" w:firstLineChars="0"/>
                    <w:jc w:val="center"/>
                    <w:rPr>
                      <w:rFonts w:hint="eastAsia" w:ascii="Times New Roman" w:eastAsia="宋体"/>
                      <w:color w:val="auto"/>
                      <w:sz w:val="21"/>
                      <w:szCs w:val="21"/>
                      <w:lang w:val="en-US" w:eastAsia="zh-CN"/>
                    </w:rPr>
                  </w:pPr>
                  <w:r>
                    <w:rPr>
                      <w:rFonts w:hint="default" w:ascii="Times New Roman" w:hAnsi="Times New Roman" w:cs="Times New Roman" w:eastAsiaTheme="minorEastAsia"/>
                      <w:color w:val="auto"/>
                      <w:sz w:val="21"/>
                      <w:szCs w:val="21"/>
                      <w:highlight w:val="none"/>
                      <w:lang w:val="en-US" w:eastAsia="zh-CN"/>
                    </w:rPr>
                    <w:t>1</w:t>
                  </w:r>
                  <w:r>
                    <w:rPr>
                      <w:rFonts w:hint="default" w:ascii="Times New Roman" w:hAnsi="Times New Roman" w:cs="Times New Roman" w:eastAsiaTheme="minorEastAsia"/>
                      <w:color w:val="auto"/>
                      <w:sz w:val="21"/>
                      <w:szCs w:val="21"/>
                      <w:highlight w:val="none"/>
                      <w:lang w:val="en-US"/>
                    </w:rPr>
                    <w:t>次</w:t>
                  </w:r>
                  <w:r>
                    <w:rPr>
                      <w:rFonts w:hint="eastAsia" w:ascii="Times New Roman" w:cs="Times New Roman" w:eastAsiaTheme="minorEastAsia"/>
                      <w:color w:val="auto"/>
                      <w:sz w:val="21"/>
                      <w:szCs w:val="21"/>
                      <w:highlight w:val="none"/>
                      <w:lang w:val="en-US" w:eastAsia="zh-CN"/>
                    </w:rPr>
                    <w:t>/月</w:t>
                  </w:r>
                </w:p>
              </w:tc>
              <w:tc>
                <w:tcPr>
                  <w:tcW w:w="1744" w:type="pct"/>
                  <w:vAlign w:val="center"/>
                </w:tcPr>
                <w:p w14:paraId="7AA0FAA7">
                  <w:pPr>
                    <w:pStyle w:val="126"/>
                    <w:keepNext w:val="0"/>
                    <w:keepLines w:val="0"/>
                    <w:pageBreakBefore w:val="0"/>
                    <w:suppressLineNumbers w:val="0"/>
                    <w:wordWrap/>
                    <w:bidi w:val="0"/>
                    <w:snapToGrid w:val="0"/>
                    <w:spacing w:before="0" w:beforeAutospacing="0" w:after="0" w:afterAutospacing="0" w:line="360" w:lineRule="auto"/>
                    <w:ind w:left="0" w:leftChars="0" w:right="0" w:rightChars="0" w:firstLine="0" w:firstLineChars="0"/>
                    <w:jc w:val="center"/>
                    <w:rPr>
                      <w:rFonts w:hint="eastAsia" w:ascii="Times New Roman" w:eastAsia="宋体"/>
                      <w:color w:val="auto"/>
                      <w:sz w:val="21"/>
                      <w:szCs w:val="21"/>
                    </w:rPr>
                  </w:pPr>
                  <w:r>
                    <w:rPr>
                      <w:rFonts w:hint="eastAsia" w:ascii="Times New Roman" w:hAnsi="Times New Roman" w:cs="Times New Roman" w:eastAsiaTheme="minorEastAsia"/>
                      <w:color w:val="auto"/>
                      <w:sz w:val="21"/>
                      <w:szCs w:val="21"/>
                      <w:highlight w:val="none"/>
                      <w:lang w:val="en-US" w:eastAsia="zh-CN"/>
                    </w:rPr>
                    <w:t>《锅炉大气污染物排放标准》（GB13271-2014）表</w:t>
                  </w:r>
                  <w:r>
                    <w:rPr>
                      <w:rFonts w:hint="eastAsia" w:ascii="Times New Roman" w:cs="Times New Roman" w:eastAsiaTheme="minorEastAsia"/>
                      <w:color w:val="auto"/>
                      <w:sz w:val="21"/>
                      <w:szCs w:val="21"/>
                      <w:highlight w:val="none"/>
                      <w:lang w:val="en-US" w:eastAsia="zh-CN"/>
                    </w:rPr>
                    <w:t>2</w:t>
                  </w:r>
                  <w:r>
                    <w:rPr>
                      <w:rFonts w:hint="eastAsia" w:ascii="Times New Roman" w:hAnsi="Times New Roman" w:cs="Times New Roman" w:eastAsiaTheme="minorEastAsia"/>
                      <w:color w:val="auto"/>
                      <w:sz w:val="21"/>
                      <w:szCs w:val="21"/>
                      <w:highlight w:val="none"/>
                      <w:lang w:val="en-US" w:eastAsia="zh-CN"/>
                    </w:rPr>
                    <w:t>标准限值</w:t>
                  </w:r>
                </w:p>
              </w:tc>
            </w:tr>
            <w:tr w14:paraId="000ADD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28" w:type="pct"/>
                  <w:vMerge w:val="continue"/>
                  <w:vAlign w:val="center"/>
                </w:tcPr>
                <w:p w14:paraId="3726107D">
                  <w:pPr>
                    <w:pStyle w:val="126"/>
                    <w:snapToGrid w:val="0"/>
                    <w:ind w:firstLine="0" w:firstLineChars="0"/>
                    <w:jc w:val="center"/>
                    <w:rPr>
                      <w:rFonts w:ascii="Times New Roman" w:eastAsia="宋体"/>
                      <w:color w:val="auto"/>
                      <w:sz w:val="21"/>
                      <w:szCs w:val="21"/>
                      <w:lang w:val="zh-CN"/>
                    </w:rPr>
                  </w:pPr>
                </w:p>
              </w:tc>
              <w:tc>
                <w:tcPr>
                  <w:tcW w:w="1207" w:type="pct"/>
                  <w:vAlign w:val="center"/>
                </w:tcPr>
                <w:p w14:paraId="3BD6A85A">
                  <w:pPr>
                    <w:pStyle w:val="126"/>
                    <w:snapToGrid w:val="0"/>
                    <w:ind w:firstLine="0" w:firstLineChars="0"/>
                    <w:jc w:val="center"/>
                    <w:rPr>
                      <w:rFonts w:hint="default" w:ascii="Times New Roman" w:eastAsiaTheme="minorEastAsia"/>
                      <w:color w:val="auto"/>
                      <w:kern w:val="2"/>
                      <w:sz w:val="21"/>
                      <w:szCs w:val="21"/>
                      <w:lang w:val="en-US" w:eastAsia="zh-CN"/>
                    </w:rPr>
                  </w:pPr>
                  <w:r>
                    <w:rPr>
                      <w:rFonts w:hint="eastAsia" w:ascii="Times New Roman" w:eastAsiaTheme="minorEastAsia"/>
                      <w:color w:val="auto"/>
                      <w:kern w:val="2"/>
                      <w:sz w:val="21"/>
                      <w:szCs w:val="21"/>
                    </w:rPr>
                    <w:t>颗粒物</w:t>
                  </w:r>
                  <w:r>
                    <w:rPr>
                      <w:rFonts w:hint="eastAsia" w:ascii="Times New Roman" w:hAnsi="Times New Roman" w:eastAsiaTheme="minorEastAsia"/>
                      <w:color w:val="auto"/>
                      <w:szCs w:val="21"/>
                    </w:rPr>
                    <w:t>、非甲烷总烃</w:t>
                  </w:r>
                </w:p>
              </w:tc>
              <w:tc>
                <w:tcPr>
                  <w:tcW w:w="1005" w:type="pct"/>
                  <w:vAlign w:val="center"/>
                </w:tcPr>
                <w:p w14:paraId="7BD3D6B8">
                  <w:pPr>
                    <w:pStyle w:val="126"/>
                    <w:snapToGrid w:val="0"/>
                    <w:ind w:firstLine="0" w:firstLineChars="0"/>
                    <w:jc w:val="center"/>
                    <w:rPr>
                      <w:rFonts w:ascii="Times New Roman" w:eastAsiaTheme="minorEastAsia"/>
                      <w:color w:val="auto"/>
                      <w:kern w:val="2"/>
                      <w:sz w:val="21"/>
                      <w:szCs w:val="21"/>
                      <w:lang w:val="zh-CN"/>
                    </w:rPr>
                  </w:pPr>
                  <w:r>
                    <w:rPr>
                      <w:rFonts w:ascii="Times New Roman" w:eastAsiaTheme="minorEastAsia"/>
                      <w:color w:val="auto"/>
                      <w:kern w:val="2"/>
                      <w:sz w:val="21"/>
                      <w:szCs w:val="21"/>
                      <w:lang w:val="zh-CN"/>
                    </w:rPr>
                    <w:t>厂界外</w:t>
                  </w:r>
                  <w:r>
                    <w:rPr>
                      <w:rFonts w:hint="eastAsia" w:ascii="Times New Roman" w:eastAsiaTheme="minorEastAsia"/>
                      <w:color w:val="auto"/>
                      <w:kern w:val="2"/>
                      <w:sz w:val="21"/>
                      <w:szCs w:val="21"/>
                      <w:lang w:val="zh-CN"/>
                    </w:rPr>
                    <w:t>15m</w:t>
                  </w:r>
                  <w:r>
                    <w:rPr>
                      <w:rFonts w:ascii="Times New Roman" w:eastAsiaTheme="minorEastAsia"/>
                      <w:color w:val="auto"/>
                      <w:kern w:val="2"/>
                      <w:sz w:val="21"/>
                      <w:szCs w:val="21"/>
                      <w:lang w:val="zh-CN"/>
                    </w:rPr>
                    <w:t>处上风向设参照点，下风向设监控点</w:t>
                  </w:r>
                </w:p>
              </w:tc>
              <w:tc>
                <w:tcPr>
                  <w:tcW w:w="713" w:type="pct"/>
                  <w:vAlign w:val="center"/>
                </w:tcPr>
                <w:p w14:paraId="7EF070E7">
                  <w:pPr>
                    <w:pStyle w:val="126"/>
                    <w:snapToGrid w:val="0"/>
                    <w:ind w:firstLine="0" w:firstLineChars="0"/>
                    <w:jc w:val="center"/>
                    <w:rPr>
                      <w:rFonts w:ascii="Times New Roman" w:eastAsia="宋体"/>
                      <w:color w:val="auto"/>
                      <w:sz w:val="21"/>
                      <w:szCs w:val="21"/>
                      <w:lang w:val="zh-CN"/>
                    </w:rPr>
                  </w:pPr>
                  <w:r>
                    <w:rPr>
                      <w:rFonts w:ascii="Times New Roman" w:eastAsia="宋体"/>
                      <w:color w:val="auto"/>
                      <w:sz w:val="21"/>
                      <w:szCs w:val="21"/>
                    </w:rPr>
                    <w:t>1次</w:t>
                  </w:r>
                  <w:r>
                    <w:rPr>
                      <w:rFonts w:hint="eastAsia" w:ascii="Times New Roman" w:eastAsia="宋体"/>
                      <w:color w:val="auto"/>
                      <w:sz w:val="21"/>
                      <w:szCs w:val="21"/>
                      <w:lang w:val="en-US" w:eastAsia="zh-CN"/>
                    </w:rPr>
                    <w:t>/</w:t>
                  </w:r>
                  <w:r>
                    <w:rPr>
                      <w:rFonts w:hint="eastAsia" w:ascii="Times New Roman" w:eastAsia="宋体"/>
                      <w:color w:val="auto"/>
                      <w:sz w:val="21"/>
                      <w:szCs w:val="21"/>
                    </w:rPr>
                    <w:t>年</w:t>
                  </w:r>
                </w:p>
              </w:tc>
              <w:tc>
                <w:tcPr>
                  <w:tcW w:w="1744" w:type="pct"/>
                  <w:vAlign w:val="center"/>
                </w:tcPr>
                <w:p w14:paraId="1901C2F3">
                  <w:pPr>
                    <w:pStyle w:val="126"/>
                    <w:snapToGrid w:val="0"/>
                    <w:ind w:firstLine="0" w:firstLineChars="0"/>
                    <w:jc w:val="center"/>
                    <w:rPr>
                      <w:rFonts w:ascii="Times New Roman" w:eastAsiaTheme="minorEastAsia"/>
                      <w:color w:val="auto"/>
                      <w:sz w:val="21"/>
                      <w:szCs w:val="21"/>
                    </w:rPr>
                  </w:pPr>
                  <w:r>
                    <w:rPr>
                      <w:rFonts w:hint="eastAsia" w:ascii="Times New Roman" w:eastAsia="宋体"/>
                      <w:color w:val="auto"/>
                      <w:sz w:val="21"/>
                      <w:szCs w:val="21"/>
                    </w:rPr>
                    <w:t>《大气污染物综合排放标准》（GB16297-1996）</w:t>
                  </w:r>
                  <w:r>
                    <w:rPr>
                      <w:rFonts w:hint="eastAsia" w:ascii="Times New Roman" w:eastAsiaTheme="minorEastAsia"/>
                      <w:color w:val="auto"/>
                      <w:sz w:val="21"/>
                      <w:szCs w:val="21"/>
                    </w:rPr>
                    <w:t>中无组织排放监控浓度限值要求</w:t>
                  </w:r>
                </w:p>
              </w:tc>
            </w:tr>
            <w:tr w14:paraId="16FBF6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28" w:type="pct"/>
                  <w:vMerge w:val="continue"/>
                  <w:vAlign w:val="center"/>
                </w:tcPr>
                <w:p w14:paraId="50FD6188">
                  <w:pPr>
                    <w:pStyle w:val="126"/>
                    <w:snapToGrid w:val="0"/>
                    <w:ind w:firstLine="0" w:firstLineChars="0"/>
                    <w:jc w:val="center"/>
                    <w:rPr>
                      <w:rFonts w:ascii="Times New Roman" w:eastAsia="宋体"/>
                      <w:color w:val="auto"/>
                      <w:sz w:val="21"/>
                      <w:szCs w:val="21"/>
                    </w:rPr>
                  </w:pPr>
                </w:p>
              </w:tc>
              <w:tc>
                <w:tcPr>
                  <w:tcW w:w="1207" w:type="pct"/>
                  <w:vAlign w:val="center"/>
                </w:tcPr>
                <w:p w14:paraId="285F8F00">
                  <w:pPr>
                    <w:pStyle w:val="126"/>
                    <w:snapToGrid w:val="0"/>
                    <w:ind w:firstLine="0" w:firstLineChars="0"/>
                    <w:jc w:val="center"/>
                    <w:rPr>
                      <w:rFonts w:ascii="Times New Roman" w:eastAsiaTheme="minorEastAsia"/>
                      <w:color w:val="auto"/>
                      <w:sz w:val="21"/>
                      <w:szCs w:val="21"/>
                    </w:rPr>
                  </w:pPr>
                  <w:r>
                    <w:rPr>
                      <w:rFonts w:hint="eastAsia" w:ascii="Times New Roman" w:eastAsiaTheme="minorEastAsia"/>
                      <w:color w:val="auto"/>
                      <w:sz w:val="21"/>
                      <w:szCs w:val="21"/>
                    </w:rPr>
                    <w:t>非甲烷总烃</w:t>
                  </w:r>
                </w:p>
              </w:tc>
              <w:tc>
                <w:tcPr>
                  <w:tcW w:w="1005" w:type="pct"/>
                  <w:vAlign w:val="center"/>
                </w:tcPr>
                <w:p w14:paraId="7BA28ED3">
                  <w:pPr>
                    <w:pStyle w:val="126"/>
                    <w:snapToGrid w:val="0"/>
                    <w:ind w:firstLine="0" w:firstLineChars="0"/>
                    <w:jc w:val="center"/>
                    <w:rPr>
                      <w:rFonts w:hint="default" w:ascii="Times New Roman" w:eastAsia="宋体"/>
                      <w:color w:val="auto"/>
                      <w:sz w:val="21"/>
                      <w:szCs w:val="21"/>
                      <w:lang w:val="en-US" w:eastAsia="zh-CN"/>
                    </w:rPr>
                  </w:pPr>
                  <w:r>
                    <w:rPr>
                      <w:rFonts w:hint="eastAsia" w:ascii="Times New Roman" w:eastAsia="宋体"/>
                      <w:color w:val="auto"/>
                      <w:sz w:val="21"/>
                      <w:szCs w:val="21"/>
                      <w:lang w:val="en-US" w:eastAsia="zh-CN"/>
                    </w:rPr>
                    <w:t>厂房外</w:t>
                  </w:r>
                </w:p>
              </w:tc>
              <w:tc>
                <w:tcPr>
                  <w:tcW w:w="713" w:type="pct"/>
                  <w:vAlign w:val="center"/>
                </w:tcPr>
                <w:p w14:paraId="131C55D7">
                  <w:pPr>
                    <w:pStyle w:val="126"/>
                    <w:snapToGrid w:val="0"/>
                    <w:ind w:firstLine="0" w:firstLineChars="0"/>
                    <w:jc w:val="center"/>
                    <w:rPr>
                      <w:rFonts w:ascii="Times New Roman" w:eastAsia="宋体"/>
                      <w:color w:val="auto"/>
                      <w:sz w:val="21"/>
                      <w:szCs w:val="21"/>
                    </w:rPr>
                  </w:pPr>
                  <w:r>
                    <w:rPr>
                      <w:rFonts w:ascii="Times New Roman" w:eastAsia="宋体"/>
                      <w:color w:val="auto"/>
                      <w:sz w:val="21"/>
                      <w:szCs w:val="21"/>
                    </w:rPr>
                    <w:t>1次</w:t>
                  </w:r>
                  <w:r>
                    <w:rPr>
                      <w:rFonts w:hint="eastAsia" w:ascii="Times New Roman" w:eastAsia="宋体"/>
                      <w:color w:val="auto"/>
                      <w:sz w:val="21"/>
                      <w:szCs w:val="21"/>
                      <w:lang w:val="en-US" w:eastAsia="zh-CN"/>
                    </w:rPr>
                    <w:t>/</w:t>
                  </w:r>
                  <w:r>
                    <w:rPr>
                      <w:rFonts w:hint="eastAsia" w:ascii="Times New Roman" w:eastAsia="宋体"/>
                      <w:color w:val="auto"/>
                      <w:sz w:val="21"/>
                      <w:szCs w:val="21"/>
                    </w:rPr>
                    <w:t>年</w:t>
                  </w:r>
                </w:p>
              </w:tc>
              <w:tc>
                <w:tcPr>
                  <w:tcW w:w="1744" w:type="pct"/>
                  <w:vAlign w:val="center"/>
                </w:tcPr>
                <w:p w14:paraId="40298BA3">
                  <w:pPr>
                    <w:pStyle w:val="126"/>
                    <w:snapToGrid w:val="0"/>
                    <w:ind w:firstLine="0" w:firstLineChars="0"/>
                    <w:jc w:val="center"/>
                    <w:rPr>
                      <w:rFonts w:ascii="Times New Roman" w:eastAsia="宋体"/>
                      <w:color w:val="auto"/>
                      <w:sz w:val="21"/>
                      <w:szCs w:val="21"/>
                    </w:rPr>
                  </w:pPr>
                  <w:r>
                    <w:rPr>
                      <w:rFonts w:hint="eastAsia" w:ascii="Times New Roman" w:eastAsia="宋体"/>
                      <w:color w:val="auto"/>
                      <w:kern w:val="2"/>
                      <w:sz w:val="21"/>
                      <w:szCs w:val="21"/>
                    </w:rPr>
                    <w:t>《挥发性有机物无组织排放控制标准》（GB37822-2019）附录A厂区内无组织排放限值</w:t>
                  </w:r>
                </w:p>
              </w:tc>
            </w:tr>
          </w:tbl>
          <w:p w14:paraId="31963B16">
            <w:pPr>
              <w:pStyle w:val="118"/>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480" w:firstLineChars="200"/>
              <w:rPr>
                <w:rFonts w:hint="default" w:ascii="Times New Roman" w:hAnsi="Times New Roman" w:cs="Times New Roman" w:eastAsiaTheme="minorEastAsia"/>
                <w:color w:val="auto"/>
                <w:highlight w:val="none"/>
              </w:rPr>
            </w:pPr>
            <w:r>
              <w:rPr>
                <w:rFonts w:hint="eastAsia" w:ascii="Times New Roman" w:hAnsi="Times New Roman" w:cs="Times New Roman" w:eastAsiaTheme="minorEastAsia"/>
                <w:color w:val="auto"/>
                <w:sz w:val="24"/>
                <w:highlight w:val="none"/>
                <w:lang w:eastAsia="zh-CN"/>
              </w:rPr>
              <w:t>（二）</w:t>
            </w:r>
            <w:r>
              <w:rPr>
                <w:rFonts w:hint="default" w:ascii="Times New Roman" w:hAnsi="Times New Roman" w:cs="Times New Roman" w:eastAsiaTheme="minorEastAsia"/>
                <w:color w:val="auto"/>
                <w:highlight w:val="none"/>
              </w:rPr>
              <w:t>环境影响分析</w:t>
            </w:r>
          </w:p>
          <w:p w14:paraId="03B9F9CB">
            <w:pPr>
              <w:keepNext w:val="0"/>
              <w:keepLines w:val="0"/>
              <w:pageBreakBefore w:val="0"/>
              <w:suppressLineNumbers w:val="0"/>
              <w:wordWrap/>
              <w:bidi w:val="0"/>
              <w:spacing w:before="0" w:beforeAutospacing="0" w:after="0" w:afterAutospacing="0" w:line="360" w:lineRule="auto"/>
              <w:ind w:left="0" w:leftChars="0" w:right="0" w:firstLine="600" w:firstLineChars="250"/>
              <w:rPr>
                <w:rFonts w:hint="eastAsia"/>
                <w:color w:val="auto"/>
                <w:sz w:val="24"/>
                <w:lang w:val="en-US" w:eastAsia="zh-CN"/>
              </w:rPr>
            </w:pPr>
            <w:r>
              <w:rPr>
                <w:rFonts w:hint="eastAsia" w:cs="Times New Roman"/>
                <w:color w:val="auto"/>
                <w:kern w:val="0"/>
                <w:sz w:val="24"/>
                <w:szCs w:val="24"/>
                <w:highlight w:val="none"/>
                <w:lang w:val="en-US" w:eastAsia="zh-CN" w:bidi="ar-SA"/>
              </w:rPr>
              <w:t>本项目预处理过程废油液挥发的废气在工位上方设置集气罩，</w:t>
            </w:r>
            <w:r>
              <w:rPr>
                <w:rFonts w:hint="eastAsia" w:ascii="Times New Roman" w:hAnsi="Times New Roman" w:eastAsia="宋体" w:cs="Times New Roman"/>
                <w:color w:val="auto"/>
                <w:kern w:val="0"/>
                <w:sz w:val="24"/>
                <w:szCs w:val="24"/>
                <w:highlight w:val="none"/>
                <w:lang w:val="en-US" w:eastAsia="zh-CN" w:bidi="ar-SA"/>
              </w:rPr>
              <w:t>废气经集气罩收集后经活性炭吸附装置处理，后经15m高排气</w:t>
            </w:r>
            <w:r>
              <w:rPr>
                <w:rFonts w:hint="eastAsia" w:cs="Times New Roman"/>
                <w:color w:val="auto"/>
                <w:kern w:val="0"/>
                <w:sz w:val="24"/>
                <w:szCs w:val="24"/>
                <w:highlight w:val="none"/>
                <w:lang w:val="en-US" w:eastAsia="zh-CN" w:bidi="ar-SA"/>
              </w:rPr>
              <w:t>筒（DA001）</w:t>
            </w:r>
            <w:r>
              <w:rPr>
                <w:rFonts w:hint="eastAsia" w:ascii="Times New Roman" w:hAnsi="Times New Roman" w:eastAsia="宋体" w:cs="Times New Roman"/>
                <w:color w:val="auto"/>
                <w:kern w:val="0"/>
                <w:sz w:val="24"/>
                <w:szCs w:val="24"/>
                <w:highlight w:val="none"/>
                <w:lang w:val="en-US" w:eastAsia="zh-CN" w:bidi="ar-SA"/>
              </w:rPr>
              <w:t>排放</w:t>
            </w:r>
            <w:r>
              <w:rPr>
                <w:rFonts w:hint="eastAsia" w:cs="Times New Roman"/>
                <w:color w:val="auto"/>
                <w:kern w:val="0"/>
                <w:sz w:val="24"/>
                <w:szCs w:val="24"/>
                <w:highlight w:val="none"/>
                <w:lang w:val="en-US" w:eastAsia="zh-CN" w:bidi="ar-SA"/>
              </w:rPr>
              <w:t>。切割过程中产生的切割废气在</w:t>
            </w:r>
            <w:r>
              <w:rPr>
                <w:rFonts w:hint="eastAsia" w:ascii="Times New Roman" w:hAnsi="Times New Roman" w:eastAsia="宋体" w:cs="Times New Roman"/>
                <w:color w:val="auto"/>
                <w:kern w:val="0"/>
                <w:sz w:val="24"/>
                <w:szCs w:val="24"/>
                <w:highlight w:val="none"/>
                <w:lang w:val="en-US" w:eastAsia="zh-CN" w:bidi="ar-SA"/>
              </w:rPr>
              <w:t>切割工位设置集气罩，切割粉尘采用集气罩收集，经布袋除尘器处理后经15m高排气筒</w:t>
            </w:r>
            <w:r>
              <w:rPr>
                <w:rFonts w:hint="eastAsia" w:cs="Times New Roman"/>
                <w:color w:val="auto"/>
                <w:kern w:val="0"/>
                <w:sz w:val="24"/>
                <w:szCs w:val="24"/>
                <w:highlight w:val="none"/>
                <w:lang w:val="en-US" w:eastAsia="zh-CN" w:bidi="ar-SA"/>
              </w:rPr>
              <w:t>（DA001）</w:t>
            </w:r>
            <w:r>
              <w:rPr>
                <w:rFonts w:hint="eastAsia" w:ascii="Times New Roman" w:hAnsi="Times New Roman" w:eastAsia="宋体" w:cs="Times New Roman"/>
                <w:color w:val="auto"/>
                <w:kern w:val="0"/>
                <w:sz w:val="24"/>
                <w:szCs w:val="24"/>
                <w:highlight w:val="none"/>
                <w:lang w:val="en-US" w:eastAsia="zh-CN" w:bidi="ar-SA"/>
              </w:rPr>
              <w:t>排放</w:t>
            </w:r>
            <w:r>
              <w:rPr>
                <w:rFonts w:hint="eastAsia" w:cs="Times New Roman"/>
                <w:color w:val="auto"/>
                <w:kern w:val="0"/>
                <w:sz w:val="24"/>
                <w:szCs w:val="24"/>
                <w:highlight w:val="none"/>
                <w:lang w:val="en-US" w:eastAsia="zh-CN" w:bidi="ar-SA"/>
              </w:rPr>
              <w:t>。</w:t>
            </w:r>
            <w:r>
              <w:rPr>
                <w:rFonts w:hint="eastAsia"/>
                <w:color w:val="auto"/>
                <w:sz w:val="24"/>
                <w:lang w:val="en-US" w:eastAsia="zh-CN"/>
              </w:rPr>
              <w:t>非甲烷总烃、工业粉尘</w:t>
            </w:r>
            <w:r>
              <w:rPr>
                <w:rFonts w:hint="default"/>
                <w:color w:val="auto"/>
                <w:sz w:val="24"/>
                <w:lang w:val="en-US" w:eastAsia="zh-CN"/>
              </w:rPr>
              <w:t>排放</w:t>
            </w:r>
            <w:r>
              <w:rPr>
                <w:rFonts w:hint="eastAsia"/>
                <w:color w:val="auto"/>
                <w:sz w:val="24"/>
                <w:lang w:val="en-US" w:eastAsia="zh-CN"/>
              </w:rPr>
              <w:t>浓度</w:t>
            </w:r>
            <w:r>
              <w:rPr>
                <w:rFonts w:hint="default"/>
                <w:color w:val="auto"/>
                <w:sz w:val="24"/>
                <w:lang w:val="en-US" w:eastAsia="zh-CN"/>
              </w:rPr>
              <w:t>均</w:t>
            </w:r>
            <w:r>
              <w:rPr>
                <w:rFonts w:hint="eastAsia"/>
                <w:color w:val="auto"/>
                <w:sz w:val="24"/>
                <w:lang w:val="en-US" w:eastAsia="zh-CN"/>
              </w:rPr>
              <w:t>满足</w:t>
            </w:r>
            <w:r>
              <w:rPr>
                <w:rFonts w:hint="eastAsia" w:ascii="Times New Roman" w:hAnsi="Times New Roman" w:eastAsia="宋体" w:cs="Times New Roman"/>
                <w:color w:val="auto"/>
                <w:kern w:val="0"/>
                <w:sz w:val="24"/>
                <w:szCs w:val="24"/>
                <w:highlight w:val="none"/>
                <w:lang w:val="en-US" w:eastAsia="zh-CN" w:bidi="ar-SA"/>
              </w:rPr>
              <w:t>《大气污染物综合排放标准》（GB16297-1996）表2中二级标准及无组织排放标准限值要求。</w:t>
            </w:r>
            <w:r>
              <w:rPr>
                <w:rFonts w:hint="eastAsia" w:cs="Times New Roman"/>
                <w:color w:val="auto"/>
                <w:kern w:val="0"/>
                <w:sz w:val="24"/>
                <w:szCs w:val="24"/>
                <w:highlight w:val="none"/>
                <w:lang w:val="en-US" w:eastAsia="zh-CN" w:bidi="ar-SA"/>
              </w:rPr>
              <w:t>本项目燃生物质</w:t>
            </w:r>
            <w:r>
              <w:rPr>
                <w:rFonts w:hint="eastAsia" w:ascii="Times New Roman" w:hAnsi="Times New Roman" w:eastAsia="宋体" w:cs="Times New Roman"/>
                <w:color w:val="auto"/>
                <w:kern w:val="0"/>
                <w:sz w:val="24"/>
                <w:szCs w:val="24"/>
                <w:highlight w:val="none"/>
                <w:lang w:val="en-US" w:eastAsia="zh-CN" w:bidi="ar-SA"/>
              </w:rPr>
              <w:t>锅</w:t>
            </w:r>
            <w:r>
              <w:rPr>
                <w:rFonts w:hint="default" w:ascii="Times New Roman" w:hAnsi="Times New Roman" w:eastAsia="宋体" w:cs="Times New Roman"/>
                <w:color w:val="auto"/>
                <w:kern w:val="0"/>
                <w:sz w:val="24"/>
                <w:szCs w:val="24"/>
                <w:highlight w:val="none"/>
                <w:lang w:val="en-US" w:eastAsia="zh-CN" w:bidi="ar-SA"/>
              </w:rPr>
              <w:t>炉</w:t>
            </w:r>
            <w:r>
              <w:rPr>
                <w:rFonts w:hint="eastAsia" w:cs="Times New Roman"/>
                <w:color w:val="auto"/>
                <w:kern w:val="0"/>
                <w:sz w:val="24"/>
                <w:szCs w:val="24"/>
                <w:highlight w:val="none"/>
                <w:lang w:val="en-US" w:eastAsia="zh-CN" w:bidi="ar-SA"/>
              </w:rPr>
              <w:t>废气采用旋风除尘器+布袋除尘器处理，处理后废气经30m高烟囱（DA002）排放。</w:t>
            </w:r>
            <w:r>
              <w:rPr>
                <w:rFonts w:hint="default"/>
                <w:color w:val="auto"/>
                <w:sz w:val="24"/>
                <w:lang w:val="en-US" w:eastAsia="zh-CN"/>
              </w:rPr>
              <w:t>颗粒物、SO</w:t>
            </w:r>
            <w:r>
              <w:rPr>
                <w:rFonts w:hint="default"/>
                <w:color w:val="auto"/>
                <w:sz w:val="24"/>
                <w:vertAlign w:val="subscript"/>
                <w:lang w:val="en-US" w:eastAsia="zh-CN"/>
              </w:rPr>
              <w:t>2</w:t>
            </w:r>
            <w:r>
              <w:rPr>
                <w:rFonts w:hint="eastAsia"/>
                <w:color w:val="auto"/>
                <w:sz w:val="24"/>
                <w:lang w:val="en-US" w:eastAsia="zh-CN"/>
              </w:rPr>
              <w:t>、</w:t>
            </w:r>
            <w:r>
              <w:rPr>
                <w:rFonts w:hint="default"/>
                <w:color w:val="auto"/>
                <w:sz w:val="24"/>
                <w:lang w:val="en-US" w:eastAsia="zh-CN"/>
              </w:rPr>
              <w:t>NOx排放</w:t>
            </w:r>
            <w:r>
              <w:rPr>
                <w:rFonts w:hint="eastAsia"/>
                <w:color w:val="auto"/>
                <w:sz w:val="24"/>
                <w:lang w:val="en-US" w:eastAsia="zh-CN"/>
              </w:rPr>
              <w:t>浓度</w:t>
            </w:r>
            <w:r>
              <w:rPr>
                <w:rFonts w:hint="default"/>
                <w:color w:val="auto"/>
                <w:sz w:val="24"/>
                <w:lang w:val="en-US" w:eastAsia="zh-CN"/>
              </w:rPr>
              <w:t>均满足</w:t>
            </w:r>
            <w:r>
              <w:rPr>
                <w:rFonts w:hint="eastAsia"/>
                <w:color w:val="auto"/>
                <w:sz w:val="24"/>
                <w:lang w:val="en-US" w:eastAsia="zh-CN"/>
              </w:rPr>
              <w:t>《锅炉大气污染物排放标准》（GB13271-2014）表2标准限值要求</w:t>
            </w:r>
            <w:r>
              <w:rPr>
                <w:rFonts w:hint="default"/>
                <w:color w:val="auto"/>
                <w:sz w:val="24"/>
                <w:lang w:val="en-US" w:eastAsia="zh-CN"/>
              </w:rPr>
              <w:t>。</w:t>
            </w:r>
            <w:bookmarkStart w:id="26" w:name="OLE_LINK17"/>
            <w:r>
              <w:rPr>
                <w:rFonts w:hint="eastAsia"/>
                <w:color w:val="auto"/>
                <w:kern w:val="0"/>
                <w:sz w:val="24"/>
              </w:rPr>
              <w:t>厂房外无组织非甲烷总烃排放执行《挥发性有机物无组织排放控制标准》（GB 37822—2019）标准中无组织排放监控浓度限值。</w:t>
            </w:r>
            <w:r>
              <w:rPr>
                <w:rFonts w:hint="eastAsia" w:cs="Times New Roman"/>
                <w:color w:val="auto"/>
                <w:kern w:val="0"/>
                <w:sz w:val="24"/>
                <w:szCs w:val="24"/>
                <w:highlight w:val="none"/>
                <w:lang w:val="en-US" w:eastAsia="zh-CN" w:bidi="ar-SA"/>
              </w:rPr>
              <w:t>敏感目标梁家村和新发村环境空气可满足</w:t>
            </w:r>
            <w:r>
              <w:rPr>
                <w:rFonts w:hint="default" w:ascii="Times New Roman" w:hAnsi="Times New Roman" w:eastAsia="宋体" w:cs="Times New Roman"/>
                <w:color w:val="auto"/>
                <w:kern w:val="0"/>
                <w:sz w:val="24"/>
                <w:szCs w:val="28"/>
                <w:lang w:val="en-US" w:eastAsia="zh-CN" w:bidi="ar-SA"/>
              </w:rPr>
              <w:t>《环境空气质量标准》（GB3095-2012）及修改单中二级标准要求</w:t>
            </w:r>
            <w:r>
              <w:rPr>
                <w:rFonts w:hint="eastAsia" w:cs="Times New Roman"/>
                <w:color w:val="auto"/>
                <w:kern w:val="0"/>
                <w:sz w:val="24"/>
                <w:szCs w:val="28"/>
                <w:lang w:val="en-US" w:eastAsia="zh-CN" w:bidi="ar-SA"/>
              </w:rPr>
              <w:t>。</w:t>
            </w:r>
            <w:bookmarkEnd w:id="26"/>
            <w:r>
              <w:rPr>
                <w:rFonts w:hint="eastAsia"/>
                <w:color w:val="auto"/>
                <w:sz w:val="24"/>
                <w:lang w:val="en-US" w:eastAsia="zh-CN"/>
              </w:rPr>
              <w:t>对区域环境空气影响较小。</w:t>
            </w:r>
            <w:r>
              <w:rPr>
                <w:rFonts w:hint="default"/>
                <w:color w:val="auto"/>
                <w:sz w:val="24"/>
                <w:lang w:val="en-US" w:eastAsia="zh-CN"/>
              </w:rPr>
              <w:t>综上所述，从环境空气的角度，本项目的建设是可行的。</w:t>
            </w:r>
          </w:p>
          <w:p w14:paraId="600648C7">
            <w:pPr>
              <w:pStyle w:val="26"/>
              <w:keepNext w:val="0"/>
              <w:keepLines w:val="0"/>
              <w:pageBreakBefore w:val="0"/>
              <w:suppressLineNumbers w:val="0"/>
              <w:wordWrap/>
              <w:bidi w:val="0"/>
              <w:spacing w:before="0" w:beforeAutospacing="0" w:after="0" w:afterAutospacing="0" w:line="360" w:lineRule="auto"/>
              <w:ind w:left="0" w:leftChars="0" w:right="0" w:firstLine="482" w:firstLineChars="200"/>
              <w:rPr>
                <w:rFonts w:hint="default" w:ascii="Times New Roman" w:hAnsi="Times New Roman" w:eastAsia="宋体"/>
                <w:b/>
                <w:bCs/>
                <w:color w:val="auto"/>
                <w:szCs w:val="24"/>
                <w:highlight w:val="none"/>
              </w:rPr>
            </w:pPr>
            <w:r>
              <w:rPr>
                <w:rFonts w:hint="eastAsia" w:ascii="Times New Roman" w:hAnsi="Times New Roman" w:eastAsia="宋体"/>
                <w:b/>
                <w:bCs/>
                <w:color w:val="auto"/>
                <w:szCs w:val="24"/>
                <w:highlight w:val="none"/>
                <w:lang w:eastAsia="zh-CN"/>
              </w:rPr>
              <w:t>二</w:t>
            </w:r>
            <w:r>
              <w:rPr>
                <w:rFonts w:hint="eastAsia" w:ascii="Times New Roman" w:hAnsi="Times New Roman" w:eastAsia="宋体"/>
                <w:b/>
                <w:bCs/>
                <w:color w:val="auto"/>
                <w:szCs w:val="24"/>
                <w:highlight w:val="none"/>
              </w:rPr>
              <w:t>、</w:t>
            </w:r>
            <w:r>
              <w:rPr>
                <w:rFonts w:hint="default" w:ascii="Times New Roman" w:hAnsi="Times New Roman" w:eastAsia="宋体"/>
                <w:b/>
                <w:bCs/>
                <w:color w:val="auto"/>
                <w:szCs w:val="24"/>
                <w:highlight w:val="none"/>
              </w:rPr>
              <w:t>废水</w:t>
            </w:r>
          </w:p>
          <w:p w14:paraId="796565C5">
            <w:pPr>
              <w:keepNext w:val="0"/>
              <w:keepLines w:val="0"/>
              <w:pageBreakBefore w:val="0"/>
              <w:suppressLineNumbers w:val="0"/>
              <w:wordWrap/>
              <w:bidi w:val="0"/>
              <w:spacing w:before="0" w:beforeAutospacing="0" w:after="0" w:afterAutospacing="0" w:line="360" w:lineRule="auto"/>
              <w:ind w:left="0" w:leftChars="0" w:right="0" w:firstLine="600" w:firstLineChars="250"/>
              <w:rPr>
                <w:rFonts w:hint="default"/>
                <w:color w:val="auto"/>
                <w:sz w:val="24"/>
                <w:lang w:val="en-US" w:eastAsia="zh-CN"/>
              </w:rPr>
            </w:pPr>
            <w:r>
              <w:rPr>
                <w:rFonts w:hint="eastAsia"/>
                <w:color w:val="auto"/>
                <w:sz w:val="24"/>
                <w:lang w:val="en-US" w:eastAsia="zh-CN"/>
              </w:rPr>
              <w:t>1、源强核算及达标排放情况</w:t>
            </w:r>
          </w:p>
          <w:p w14:paraId="2AD33549">
            <w:pPr>
              <w:keepNext w:val="0"/>
              <w:keepLines w:val="0"/>
              <w:pageBreakBefore w:val="0"/>
              <w:suppressLineNumbers w:val="0"/>
              <w:wordWrap/>
              <w:bidi w:val="0"/>
              <w:spacing w:before="0" w:beforeAutospacing="0" w:after="0" w:afterAutospacing="0" w:line="360" w:lineRule="auto"/>
              <w:ind w:left="0" w:leftChars="0" w:right="0" w:firstLine="600" w:firstLineChars="250"/>
              <w:rPr>
                <w:rFonts w:hint="eastAsia"/>
                <w:color w:val="auto"/>
                <w:sz w:val="24"/>
                <w:lang w:val="en-US" w:eastAsia="zh-CN"/>
              </w:rPr>
            </w:pPr>
            <w:r>
              <w:rPr>
                <w:rFonts w:hint="eastAsia"/>
                <w:color w:val="auto"/>
                <w:sz w:val="24"/>
                <w:lang w:val="en-US" w:eastAsia="zh-CN"/>
              </w:rPr>
              <w:t>本项目产生的废水有初期雨水、锅炉排污水+软化水制备废水及生活污水。</w:t>
            </w:r>
          </w:p>
          <w:p w14:paraId="4A5A7EF8">
            <w:pPr>
              <w:keepNext w:val="0"/>
              <w:keepLines w:val="0"/>
              <w:pageBreakBefore w:val="0"/>
              <w:suppressLineNumbers w:val="0"/>
              <w:wordWrap/>
              <w:bidi w:val="0"/>
              <w:spacing w:before="0" w:beforeAutospacing="0" w:after="0" w:afterAutospacing="0" w:line="360" w:lineRule="auto"/>
              <w:ind w:left="0" w:leftChars="0" w:right="0" w:firstLine="600" w:firstLineChars="250"/>
              <w:rPr>
                <w:rFonts w:hint="default"/>
                <w:color w:val="auto"/>
                <w:sz w:val="24"/>
                <w:lang w:val="en-US" w:eastAsia="zh-CN"/>
              </w:rPr>
            </w:pPr>
            <w:r>
              <w:rPr>
                <w:rFonts w:hint="eastAsia"/>
                <w:color w:val="auto"/>
                <w:sz w:val="24"/>
                <w:lang w:val="en-US" w:eastAsia="zh-CN"/>
              </w:rPr>
              <w:t>本项目建成后初期雨水收集后经油水分离装置处理后，和锅炉排污水、软化水制备废水及生活污水一同排入市政管网，送入鸡西市鸡冠区污水处理厂，经处理后</w:t>
            </w:r>
            <w:r>
              <w:rPr>
                <w:rFonts w:hint="eastAsia"/>
                <w:color w:val="auto"/>
                <w:sz w:val="24"/>
              </w:rPr>
              <w:t>可以达到《城镇污水处理厂污染物排放标准》（GB 18918－2002）中一级A标准</w:t>
            </w:r>
            <w:r>
              <w:rPr>
                <w:rFonts w:hint="eastAsia"/>
                <w:color w:val="auto"/>
                <w:sz w:val="24"/>
                <w:lang w:eastAsia="zh-CN"/>
              </w:rPr>
              <w:t>。</w:t>
            </w:r>
          </w:p>
          <w:p w14:paraId="48C40A21">
            <w:pPr>
              <w:keepNext w:val="0"/>
              <w:keepLines w:val="0"/>
              <w:pageBreakBefore w:val="0"/>
              <w:suppressLineNumbers w:val="0"/>
              <w:wordWrap/>
              <w:bidi w:val="0"/>
              <w:spacing w:before="0" w:beforeAutospacing="0" w:after="0" w:afterAutospacing="0" w:line="360" w:lineRule="auto"/>
              <w:ind w:left="0" w:leftChars="0" w:right="0" w:firstLine="600" w:firstLineChars="250"/>
              <w:rPr>
                <w:rFonts w:hint="default"/>
                <w:color w:val="auto"/>
                <w:sz w:val="24"/>
                <w:lang w:val="en-US" w:eastAsia="zh-CN"/>
              </w:rPr>
            </w:pPr>
            <w:r>
              <w:rPr>
                <w:rFonts w:hint="eastAsia"/>
                <w:color w:val="auto"/>
                <w:sz w:val="24"/>
                <w:lang w:val="en-US" w:eastAsia="zh-CN"/>
              </w:rPr>
              <w:t>本项目废水总排放量为</w:t>
            </w:r>
            <w:r>
              <w:rPr>
                <w:rFonts w:hint="eastAsia"/>
                <w:color w:val="auto"/>
                <w:sz w:val="24"/>
                <w:lang w:val="en-US" w:eastAsia="zh-CN"/>
              </w:rPr>
              <w:t>1965.802</w:t>
            </w:r>
            <w:r>
              <w:rPr>
                <w:rFonts w:hint="eastAsia" w:cs="Times New Roman"/>
                <w:color w:val="auto"/>
                <w:sz w:val="24"/>
                <w:lang w:val="en-US" w:eastAsia="zh-CN"/>
              </w:rPr>
              <w:t>t/a</w:t>
            </w:r>
            <w:r>
              <w:rPr>
                <w:rFonts w:hint="eastAsia"/>
                <w:color w:val="auto"/>
                <w:sz w:val="24"/>
                <w:lang w:val="en-US" w:eastAsia="zh-CN"/>
              </w:rPr>
              <w:t>，其中生活污水排放量为176t/a，锅炉排污水+软化水制备废水排放量为</w:t>
            </w:r>
            <w:r>
              <w:rPr>
                <w:rFonts w:hint="eastAsia"/>
                <w:color w:val="auto"/>
                <w:sz w:val="24"/>
                <w:highlight w:val="none"/>
                <w:lang w:val="en-US" w:eastAsia="zh-CN"/>
              </w:rPr>
              <w:t>373.202t</w:t>
            </w:r>
            <w:r>
              <w:rPr>
                <w:rFonts w:hint="eastAsia"/>
                <w:color w:val="auto"/>
                <w:sz w:val="24"/>
                <w:highlight w:val="none"/>
              </w:rPr>
              <w:t>/a</w:t>
            </w:r>
            <w:r>
              <w:rPr>
                <w:rFonts w:hint="eastAsia"/>
                <w:color w:val="auto"/>
                <w:sz w:val="24"/>
                <w:lang w:val="en-US" w:eastAsia="zh-CN"/>
              </w:rPr>
              <w:t>，初期雨水排放量为</w:t>
            </w:r>
            <w:r>
              <w:rPr>
                <w:rFonts w:hint="eastAsia"/>
                <w:color w:val="auto"/>
                <w:sz w:val="24"/>
                <w:lang w:val="en-US" w:eastAsia="zh-CN"/>
              </w:rPr>
              <w:t>1416.6t/a</w:t>
            </w:r>
            <w:r>
              <w:rPr>
                <w:rFonts w:hint="eastAsia"/>
                <w:color w:val="auto"/>
                <w:sz w:val="24"/>
                <w:lang w:val="en-US" w:eastAsia="zh-CN"/>
              </w:rPr>
              <w:t>。本项目废水中污染物产生量详见表4-9。</w:t>
            </w:r>
          </w:p>
          <w:p w14:paraId="098E28D3">
            <w:pPr>
              <w:keepNext w:val="0"/>
              <w:keepLines w:val="0"/>
              <w:pageBreakBefore w:val="0"/>
              <w:suppressLineNumbers w:val="0"/>
              <w:wordWrap/>
              <w:bidi w:val="0"/>
              <w:spacing w:before="0" w:beforeAutospacing="0" w:after="0" w:afterAutospacing="0" w:line="240" w:lineRule="auto"/>
              <w:ind w:left="0" w:leftChars="0" w:right="0"/>
              <w:jc w:val="center"/>
              <w:rPr>
                <w:rFonts w:hint="default" w:ascii="Times New Roman" w:hAnsi="Times New Roman" w:eastAsia="宋体" w:cs="Times New Roman"/>
                <w:b/>
                <w:bCs/>
                <w:iCs/>
                <w:color w:val="auto"/>
                <w:kern w:val="0"/>
                <w:sz w:val="21"/>
                <w:szCs w:val="21"/>
                <w:highlight w:val="none"/>
                <w:lang w:val="en-US" w:eastAsia="zh-CN" w:bidi="ar-SA"/>
              </w:rPr>
            </w:pPr>
            <w:r>
              <w:rPr>
                <w:rFonts w:hint="default" w:ascii="Times New Roman" w:hAnsi="Times New Roman" w:eastAsia="宋体" w:cs="Times New Roman"/>
                <w:b/>
                <w:bCs/>
                <w:iCs/>
                <w:color w:val="auto"/>
                <w:kern w:val="0"/>
                <w:sz w:val="21"/>
                <w:szCs w:val="21"/>
                <w:highlight w:val="none"/>
                <w:lang w:val="en-US" w:eastAsia="zh-CN" w:bidi="ar-SA"/>
              </w:rPr>
              <w:t>表4</w:t>
            </w:r>
            <w:r>
              <w:rPr>
                <w:rFonts w:hint="eastAsia" w:cs="Times New Roman"/>
                <w:b/>
                <w:bCs/>
                <w:iCs/>
                <w:color w:val="auto"/>
                <w:kern w:val="0"/>
                <w:sz w:val="21"/>
                <w:szCs w:val="21"/>
                <w:highlight w:val="none"/>
                <w:lang w:val="en-US" w:eastAsia="zh-CN" w:bidi="ar-SA"/>
              </w:rPr>
              <w:t xml:space="preserve">-9 </w:t>
            </w:r>
            <w:r>
              <w:rPr>
                <w:rFonts w:hint="default" w:ascii="Times New Roman" w:hAnsi="Times New Roman" w:eastAsia="宋体" w:cs="Times New Roman"/>
                <w:b/>
                <w:bCs/>
                <w:iCs/>
                <w:color w:val="auto"/>
                <w:kern w:val="0"/>
                <w:sz w:val="21"/>
                <w:szCs w:val="21"/>
                <w:highlight w:val="none"/>
                <w:lang w:val="en-US" w:eastAsia="zh-CN" w:bidi="ar-SA"/>
              </w:rPr>
              <w:t xml:space="preserve"> 废水污染源源强核算结果及相关参数一览表</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0"/>
              <w:gridCol w:w="874"/>
              <w:gridCol w:w="1261"/>
              <w:gridCol w:w="1057"/>
              <w:gridCol w:w="1057"/>
              <w:gridCol w:w="1057"/>
              <w:gridCol w:w="1057"/>
              <w:gridCol w:w="1057"/>
            </w:tblGrid>
            <w:tr w14:paraId="200681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tcBorders>
                    <w:tl2br w:val="nil"/>
                    <w:tr2bl w:val="nil"/>
                  </w:tcBorders>
                  <w:vAlign w:val="center"/>
                </w:tcPr>
                <w:p w14:paraId="7E39B8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污染源</w:t>
                  </w:r>
                </w:p>
              </w:tc>
              <w:tc>
                <w:tcPr>
                  <w:tcW w:w="537" w:type="pct"/>
                  <w:tcBorders>
                    <w:tl2br w:val="nil"/>
                    <w:tr2bl w:val="nil"/>
                  </w:tcBorders>
                  <w:vAlign w:val="center"/>
                </w:tcPr>
                <w:p w14:paraId="196D0E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废水量t/a</w:t>
                  </w:r>
                </w:p>
              </w:tc>
              <w:tc>
                <w:tcPr>
                  <w:tcW w:w="774" w:type="pct"/>
                  <w:tcBorders>
                    <w:tl2br w:val="nil"/>
                    <w:tr2bl w:val="nil"/>
                  </w:tcBorders>
                  <w:vAlign w:val="center"/>
                </w:tcPr>
                <w:p w14:paraId="64242F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项目</w:t>
                  </w:r>
                </w:p>
              </w:tc>
              <w:tc>
                <w:tcPr>
                  <w:tcW w:w="648" w:type="pct"/>
                  <w:tcBorders>
                    <w:tl2br w:val="nil"/>
                    <w:tr2bl w:val="nil"/>
                  </w:tcBorders>
                  <w:vAlign w:val="center"/>
                </w:tcPr>
                <w:p w14:paraId="283A8A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COD</w:t>
                  </w:r>
                </w:p>
              </w:tc>
              <w:tc>
                <w:tcPr>
                  <w:tcW w:w="648" w:type="pct"/>
                  <w:tcBorders>
                    <w:tl2br w:val="nil"/>
                    <w:tr2bl w:val="nil"/>
                  </w:tcBorders>
                  <w:vAlign w:val="center"/>
                </w:tcPr>
                <w:p w14:paraId="5A4C59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BOD</w:t>
                  </w:r>
                  <w:r>
                    <w:rPr>
                      <w:rFonts w:hint="default" w:ascii="Times New Roman" w:hAnsi="Times New Roman" w:eastAsia="宋体" w:cs="Times New Roman"/>
                      <w:color w:val="auto"/>
                      <w:kern w:val="0"/>
                      <w:sz w:val="21"/>
                      <w:szCs w:val="21"/>
                      <w:vertAlign w:val="subscript"/>
                      <w:lang w:val="en-US" w:eastAsia="zh-CN"/>
                    </w:rPr>
                    <w:t>5</w:t>
                  </w:r>
                </w:p>
              </w:tc>
              <w:tc>
                <w:tcPr>
                  <w:tcW w:w="648" w:type="pct"/>
                  <w:tcBorders>
                    <w:tl2br w:val="nil"/>
                    <w:tr2bl w:val="nil"/>
                  </w:tcBorders>
                  <w:vAlign w:val="center"/>
                </w:tcPr>
                <w:p w14:paraId="427C0B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SS</w:t>
                  </w:r>
                </w:p>
              </w:tc>
              <w:tc>
                <w:tcPr>
                  <w:tcW w:w="648" w:type="pct"/>
                  <w:tcBorders>
                    <w:tl2br w:val="nil"/>
                    <w:tr2bl w:val="nil"/>
                  </w:tcBorders>
                  <w:vAlign w:val="center"/>
                </w:tcPr>
                <w:p w14:paraId="7C1625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氨氮</w:t>
                  </w:r>
                </w:p>
              </w:tc>
              <w:tc>
                <w:tcPr>
                  <w:tcW w:w="648" w:type="pct"/>
                  <w:tcBorders>
                    <w:tl2br w:val="nil"/>
                    <w:tr2bl w:val="nil"/>
                  </w:tcBorders>
                  <w:vAlign w:val="center"/>
                </w:tcPr>
                <w:p w14:paraId="293892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石油类</w:t>
                  </w:r>
                </w:p>
              </w:tc>
            </w:tr>
            <w:tr w14:paraId="7D611C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Merge w:val="restart"/>
                  <w:tcBorders>
                    <w:tl2br w:val="nil"/>
                    <w:tr2bl w:val="nil"/>
                  </w:tcBorders>
                  <w:vAlign w:val="center"/>
                </w:tcPr>
                <w:p w14:paraId="3D4BDD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生活污水</w:t>
                  </w:r>
                </w:p>
              </w:tc>
              <w:tc>
                <w:tcPr>
                  <w:tcW w:w="537" w:type="pct"/>
                  <w:vMerge w:val="restart"/>
                  <w:tcBorders>
                    <w:tl2br w:val="nil"/>
                    <w:tr2bl w:val="nil"/>
                  </w:tcBorders>
                  <w:vAlign w:val="center"/>
                </w:tcPr>
                <w:p w14:paraId="5B90DE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176</w:t>
                  </w:r>
                </w:p>
              </w:tc>
              <w:tc>
                <w:tcPr>
                  <w:tcW w:w="774" w:type="pct"/>
                  <w:tcBorders>
                    <w:tl2br w:val="nil"/>
                    <w:tr2bl w:val="nil"/>
                  </w:tcBorders>
                  <w:vAlign w:val="center"/>
                </w:tcPr>
                <w:p w14:paraId="2EBA96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产生浓度（mg/L）</w:t>
                  </w:r>
                </w:p>
              </w:tc>
              <w:tc>
                <w:tcPr>
                  <w:tcW w:w="648" w:type="pct"/>
                  <w:tcBorders>
                    <w:tl2br w:val="nil"/>
                    <w:tr2bl w:val="nil"/>
                  </w:tcBorders>
                  <w:vAlign w:val="center"/>
                </w:tcPr>
                <w:p w14:paraId="52D227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400</w:t>
                  </w:r>
                </w:p>
              </w:tc>
              <w:tc>
                <w:tcPr>
                  <w:tcW w:w="648" w:type="pct"/>
                  <w:tcBorders>
                    <w:tl2br w:val="nil"/>
                    <w:tr2bl w:val="nil"/>
                  </w:tcBorders>
                  <w:vAlign w:val="center"/>
                </w:tcPr>
                <w:p w14:paraId="4C8523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300</w:t>
                  </w:r>
                </w:p>
              </w:tc>
              <w:tc>
                <w:tcPr>
                  <w:tcW w:w="648" w:type="pct"/>
                  <w:tcBorders>
                    <w:tl2br w:val="nil"/>
                    <w:tr2bl w:val="nil"/>
                  </w:tcBorders>
                  <w:vAlign w:val="center"/>
                </w:tcPr>
                <w:p w14:paraId="3204F9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180</w:t>
                  </w:r>
                </w:p>
              </w:tc>
              <w:tc>
                <w:tcPr>
                  <w:tcW w:w="648" w:type="pct"/>
                  <w:tcBorders>
                    <w:tl2br w:val="nil"/>
                    <w:tr2bl w:val="nil"/>
                  </w:tcBorders>
                  <w:vAlign w:val="center"/>
                </w:tcPr>
                <w:p w14:paraId="32C842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35</w:t>
                  </w:r>
                </w:p>
              </w:tc>
              <w:tc>
                <w:tcPr>
                  <w:tcW w:w="648" w:type="pct"/>
                  <w:tcBorders>
                    <w:tl2br w:val="nil"/>
                    <w:tr2bl w:val="nil"/>
                  </w:tcBorders>
                  <w:vAlign w:val="center"/>
                </w:tcPr>
                <w:p w14:paraId="5436C2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r>
            <w:tr w14:paraId="4338D0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Merge w:val="continue"/>
                  <w:tcBorders>
                    <w:tl2br w:val="nil"/>
                    <w:tr2bl w:val="nil"/>
                  </w:tcBorders>
                  <w:vAlign w:val="center"/>
                </w:tcPr>
                <w:p w14:paraId="47E2E2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p>
              </w:tc>
              <w:tc>
                <w:tcPr>
                  <w:tcW w:w="537" w:type="pct"/>
                  <w:vMerge w:val="continue"/>
                  <w:tcBorders>
                    <w:tl2br w:val="nil"/>
                    <w:tr2bl w:val="nil"/>
                  </w:tcBorders>
                  <w:vAlign w:val="center"/>
                </w:tcPr>
                <w:p w14:paraId="2497B1F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p>
              </w:tc>
              <w:tc>
                <w:tcPr>
                  <w:tcW w:w="774" w:type="pct"/>
                  <w:tcBorders>
                    <w:tl2br w:val="nil"/>
                    <w:tr2bl w:val="nil"/>
                  </w:tcBorders>
                  <w:vAlign w:val="center"/>
                </w:tcPr>
                <w:p w14:paraId="5FA38F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产生量（t/a）</w:t>
                  </w:r>
                </w:p>
              </w:tc>
              <w:tc>
                <w:tcPr>
                  <w:tcW w:w="648" w:type="pct"/>
                  <w:tcBorders>
                    <w:tl2br w:val="nil"/>
                    <w:tr2bl w:val="nil"/>
                  </w:tcBorders>
                  <w:vAlign w:val="center"/>
                </w:tcPr>
                <w:p w14:paraId="73300A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0.07</w:t>
                  </w:r>
                </w:p>
              </w:tc>
              <w:tc>
                <w:tcPr>
                  <w:tcW w:w="648" w:type="pct"/>
                  <w:tcBorders>
                    <w:tl2br w:val="nil"/>
                    <w:tr2bl w:val="nil"/>
                  </w:tcBorders>
                  <w:vAlign w:val="center"/>
                </w:tcPr>
                <w:p w14:paraId="3F0E1A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0.053</w:t>
                  </w:r>
                </w:p>
              </w:tc>
              <w:tc>
                <w:tcPr>
                  <w:tcW w:w="648" w:type="pct"/>
                  <w:tcBorders>
                    <w:tl2br w:val="nil"/>
                    <w:tr2bl w:val="nil"/>
                  </w:tcBorders>
                  <w:vAlign w:val="center"/>
                </w:tcPr>
                <w:p w14:paraId="467461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0.032</w:t>
                  </w:r>
                </w:p>
              </w:tc>
              <w:tc>
                <w:tcPr>
                  <w:tcW w:w="648" w:type="pct"/>
                  <w:tcBorders>
                    <w:tl2br w:val="nil"/>
                    <w:tr2bl w:val="nil"/>
                  </w:tcBorders>
                  <w:vAlign w:val="center"/>
                </w:tcPr>
                <w:p w14:paraId="0D19BD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0.006</w:t>
                  </w:r>
                </w:p>
              </w:tc>
              <w:tc>
                <w:tcPr>
                  <w:tcW w:w="648" w:type="pct"/>
                  <w:tcBorders>
                    <w:tl2br w:val="nil"/>
                    <w:tr2bl w:val="nil"/>
                  </w:tcBorders>
                  <w:vAlign w:val="center"/>
                </w:tcPr>
                <w:p w14:paraId="2DABAF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r>
            <w:tr w14:paraId="333013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85" w:type="pct"/>
                  <w:gridSpan w:val="2"/>
                  <w:tcBorders>
                    <w:tl2br w:val="nil"/>
                    <w:tr2bl w:val="nil"/>
                  </w:tcBorders>
                  <w:vAlign w:val="center"/>
                </w:tcPr>
                <w:p w14:paraId="1730CA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处理措施</w:t>
                  </w:r>
                </w:p>
              </w:tc>
              <w:tc>
                <w:tcPr>
                  <w:tcW w:w="4014" w:type="pct"/>
                  <w:gridSpan w:val="6"/>
                  <w:tcBorders>
                    <w:tl2br w:val="nil"/>
                    <w:tr2bl w:val="nil"/>
                  </w:tcBorders>
                  <w:vAlign w:val="center"/>
                </w:tcPr>
                <w:p w14:paraId="0B00ED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eastAsia"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排入市政管网，进入鸡西市鸡冠区</w:t>
                  </w:r>
                  <w:r>
                    <w:rPr>
                      <w:rFonts w:hint="eastAsia" w:ascii="Times New Roman" w:hAnsi="Times New Roman" w:eastAsia="宋体" w:cs="Times New Roman"/>
                      <w:color w:val="auto"/>
                      <w:kern w:val="0"/>
                      <w:sz w:val="21"/>
                      <w:szCs w:val="21"/>
                      <w:vertAlign w:val="baseline"/>
                      <w:lang w:val="en-US" w:eastAsia="zh-CN"/>
                    </w:rPr>
                    <w:t>污水处理厂</w:t>
                  </w:r>
                </w:p>
              </w:tc>
            </w:tr>
            <w:tr w14:paraId="28BF7B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7" w:hRule="atLeast"/>
                <w:jc w:val="center"/>
              </w:trPr>
              <w:tc>
                <w:tcPr>
                  <w:tcW w:w="448" w:type="pct"/>
                  <w:vMerge w:val="restart"/>
                  <w:tcBorders>
                    <w:tl2br w:val="nil"/>
                    <w:tr2bl w:val="nil"/>
                  </w:tcBorders>
                  <w:vAlign w:val="center"/>
                </w:tcPr>
                <w:p w14:paraId="742145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初期雨水</w:t>
                  </w:r>
                </w:p>
              </w:tc>
              <w:tc>
                <w:tcPr>
                  <w:tcW w:w="537" w:type="pct"/>
                  <w:vMerge w:val="restart"/>
                  <w:tcBorders>
                    <w:tl2br w:val="nil"/>
                    <w:tr2bl w:val="nil"/>
                  </w:tcBorders>
                  <w:vAlign w:val="center"/>
                </w:tcPr>
                <w:p w14:paraId="76FC30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1416.6</w:t>
                  </w:r>
                </w:p>
              </w:tc>
              <w:tc>
                <w:tcPr>
                  <w:tcW w:w="774" w:type="pct"/>
                  <w:tcBorders>
                    <w:tl2br w:val="nil"/>
                    <w:tr2bl w:val="nil"/>
                  </w:tcBorders>
                  <w:vAlign w:val="center"/>
                </w:tcPr>
                <w:p w14:paraId="756831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产生浓度（mg/L）</w:t>
                  </w:r>
                </w:p>
              </w:tc>
              <w:tc>
                <w:tcPr>
                  <w:tcW w:w="648" w:type="pct"/>
                  <w:tcBorders>
                    <w:tl2br w:val="nil"/>
                    <w:tr2bl w:val="nil"/>
                  </w:tcBorders>
                  <w:vAlign w:val="center"/>
                </w:tcPr>
                <w:p w14:paraId="65C5B8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150</w:t>
                  </w:r>
                </w:p>
              </w:tc>
              <w:tc>
                <w:tcPr>
                  <w:tcW w:w="648" w:type="pct"/>
                  <w:tcBorders>
                    <w:tl2br w:val="nil"/>
                    <w:tr2bl w:val="nil"/>
                  </w:tcBorders>
                  <w:vAlign w:val="center"/>
                </w:tcPr>
                <w:p w14:paraId="755152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648" w:type="pct"/>
                  <w:tcBorders>
                    <w:tl2br w:val="nil"/>
                    <w:tr2bl w:val="nil"/>
                  </w:tcBorders>
                  <w:vAlign w:val="center"/>
                </w:tcPr>
                <w:p w14:paraId="6C5D86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300</w:t>
                  </w:r>
                </w:p>
              </w:tc>
              <w:tc>
                <w:tcPr>
                  <w:tcW w:w="648" w:type="pct"/>
                  <w:tcBorders>
                    <w:tl2br w:val="nil"/>
                    <w:tr2bl w:val="nil"/>
                  </w:tcBorders>
                  <w:vAlign w:val="center"/>
                </w:tcPr>
                <w:p w14:paraId="0B585AA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35</w:t>
                  </w:r>
                </w:p>
              </w:tc>
              <w:tc>
                <w:tcPr>
                  <w:tcW w:w="648" w:type="pct"/>
                  <w:tcBorders>
                    <w:tl2br w:val="nil"/>
                    <w:tr2bl w:val="nil"/>
                  </w:tcBorders>
                  <w:vAlign w:val="center"/>
                </w:tcPr>
                <w:p w14:paraId="4E7A3C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100</w:t>
                  </w:r>
                </w:p>
              </w:tc>
            </w:tr>
            <w:tr w14:paraId="2EF6DB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Merge w:val="continue"/>
                  <w:tcBorders>
                    <w:tl2br w:val="nil"/>
                    <w:tr2bl w:val="nil"/>
                  </w:tcBorders>
                  <w:vAlign w:val="center"/>
                </w:tcPr>
                <w:p w14:paraId="2CA7FEE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p>
              </w:tc>
              <w:tc>
                <w:tcPr>
                  <w:tcW w:w="537" w:type="pct"/>
                  <w:vMerge w:val="continue"/>
                  <w:tcBorders>
                    <w:tl2br w:val="nil"/>
                    <w:tr2bl w:val="nil"/>
                  </w:tcBorders>
                  <w:vAlign w:val="center"/>
                </w:tcPr>
                <w:p w14:paraId="201598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p>
              </w:tc>
              <w:tc>
                <w:tcPr>
                  <w:tcW w:w="774" w:type="pct"/>
                  <w:tcBorders>
                    <w:tl2br w:val="nil"/>
                    <w:tr2bl w:val="nil"/>
                  </w:tcBorders>
                  <w:vAlign w:val="center"/>
                </w:tcPr>
                <w:p w14:paraId="61D23E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产生量（t/a）</w:t>
                  </w:r>
                </w:p>
              </w:tc>
              <w:tc>
                <w:tcPr>
                  <w:tcW w:w="648" w:type="pct"/>
                  <w:tcBorders>
                    <w:tl2br w:val="nil"/>
                    <w:tr2bl w:val="nil"/>
                  </w:tcBorders>
                  <w:vAlign w:val="center"/>
                </w:tcPr>
                <w:p w14:paraId="038165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0.212</w:t>
                  </w:r>
                </w:p>
              </w:tc>
              <w:tc>
                <w:tcPr>
                  <w:tcW w:w="648" w:type="pct"/>
                  <w:tcBorders>
                    <w:tl2br w:val="nil"/>
                    <w:tr2bl w:val="nil"/>
                  </w:tcBorders>
                  <w:vAlign w:val="center"/>
                </w:tcPr>
                <w:p w14:paraId="69BEDE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648" w:type="pct"/>
                  <w:tcBorders>
                    <w:tl2br w:val="nil"/>
                    <w:tr2bl w:val="nil"/>
                  </w:tcBorders>
                  <w:vAlign w:val="center"/>
                </w:tcPr>
                <w:p w14:paraId="4534DB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0.425</w:t>
                  </w:r>
                </w:p>
              </w:tc>
              <w:tc>
                <w:tcPr>
                  <w:tcW w:w="648" w:type="pct"/>
                  <w:tcBorders>
                    <w:tl2br w:val="nil"/>
                    <w:tr2bl w:val="nil"/>
                  </w:tcBorders>
                  <w:shd w:val="clear" w:color="auto" w:fill="auto"/>
                  <w:vAlign w:val="center"/>
                </w:tcPr>
                <w:p w14:paraId="525BDA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eastAsia" w:cs="Times New Roman"/>
                      <w:color w:val="auto"/>
                      <w:kern w:val="0"/>
                      <w:sz w:val="21"/>
                      <w:szCs w:val="21"/>
                      <w:vertAlign w:val="baseline"/>
                      <w:lang w:val="en-US" w:eastAsia="zh-CN" w:bidi="ar-SA"/>
                    </w:rPr>
                    <w:t>0.05</w:t>
                  </w:r>
                </w:p>
              </w:tc>
              <w:tc>
                <w:tcPr>
                  <w:tcW w:w="648" w:type="pct"/>
                  <w:tcBorders>
                    <w:tl2br w:val="nil"/>
                    <w:tr2bl w:val="nil"/>
                  </w:tcBorders>
                  <w:shd w:val="clear" w:color="auto" w:fill="auto"/>
                  <w:vAlign w:val="center"/>
                </w:tcPr>
                <w:p w14:paraId="21A40A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eastAsia" w:cs="Times New Roman"/>
                      <w:color w:val="auto"/>
                      <w:kern w:val="0"/>
                      <w:sz w:val="21"/>
                      <w:szCs w:val="21"/>
                      <w:vertAlign w:val="baseline"/>
                      <w:lang w:val="en-US" w:eastAsia="zh-CN" w:bidi="ar-SA"/>
                    </w:rPr>
                    <w:t>0.142</w:t>
                  </w:r>
                </w:p>
              </w:tc>
            </w:tr>
            <w:tr w14:paraId="38629D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85" w:type="pct"/>
                  <w:gridSpan w:val="2"/>
                  <w:tcBorders>
                    <w:tl2br w:val="nil"/>
                    <w:tr2bl w:val="nil"/>
                  </w:tcBorders>
                  <w:vAlign w:val="center"/>
                </w:tcPr>
                <w:p w14:paraId="132AC9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处理措施</w:t>
                  </w:r>
                </w:p>
              </w:tc>
              <w:tc>
                <w:tcPr>
                  <w:tcW w:w="4014" w:type="pct"/>
                  <w:gridSpan w:val="6"/>
                  <w:tcBorders>
                    <w:tl2br w:val="nil"/>
                    <w:tr2bl w:val="nil"/>
                  </w:tcBorders>
                  <w:vAlign w:val="center"/>
                </w:tcPr>
                <w:p w14:paraId="1A71BE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eastAsia" w:cs="Times New Roman"/>
                      <w:color w:val="auto"/>
                      <w:kern w:val="0"/>
                      <w:sz w:val="21"/>
                      <w:szCs w:val="21"/>
                      <w:vertAlign w:val="baseline"/>
                      <w:lang w:val="en-US" w:eastAsia="zh-CN" w:bidi="ar-SA"/>
                    </w:rPr>
                  </w:pPr>
                  <w:r>
                    <w:rPr>
                      <w:rFonts w:hint="eastAsia" w:cs="Times New Roman"/>
                      <w:color w:val="auto"/>
                      <w:kern w:val="0"/>
                      <w:sz w:val="21"/>
                      <w:szCs w:val="21"/>
                      <w:vertAlign w:val="baseline"/>
                      <w:lang w:val="en-US" w:eastAsia="zh-CN"/>
                    </w:rPr>
                    <w:t>经油水分离装置处理，进入鸡西市鸡冠区</w:t>
                  </w:r>
                  <w:r>
                    <w:rPr>
                      <w:rFonts w:hint="eastAsia" w:ascii="Times New Roman" w:hAnsi="Times New Roman" w:eastAsia="宋体" w:cs="Times New Roman"/>
                      <w:color w:val="auto"/>
                      <w:kern w:val="0"/>
                      <w:sz w:val="21"/>
                      <w:szCs w:val="21"/>
                      <w:vertAlign w:val="baseline"/>
                      <w:lang w:val="en-US" w:eastAsia="zh-CN"/>
                    </w:rPr>
                    <w:t>污水处理厂</w:t>
                  </w:r>
                </w:p>
              </w:tc>
            </w:tr>
            <w:tr w14:paraId="05221D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96" w:hRule="atLeast"/>
                <w:jc w:val="center"/>
              </w:trPr>
              <w:tc>
                <w:tcPr>
                  <w:tcW w:w="448" w:type="pct"/>
                  <w:vMerge w:val="restart"/>
                  <w:tcBorders>
                    <w:tl2br w:val="nil"/>
                    <w:tr2bl w:val="nil"/>
                  </w:tcBorders>
                  <w:vAlign w:val="center"/>
                </w:tcPr>
                <w:p w14:paraId="6CDBBF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锅炉排污水+软化水制备废水</w:t>
                  </w:r>
                </w:p>
              </w:tc>
              <w:tc>
                <w:tcPr>
                  <w:tcW w:w="537" w:type="pct"/>
                  <w:vMerge w:val="restart"/>
                  <w:tcBorders>
                    <w:tl2br w:val="nil"/>
                    <w:tr2bl w:val="nil"/>
                  </w:tcBorders>
                  <w:vAlign w:val="center"/>
                </w:tcPr>
                <w:p w14:paraId="700F578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373.202</w:t>
                  </w:r>
                </w:p>
              </w:tc>
              <w:tc>
                <w:tcPr>
                  <w:tcW w:w="774" w:type="pct"/>
                  <w:tcBorders>
                    <w:tl2br w:val="nil"/>
                    <w:tr2bl w:val="nil"/>
                  </w:tcBorders>
                  <w:vAlign w:val="center"/>
                </w:tcPr>
                <w:p w14:paraId="52E74D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产生浓度（mg/L）</w:t>
                  </w:r>
                </w:p>
              </w:tc>
              <w:tc>
                <w:tcPr>
                  <w:tcW w:w="648" w:type="pct"/>
                  <w:tcBorders>
                    <w:tl2br w:val="nil"/>
                    <w:tr2bl w:val="nil"/>
                  </w:tcBorders>
                  <w:vAlign w:val="center"/>
                </w:tcPr>
                <w:p w14:paraId="44C0C2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30</w:t>
                  </w:r>
                </w:p>
              </w:tc>
              <w:tc>
                <w:tcPr>
                  <w:tcW w:w="648" w:type="pct"/>
                  <w:tcBorders>
                    <w:tl2br w:val="nil"/>
                    <w:tr2bl w:val="nil"/>
                  </w:tcBorders>
                  <w:vAlign w:val="center"/>
                </w:tcPr>
                <w:p w14:paraId="4E6CB6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648" w:type="pct"/>
                  <w:tcBorders>
                    <w:tl2br w:val="nil"/>
                    <w:tr2bl w:val="nil"/>
                  </w:tcBorders>
                  <w:vAlign w:val="center"/>
                </w:tcPr>
                <w:p w14:paraId="50623B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648" w:type="pct"/>
                  <w:tcBorders>
                    <w:tl2br w:val="nil"/>
                    <w:tr2bl w:val="nil"/>
                  </w:tcBorders>
                  <w:shd w:val="clear" w:color="auto" w:fill="auto"/>
                  <w:vAlign w:val="center"/>
                </w:tcPr>
                <w:p w14:paraId="324867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eastAsia" w:ascii="Times New Roman" w:hAnsi="Times New Roman" w:eastAsia="宋体" w:cs="Times New Roman"/>
                      <w:color w:val="auto"/>
                      <w:kern w:val="0"/>
                      <w:sz w:val="21"/>
                      <w:szCs w:val="21"/>
                      <w:vertAlign w:val="baseline"/>
                      <w:lang w:val="en-US" w:eastAsia="zh-CN"/>
                    </w:rPr>
                    <w:t>—</w:t>
                  </w:r>
                </w:p>
              </w:tc>
              <w:tc>
                <w:tcPr>
                  <w:tcW w:w="648" w:type="pct"/>
                  <w:tcBorders>
                    <w:tl2br w:val="nil"/>
                    <w:tr2bl w:val="nil"/>
                  </w:tcBorders>
                  <w:shd w:val="clear" w:color="auto" w:fill="auto"/>
                  <w:vAlign w:val="center"/>
                </w:tcPr>
                <w:p w14:paraId="059E60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eastAsia" w:ascii="Times New Roman" w:hAnsi="Times New Roman" w:eastAsia="宋体" w:cs="Times New Roman"/>
                      <w:color w:val="auto"/>
                      <w:kern w:val="0"/>
                      <w:sz w:val="21"/>
                      <w:szCs w:val="21"/>
                      <w:vertAlign w:val="baseline"/>
                      <w:lang w:val="en-US" w:eastAsia="zh-CN"/>
                    </w:rPr>
                    <w:t>—</w:t>
                  </w:r>
                </w:p>
              </w:tc>
            </w:tr>
            <w:tr w14:paraId="0F554A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Merge w:val="continue"/>
                  <w:tcBorders>
                    <w:tl2br w:val="nil"/>
                    <w:tr2bl w:val="nil"/>
                  </w:tcBorders>
                  <w:vAlign w:val="center"/>
                </w:tcPr>
                <w:p w14:paraId="5172D5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p>
              </w:tc>
              <w:tc>
                <w:tcPr>
                  <w:tcW w:w="537" w:type="pct"/>
                  <w:vMerge w:val="continue"/>
                  <w:tcBorders>
                    <w:tl2br w:val="nil"/>
                    <w:tr2bl w:val="nil"/>
                  </w:tcBorders>
                  <w:vAlign w:val="center"/>
                </w:tcPr>
                <w:p w14:paraId="17B3C3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p>
              </w:tc>
              <w:tc>
                <w:tcPr>
                  <w:tcW w:w="774" w:type="pct"/>
                  <w:tcBorders>
                    <w:tl2br w:val="nil"/>
                    <w:tr2bl w:val="nil"/>
                  </w:tcBorders>
                  <w:vAlign w:val="center"/>
                </w:tcPr>
                <w:p w14:paraId="6F26D0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产生量（t/a）</w:t>
                  </w:r>
                </w:p>
              </w:tc>
              <w:tc>
                <w:tcPr>
                  <w:tcW w:w="648" w:type="pct"/>
                  <w:tcBorders>
                    <w:tl2br w:val="nil"/>
                    <w:tr2bl w:val="nil"/>
                  </w:tcBorders>
                  <w:vAlign w:val="center"/>
                </w:tcPr>
                <w:p w14:paraId="5650E23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0.012</w:t>
                  </w:r>
                </w:p>
              </w:tc>
              <w:tc>
                <w:tcPr>
                  <w:tcW w:w="648" w:type="pct"/>
                  <w:tcBorders>
                    <w:tl2br w:val="nil"/>
                    <w:tr2bl w:val="nil"/>
                  </w:tcBorders>
                  <w:vAlign w:val="center"/>
                </w:tcPr>
                <w:p w14:paraId="1B0D59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648" w:type="pct"/>
                  <w:tcBorders>
                    <w:tl2br w:val="nil"/>
                    <w:tr2bl w:val="nil"/>
                  </w:tcBorders>
                  <w:vAlign w:val="center"/>
                </w:tcPr>
                <w:p w14:paraId="04B679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648" w:type="pct"/>
                  <w:tcBorders>
                    <w:tl2br w:val="nil"/>
                    <w:tr2bl w:val="nil"/>
                  </w:tcBorders>
                  <w:shd w:val="clear" w:color="auto" w:fill="auto"/>
                  <w:vAlign w:val="center"/>
                </w:tcPr>
                <w:p w14:paraId="3E9855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eastAsia" w:ascii="Times New Roman" w:hAnsi="Times New Roman" w:eastAsia="宋体" w:cs="Times New Roman"/>
                      <w:color w:val="auto"/>
                      <w:kern w:val="0"/>
                      <w:sz w:val="21"/>
                      <w:szCs w:val="21"/>
                      <w:vertAlign w:val="baseline"/>
                      <w:lang w:val="en-US" w:eastAsia="zh-CN"/>
                    </w:rPr>
                    <w:t>—</w:t>
                  </w:r>
                </w:p>
              </w:tc>
              <w:tc>
                <w:tcPr>
                  <w:tcW w:w="648" w:type="pct"/>
                  <w:tcBorders>
                    <w:tl2br w:val="nil"/>
                    <w:tr2bl w:val="nil"/>
                  </w:tcBorders>
                  <w:shd w:val="clear" w:color="auto" w:fill="auto"/>
                  <w:vAlign w:val="center"/>
                </w:tcPr>
                <w:p w14:paraId="3D6969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eastAsia" w:ascii="Times New Roman" w:hAnsi="Times New Roman" w:eastAsia="宋体" w:cs="Times New Roman"/>
                      <w:color w:val="auto"/>
                      <w:kern w:val="0"/>
                      <w:sz w:val="21"/>
                      <w:szCs w:val="21"/>
                      <w:vertAlign w:val="baseline"/>
                      <w:lang w:val="en-US" w:eastAsia="zh-CN"/>
                    </w:rPr>
                    <w:t>—</w:t>
                  </w:r>
                </w:p>
              </w:tc>
            </w:tr>
            <w:tr w14:paraId="36CDFE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85" w:type="pct"/>
                  <w:gridSpan w:val="2"/>
                  <w:tcBorders>
                    <w:tl2br w:val="nil"/>
                    <w:tr2bl w:val="nil"/>
                  </w:tcBorders>
                  <w:vAlign w:val="center"/>
                </w:tcPr>
                <w:p w14:paraId="49FA04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处理措施</w:t>
                  </w:r>
                </w:p>
              </w:tc>
              <w:tc>
                <w:tcPr>
                  <w:tcW w:w="4014" w:type="pct"/>
                  <w:gridSpan w:val="6"/>
                  <w:tcBorders>
                    <w:tl2br w:val="nil"/>
                    <w:tr2bl w:val="nil"/>
                  </w:tcBorders>
                  <w:vAlign w:val="center"/>
                </w:tcPr>
                <w:p w14:paraId="24BEA3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eastAsia"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排入市政管网，进入鸡西市鸡冠区</w:t>
                  </w:r>
                  <w:r>
                    <w:rPr>
                      <w:rFonts w:hint="eastAsia" w:ascii="Times New Roman" w:hAnsi="Times New Roman" w:eastAsia="宋体" w:cs="Times New Roman"/>
                      <w:color w:val="auto"/>
                      <w:kern w:val="0"/>
                      <w:sz w:val="21"/>
                      <w:szCs w:val="21"/>
                      <w:vertAlign w:val="baseline"/>
                      <w:lang w:val="en-US" w:eastAsia="zh-CN"/>
                    </w:rPr>
                    <w:t>污水处理厂</w:t>
                  </w:r>
                </w:p>
              </w:tc>
            </w:tr>
            <w:tr w14:paraId="16379B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Merge w:val="restart"/>
                  <w:tcBorders>
                    <w:tl2br w:val="nil"/>
                    <w:tr2bl w:val="nil"/>
                  </w:tcBorders>
                  <w:shd w:val="clear" w:color="auto" w:fill="auto"/>
                  <w:vAlign w:val="center"/>
                </w:tcPr>
                <w:p w14:paraId="38899B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eastAsia" w:ascii="Times New Roman" w:hAnsi="Times New Roman" w:eastAsia="宋体" w:cs="Times New Roman"/>
                      <w:color w:val="auto"/>
                      <w:kern w:val="0"/>
                      <w:sz w:val="21"/>
                      <w:szCs w:val="21"/>
                      <w:vertAlign w:val="baseline"/>
                      <w:lang w:val="en-US" w:eastAsia="zh-CN" w:bidi="ar-SA"/>
                    </w:rPr>
                    <w:t>综合废水</w:t>
                  </w:r>
                </w:p>
              </w:tc>
              <w:tc>
                <w:tcPr>
                  <w:tcW w:w="537" w:type="pct"/>
                  <w:vMerge w:val="restart"/>
                  <w:tcBorders>
                    <w:tl2br w:val="nil"/>
                    <w:tr2bl w:val="nil"/>
                  </w:tcBorders>
                  <w:vAlign w:val="center"/>
                </w:tcPr>
                <w:p w14:paraId="714B6D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1965.802</w:t>
                  </w:r>
                </w:p>
              </w:tc>
              <w:tc>
                <w:tcPr>
                  <w:tcW w:w="774" w:type="pct"/>
                  <w:tcBorders>
                    <w:tl2br w:val="nil"/>
                    <w:tr2bl w:val="nil"/>
                  </w:tcBorders>
                  <w:vAlign w:val="center"/>
                </w:tcPr>
                <w:p w14:paraId="054EC0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产生浓度（mg/L）</w:t>
                  </w:r>
                </w:p>
              </w:tc>
              <w:tc>
                <w:tcPr>
                  <w:tcW w:w="648" w:type="pct"/>
                  <w:tcBorders>
                    <w:tl2br w:val="nil"/>
                    <w:tr2bl w:val="nil"/>
                  </w:tcBorders>
                  <w:vAlign w:val="center"/>
                </w:tcPr>
                <w:p w14:paraId="519480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150</w:t>
                  </w:r>
                </w:p>
              </w:tc>
              <w:tc>
                <w:tcPr>
                  <w:tcW w:w="648" w:type="pct"/>
                  <w:tcBorders>
                    <w:tl2br w:val="nil"/>
                    <w:tr2bl w:val="nil"/>
                  </w:tcBorders>
                  <w:vAlign w:val="center"/>
                </w:tcPr>
                <w:p w14:paraId="26185E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27</w:t>
                  </w:r>
                </w:p>
              </w:tc>
              <w:tc>
                <w:tcPr>
                  <w:tcW w:w="648" w:type="pct"/>
                  <w:tcBorders>
                    <w:tl2br w:val="nil"/>
                    <w:tr2bl w:val="nil"/>
                  </w:tcBorders>
                  <w:vAlign w:val="center"/>
                </w:tcPr>
                <w:p w14:paraId="78D05F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232</w:t>
                  </w:r>
                </w:p>
              </w:tc>
              <w:tc>
                <w:tcPr>
                  <w:tcW w:w="648" w:type="pct"/>
                  <w:tcBorders>
                    <w:tl2br w:val="nil"/>
                    <w:tr2bl w:val="nil"/>
                  </w:tcBorders>
                  <w:vAlign w:val="center"/>
                </w:tcPr>
                <w:p w14:paraId="584B8A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28</w:t>
                  </w:r>
                </w:p>
              </w:tc>
              <w:tc>
                <w:tcPr>
                  <w:tcW w:w="648" w:type="pct"/>
                  <w:tcBorders>
                    <w:tl2br w:val="nil"/>
                    <w:tr2bl w:val="nil"/>
                  </w:tcBorders>
                  <w:vAlign w:val="center"/>
                </w:tcPr>
                <w:p w14:paraId="3D0987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72</w:t>
                  </w:r>
                </w:p>
              </w:tc>
            </w:tr>
            <w:tr w14:paraId="2B0AFA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Merge w:val="continue"/>
                  <w:tcBorders>
                    <w:tl2br w:val="nil"/>
                    <w:tr2bl w:val="nil"/>
                  </w:tcBorders>
                  <w:shd w:val="clear" w:color="auto" w:fill="auto"/>
                  <w:vAlign w:val="center"/>
                </w:tcPr>
                <w:p w14:paraId="3357E9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c>
                <w:tcPr>
                  <w:tcW w:w="537" w:type="pct"/>
                  <w:vMerge w:val="continue"/>
                  <w:tcBorders>
                    <w:tl2br w:val="nil"/>
                    <w:tr2bl w:val="nil"/>
                  </w:tcBorders>
                  <w:vAlign w:val="center"/>
                </w:tcPr>
                <w:p w14:paraId="39D59F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p>
              </w:tc>
              <w:tc>
                <w:tcPr>
                  <w:tcW w:w="774" w:type="pct"/>
                  <w:tcBorders>
                    <w:tl2br w:val="nil"/>
                    <w:tr2bl w:val="nil"/>
                  </w:tcBorders>
                  <w:vAlign w:val="center"/>
                </w:tcPr>
                <w:p w14:paraId="10F3BD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产生量（t/a）</w:t>
                  </w:r>
                </w:p>
              </w:tc>
              <w:tc>
                <w:tcPr>
                  <w:tcW w:w="648" w:type="pct"/>
                  <w:tcBorders>
                    <w:tl2br w:val="nil"/>
                    <w:tr2bl w:val="nil"/>
                  </w:tcBorders>
                  <w:vAlign w:val="center"/>
                </w:tcPr>
                <w:p w14:paraId="03A7B7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0.294</w:t>
                  </w:r>
                </w:p>
              </w:tc>
              <w:tc>
                <w:tcPr>
                  <w:tcW w:w="648" w:type="pct"/>
                  <w:tcBorders>
                    <w:tl2br w:val="nil"/>
                    <w:tr2bl w:val="nil"/>
                  </w:tcBorders>
                  <w:vAlign w:val="center"/>
                </w:tcPr>
                <w:p w14:paraId="25320B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0.053</w:t>
                  </w:r>
                </w:p>
              </w:tc>
              <w:tc>
                <w:tcPr>
                  <w:tcW w:w="648" w:type="pct"/>
                  <w:tcBorders>
                    <w:tl2br w:val="nil"/>
                    <w:tr2bl w:val="nil"/>
                  </w:tcBorders>
                  <w:vAlign w:val="center"/>
                </w:tcPr>
                <w:p w14:paraId="135A5DF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0.457</w:t>
                  </w:r>
                </w:p>
              </w:tc>
              <w:tc>
                <w:tcPr>
                  <w:tcW w:w="648" w:type="pct"/>
                  <w:tcBorders>
                    <w:tl2br w:val="nil"/>
                    <w:tr2bl w:val="nil"/>
                  </w:tcBorders>
                  <w:vAlign w:val="center"/>
                </w:tcPr>
                <w:p w14:paraId="415EDA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0.056</w:t>
                  </w:r>
                </w:p>
              </w:tc>
              <w:tc>
                <w:tcPr>
                  <w:tcW w:w="648" w:type="pct"/>
                  <w:tcBorders>
                    <w:tl2br w:val="nil"/>
                    <w:tr2bl w:val="nil"/>
                  </w:tcBorders>
                  <w:vAlign w:val="center"/>
                </w:tcPr>
                <w:p w14:paraId="7CE6D8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0.142</w:t>
                  </w:r>
                </w:p>
              </w:tc>
            </w:tr>
            <w:tr w14:paraId="79943B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Merge w:val="continue"/>
                  <w:tcBorders>
                    <w:tl2br w:val="nil"/>
                    <w:tr2bl w:val="nil"/>
                  </w:tcBorders>
                  <w:shd w:val="clear" w:color="auto" w:fill="auto"/>
                  <w:vAlign w:val="center"/>
                </w:tcPr>
                <w:p w14:paraId="0560AF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c>
                <w:tcPr>
                  <w:tcW w:w="537" w:type="pct"/>
                  <w:vMerge w:val="continue"/>
                  <w:tcBorders>
                    <w:tl2br w:val="nil"/>
                    <w:tr2bl w:val="nil"/>
                  </w:tcBorders>
                  <w:vAlign w:val="center"/>
                </w:tcPr>
                <w:p w14:paraId="7009E3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p>
              </w:tc>
              <w:tc>
                <w:tcPr>
                  <w:tcW w:w="774" w:type="pct"/>
                  <w:tcBorders>
                    <w:tl2br w:val="nil"/>
                    <w:tr2bl w:val="nil"/>
                  </w:tcBorders>
                  <w:vAlign w:val="center"/>
                </w:tcPr>
                <w:p w14:paraId="6B1A9A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排放</w:t>
                  </w:r>
                  <w:r>
                    <w:rPr>
                      <w:rFonts w:hint="eastAsia" w:ascii="Times New Roman" w:hAnsi="Times New Roman" w:eastAsia="宋体" w:cs="Times New Roman"/>
                      <w:color w:val="auto"/>
                      <w:kern w:val="0"/>
                      <w:sz w:val="21"/>
                      <w:szCs w:val="21"/>
                      <w:vertAlign w:val="baseline"/>
                      <w:lang w:val="en-US" w:eastAsia="zh-CN"/>
                    </w:rPr>
                    <w:t>浓度（mg/L）</w:t>
                  </w:r>
                </w:p>
              </w:tc>
              <w:tc>
                <w:tcPr>
                  <w:tcW w:w="1057" w:type="dxa"/>
                  <w:tcBorders>
                    <w:tl2br w:val="nil"/>
                    <w:tr2bl w:val="nil"/>
                  </w:tcBorders>
                  <w:vAlign w:val="center"/>
                </w:tcPr>
                <w:p w14:paraId="6D58BB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150</w:t>
                  </w:r>
                </w:p>
              </w:tc>
              <w:tc>
                <w:tcPr>
                  <w:tcW w:w="1057" w:type="dxa"/>
                  <w:tcBorders>
                    <w:tl2br w:val="nil"/>
                    <w:tr2bl w:val="nil"/>
                  </w:tcBorders>
                  <w:vAlign w:val="center"/>
                </w:tcPr>
                <w:p w14:paraId="3B7733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27</w:t>
                  </w:r>
                </w:p>
              </w:tc>
              <w:tc>
                <w:tcPr>
                  <w:tcW w:w="1057" w:type="dxa"/>
                  <w:tcBorders>
                    <w:tl2br w:val="nil"/>
                    <w:tr2bl w:val="nil"/>
                  </w:tcBorders>
                  <w:vAlign w:val="center"/>
                </w:tcPr>
                <w:p w14:paraId="6E93A9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232</w:t>
                  </w:r>
                </w:p>
              </w:tc>
              <w:tc>
                <w:tcPr>
                  <w:tcW w:w="1057" w:type="dxa"/>
                  <w:tcBorders>
                    <w:tl2br w:val="nil"/>
                    <w:tr2bl w:val="nil"/>
                  </w:tcBorders>
                  <w:vAlign w:val="center"/>
                </w:tcPr>
                <w:p w14:paraId="0DBB0A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28</w:t>
                  </w:r>
                </w:p>
              </w:tc>
              <w:tc>
                <w:tcPr>
                  <w:tcW w:w="648" w:type="pct"/>
                  <w:tcBorders>
                    <w:tl2br w:val="nil"/>
                    <w:tr2bl w:val="nil"/>
                  </w:tcBorders>
                  <w:vAlign w:val="center"/>
                </w:tcPr>
                <w:p w14:paraId="795A1E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7</w:t>
                  </w:r>
                </w:p>
              </w:tc>
            </w:tr>
            <w:tr w14:paraId="275C2B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Merge w:val="continue"/>
                  <w:tcBorders>
                    <w:tl2br w:val="nil"/>
                    <w:tr2bl w:val="nil"/>
                  </w:tcBorders>
                  <w:shd w:val="clear" w:color="auto" w:fill="auto"/>
                  <w:vAlign w:val="center"/>
                </w:tcPr>
                <w:p w14:paraId="3926A3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c>
                <w:tcPr>
                  <w:tcW w:w="537" w:type="pct"/>
                  <w:vMerge w:val="continue"/>
                  <w:tcBorders>
                    <w:tl2br w:val="nil"/>
                    <w:tr2bl w:val="nil"/>
                  </w:tcBorders>
                  <w:vAlign w:val="center"/>
                </w:tcPr>
                <w:p w14:paraId="6CF2CA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p>
              </w:tc>
              <w:tc>
                <w:tcPr>
                  <w:tcW w:w="774" w:type="pct"/>
                  <w:tcBorders>
                    <w:tl2br w:val="nil"/>
                    <w:tr2bl w:val="nil"/>
                  </w:tcBorders>
                  <w:vAlign w:val="center"/>
                </w:tcPr>
                <w:p w14:paraId="267DD0E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排放</w:t>
                  </w:r>
                  <w:r>
                    <w:rPr>
                      <w:rFonts w:hint="eastAsia" w:ascii="Times New Roman" w:hAnsi="Times New Roman" w:eastAsia="宋体" w:cs="Times New Roman"/>
                      <w:color w:val="auto"/>
                      <w:kern w:val="0"/>
                      <w:sz w:val="21"/>
                      <w:szCs w:val="21"/>
                      <w:vertAlign w:val="baseline"/>
                      <w:lang w:val="en-US" w:eastAsia="zh-CN"/>
                    </w:rPr>
                    <w:t>量（t/a）</w:t>
                  </w:r>
                </w:p>
              </w:tc>
              <w:tc>
                <w:tcPr>
                  <w:tcW w:w="1057" w:type="dxa"/>
                  <w:tcBorders>
                    <w:tl2br w:val="nil"/>
                    <w:tr2bl w:val="nil"/>
                  </w:tcBorders>
                  <w:vAlign w:val="center"/>
                </w:tcPr>
                <w:p w14:paraId="14CF94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0.294</w:t>
                  </w:r>
                </w:p>
              </w:tc>
              <w:tc>
                <w:tcPr>
                  <w:tcW w:w="1057" w:type="dxa"/>
                  <w:tcBorders>
                    <w:tl2br w:val="nil"/>
                    <w:tr2bl w:val="nil"/>
                  </w:tcBorders>
                  <w:vAlign w:val="center"/>
                </w:tcPr>
                <w:p w14:paraId="3B1624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0.053</w:t>
                  </w:r>
                </w:p>
              </w:tc>
              <w:tc>
                <w:tcPr>
                  <w:tcW w:w="1057" w:type="dxa"/>
                  <w:tcBorders>
                    <w:tl2br w:val="nil"/>
                    <w:tr2bl w:val="nil"/>
                  </w:tcBorders>
                  <w:vAlign w:val="center"/>
                </w:tcPr>
                <w:p w14:paraId="4AF64D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0.457</w:t>
                  </w:r>
                </w:p>
              </w:tc>
              <w:tc>
                <w:tcPr>
                  <w:tcW w:w="1057" w:type="dxa"/>
                  <w:tcBorders>
                    <w:tl2br w:val="nil"/>
                    <w:tr2bl w:val="nil"/>
                  </w:tcBorders>
                  <w:vAlign w:val="center"/>
                </w:tcPr>
                <w:p w14:paraId="1824E9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0.056</w:t>
                  </w:r>
                </w:p>
              </w:tc>
              <w:tc>
                <w:tcPr>
                  <w:tcW w:w="648" w:type="pct"/>
                  <w:tcBorders>
                    <w:tl2br w:val="nil"/>
                    <w:tr2bl w:val="nil"/>
                  </w:tcBorders>
                  <w:vAlign w:val="center"/>
                </w:tcPr>
                <w:p w14:paraId="2AB39D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0.014</w:t>
                  </w:r>
                </w:p>
              </w:tc>
            </w:tr>
            <w:tr w14:paraId="1D2B84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vMerge w:val="continue"/>
                  <w:tcBorders>
                    <w:tl2br w:val="nil"/>
                    <w:tr2bl w:val="nil"/>
                  </w:tcBorders>
                  <w:shd w:val="clear" w:color="auto" w:fill="auto"/>
                  <w:vAlign w:val="center"/>
                </w:tcPr>
                <w:p w14:paraId="0A6B8C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rightChars="0"/>
                    <w:jc w:val="center"/>
                    <w:textAlignment w:val="auto"/>
                    <w:rPr>
                      <w:rFonts w:hint="default" w:ascii="Times New Roman" w:hAnsi="Times New Roman" w:eastAsia="宋体" w:cs="Times New Roman"/>
                      <w:color w:val="auto"/>
                      <w:kern w:val="0"/>
                      <w:sz w:val="21"/>
                      <w:szCs w:val="21"/>
                      <w:vertAlign w:val="baseline"/>
                      <w:lang w:val="en-US" w:eastAsia="zh-CN" w:bidi="ar-SA"/>
                    </w:rPr>
                  </w:pPr>
                </w:p>
              </w:tc>
              <w:tc>
                <w:tcPr>
                  <w:tcW w:w="537" w:type="pct"/>
                  <w:vMerge w:val="continue"/>
                  <w:tcBorders>
                    <w:tl2br w:val="nil"/>
                    <w:tr2bl w:val="nil"/>
                  </w:tcBorders>
                  <w:vAlign w:val="center"/>
                </w:tcPr>
                <w:p w14:paraId="5ECF28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p>
              </w:tc>
              <w:tc>
                <w:tcPr>
                  <w:tcW w:w="774" w:type="pct"/>
                  <w:tcBorders>
                    <w:tl2br w:val="nil"/>
                    <w:tr2bl w:val="nil"/>
                  </w:tcBorders>
                  <w:vAlign w:val="center"/>
                </w:tcPr>
                <w:p w14:paraId="1BEADA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标准值（mg/L）</w:t>
                  </w:r>
                </w:p>
              </w:tc>
              <w:tc>
                <w:tcPr>
                  <w:tcW w:w="648" w:type="pct"/>
                  <w:tcBorders>
                    <w:tl2br w:val="nil"/>
                    <w:tr2bl w:val="nil"/>
                  </w:tcBorders>
                  <w:vAlign w:val="center"/>
                </w:tcPr>
                <w:p w14:paraId="39F76028">
                  <w:pPr>
                    <w:jc w:val="center"/>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500</w:t>
                  </w:r>
                </w:p>
              </w:tc>
              <w:tc>
                <w:tcPr>
                  <w:tcW w:w="648" w:type="pct"/>
                  <w:tcBorders>
                    <w:tl2br w:val="nil"/>
                    <w:tr2bl w:val="nil"/>
                  </w:tcBorders>
                  <w:vAlign w:val="center"/>
                </w:tcPr>
                <w:p w14:paraId="2AEC215E">
                  <w:pPr>
                    <w:jc w:val="center"/>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300</w:t>
                  </w:r>
                </w:p>
              </w:tc>
              <w:tc>
                <w:tcPr>
                  <w:tcW w:w="648" w:type="pct"/>
                  <w:tcBorders>
                    <w:tl2br w:val="nil"/>
                    <w:tr2bl w:val="nil"/>
                  </w:tcBorders>
                  <w:vAlign w:val="center"/>
                </w:tcPr>
                <w:p w14:paraId="38DB65B0">
                  <w:pPr>
                    <w:jc w:val="center"/>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400</w:t>
                  </w:r>
                </w:p>
              </w:tc>
              <w:tc>
                <w:tcPr>
                  <w:tcW w:w="648" w:type="pct"/>
                  <w:tcBorders>
                    <w:tl2br w:val="nil"/>
                    <w:tr2bl w:val="nil"/>
                  </w:tcBorders>
                  <w:vAlign w:val="center"/>
                </w:tcPr>
                <w:p w14:paraId="37CC3E53">
                  <w:pPr>
                    <w:jc w:val="center"/>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648" w:type="pct"/>
                  <w:tcBorders>
                    <w:tl2br w:val="nil"/>
                    <w:tr2bl w:val="nil"/>
                  </w:tcBorders>
                  <w:vAlign w:val="center"/>
                </w:tcPr>
                <w:p w14:paraId="1F3BEA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right="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20</w:t>
                  </w:r>
                </w:p>
              </w:tc>
            </w:tr>
          </w:tbl>
          <w:p w14:paraId="768D2E5C">
            <w:pPr>
              <w:keepNext w:val="0"/>
              <w:keepLines w:val="0"/>
              <w:pageBreakBefore w:val="0"/>
              <w:suppressLineNumbers w:val="0"/>
              <w:wordWrap/>
              <w:bidi w:val="0"/>
              <w:spacing w:before="0" w:beforeAutospacing="0" w:after="0" w:afterAutospacing="0" w:line="240" w:lineRule="auto"/>
              <w:ind w:left="0" w:leftChars="0" w:right="0"/>
              <w:jc w:val="center"/>
              <w:rPr>
                <w:rFonts w:hint="default" w:ascii="Times New Roman" w:hAnsi="Times New Roman" w:eastAsia="宋体" w:cs="Times New Roman"/>
                <w:b/>
                <w:bCs/>
                <w:iCs/>
                <w:color w:val="auto"/>
                <w:kern w:val="0"/>
                <w:sz w:val="21"/>
                <w:szCs w:val="21"/>
                <w:highlight w:val="none"/>
                <w:lang w:val="en-US" w:eastAsia="zh-CN" w:bidi="ar-SA"/>
              </w:rPr>
            </w:pPr>
            <w:r>
              <w:rPr>
                <w:rFonts w:hint="default" w:ascii="Times New Roman" w:hAnsi="Times New Roman" w:eastAsia="宋体" w:cs="Times New Roman"/>
                <w:b/>
                <w:bCs/>
                <w:iCs/>
                <w:color w:val="auto"/>
                <w:kern w:val="0"/>
                <w:sz w:val="21"/>
                <w:szCs w:val="21"/>
                <w:highlight w:val="none"/>
                <w:lang w:val="en-US" w:eastAsia="zh-CN" w:bidi="ar-SA"/>
              </w:rPr>
              <w:t>表4</w:t>
            </w:r>
            <w:r>
              <w:rPr>
                <w:rFonts w:hint="eastAsia" w:ascii="Times New Roman" w:hAnsi="Times New Roman" w:eastAsia="宋体" w:cs="Times New Roman"/>
                <w:b/>
                <w:bCs/>
                <w:iCs/>
                <w:color w:val="auto"/>
                <w:kern w:val="0"/>
                <w:sz w:val="21"/>
                <w:szCs w:val="21"/>
                <w:highlight w:val="none"/>
                <w:lang w:val="en-US" w:eastAsia="zh-CN" w:bidi="ar-SA"/>
              </w:rPr>
              <w:t>-</w:t>
            </w:r>
            <w:r>
              <w:rPr>
                <w:rFonts w:hint="eastAsia" w:cs="Times New Roman"/>
                <w:b/>
                <w:bCs/>
                <w:iCs/>
                <w:color w:val="auto"/>
                <w:kern w:val="0"/>
                <w:sz w:val="21"/>
                <w:szCs w:val="21"/>
                <w:highlight w:val="none"/>
                <w:lang w:val="en-US" w:eastAsia="zh-CN" w:bidi="ar-SA"/>
              </w:rPr>
              <w:t>10</w:t>
            </w:r>
            <w:r>
              <w:rPr>
                <w:rFonts w:hint="eastAsia" w:ascii="Times New Roman" w:hAnsi="Times New Roman" w:eastAsia="宋体" w:cs="Times New Roman"/>
                <w:b/>
                <w:bCs/>
                <w:iCs/>
                <w:color w:val="auto"/>
                <w:kern w:val="0"/>
                <w:sz w:val="21"/>
                <w:szCs w:val="21"/>
                <w:highlight w:val="none"/>
                <w:lang w:val="en-US" w:eastAsia="zh-CN" w:bidi="ar-SA"/>
              </w:rPr>
              <w:t xml:space="preserve">  </w:t>
            </w:r>
            <w:r>
              <w:rPr>
                <w:rFonts w:hint="default" w:ascii="Times New Roman" w:hAnsi="Times New Roman" w:eastAsia="宋体" w:cs="Times New Roman"/>
                <w:b/>
                <w:bCs/>
                <w:iCs/>
                <w:color w:val="auto"/>
                <w:kern w:val="0"/>
                <w:sz w:val="21"/>
                <w:szCs w:val="21"/>
                <w:highlight w:val="none"/>
                <w:lang w:val="en-US" w:eastAsia="zh-CN" w:bidi="ar-SA"/>
              </w:rPr>
              <w:t>废水类别、污染物及污染治理设施信息表</w:t>
            </w:r>
          </w:p>
          <w:tbl>
            <w:tblPr>
              <w:tblStyle w:val="31"/>
              <w:tblW w:w="815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220"/>
              <w:gridCol w:w="511"/>
              <w:gridCol w:w="496"/>
              <w:gridCol w:w="220"/>
              <w:gridCol w:w="674"/>
              <w:gridCol w:w="804"/>
              <w:gridCol w:w="542"/>
              <w:gridCol w:w="646"/>
              <w:gridCol w:w="760"/>
              <w:gridCol w:w="542"/>
              <w:gridCol w:w="674"/>
              <w:gridCol w:w="496"/>
              <w:gridCol w:w="569"/>
              <w:gridCol w:w="998"/>
            </w:tblGrid>
            <w:tr w14:paraId="3E58C4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66" w:hRule="atLeast"/>
              </w:trPr>
              <w:tc>
                <w:tcPr>
                  <w:tcW w:w="134" w:type="pct"/>
                  <w:vMerge w:val="restart"/>
                  <w:vAlign w:val="center"/>
                </w:tcPr>
                <w:p w14:paraId="00EB71D7">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序号</w:t>
                  </w:r>
                </w:p>
              </w:tc>
              <w:tc>
                <w:tcPr>
                  <w:tcW w:w="313" w:type="pct"/>
                  <w:vMerge w:val="restart"/>
                  <w:vAlign w:val="center"/>
                </w:tcPr>
                <w:p w14:paraId="3F49C047">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废水类别</w:t>
                  </w:r>
                </w:p>
              </w:tc>
              <w:tc>
                <w:tcPr>
                  <w:tcW w:w="304" w:type="pct"/>
                  <w:vMerge w:val="restart"/>
                  <w:vAlign w:val="center"/>
                </w:tcPr>
                <w:p w14:paraId="5EEDD77D">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污染物种类</w:t>
                  </w:r>
                </w:p>
              </w:tc>
              <w:tc>
                <w:tcPr>
                  <w:tcW w:w="134" w:type="pct"/>
                  <w:vMerge w:val="restart"/>
                  <w:vAlign w:val="center"/>
                </w:tcPr>
                <w:p w14:paraId="0DB17886">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排放方式</w:t>
                  </w:r>
                </w:p>
              </w:tc>
              <w:tc>
                <w:tcPr>
                  <w:tcW w:w="413" w:type="pct"/>
                  <w:vMerge w:val="restart"/>
                  <w:vAlign w:val="center"/>
                </w:tcPr>
                <w:p w14:paraId="7C56FFA7">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排放去向</w:t>
                  </w:r>
                </w:p>
              </w:tc>
              <w:tc>
                <w:tcPr>
                  <w:tcW w:w="493" w:type="pct"/>
                  <w:vMerge w:val="restart"/>
                  <w:vAlign w:val="center"/>
                </w:tcPr>
                <w:p w14:paraId="7D5B76E1">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排放规律</w:t>
                  </w:r>
                </w:p>
              </w:tc>
              <w:tc>
                <w:tcPr>
                  <w:tcW w:w="1940" w:type="pct"/>
                  <w:gridSpan w:val="5"/>
                  <w:vAlign w:val="center"/>
                </w:tcPr>
                <w:p w14:paraId="087BF815">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污染治理设施</w:t>
                  </w:r>
                </w:p>
              </w:tc>
              <w:tc>
                <w:tcPr>
                  <w:tcW w:w="304" w:type="pct"/>
                  <w:vMerge w:val="restart"/>
                  <w:vAlign w:val="center"/>
                </w:tcPr>
                <w:p w14:paraId="58C7CBC2">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排放口编号</w:t>
                  </w:r>
                </w:p>
              </w:tc>
              <w:tc>
                <w:tcPr>
                  <w:tcW w:w="348" w:type="pct"/>
                  <w:vMerge w:val="restart"/>
                  <w:vAlign w:val="center"/>
                </w:tcPr>
                <w:p w14:paraId="0F59532D">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排放口设置是否符合要求</w:t>
                  </w:r>
                </w:p>
              </w:tc>
              <w:tc>
                <w:tcPr>
                  <w:tcW w:w="612" w:type="pct"/>
                  <w:vMerge w:val="restart"/>
                  <w:vAlign w:val="center"/>
                </w:tcPr>
                <w:p w14:paraId="10C74EF4">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排放口类型</w:t>
                  </w:r>
                </w:p>
              </w:tc>
            </w:tr>
            <w:tr w14:paraId="3DBAE7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38" w:hRule="atLeast"/>
              </w:trPr>
              <w:tc>
                <w:tcPr>
                  <w:tcW w:w="134" w:type="pct"/>
                  <w:vMerge w:val="continue"/>
                  <w:vAlign w:val="center"/>
                </w:tcPr>
                <w:p w14:paraId="53D8A8BB">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13" w:type="pct"/>
                  <w:vMerge w:val="continue"/>
                  <w:vAlign w:val="center"/>
                </w:tcPr>
                <w:p w14:paraId="325846C3">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04" w:type="pct"/>
                  <w:vMerge w:val="continue"/>
                  <w:vAlign w:val="center"/>
                </w:tcPr>
                <w:p w14:paraId="4D1C064D">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134" w:type="pct"/>
                  <w:vMerge w:val="continue"/>
                  <w:vAlign w:val="center"/>
                </w:tcPr>
                <w:p w14:paraId="42677F1F">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413" w:type="pct"/>
                  <w:vMerge w:val="continue"/>
                  <w:vAlign w:val="center"/>
                </w:tcPr>
                <w:p w14:paraId="68BD813C">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493" w:type="pct"/>
                  <w:vMerge w:val="continue"/>
                  <w:vAlign w:val="center"/>
                </w:tcPr>
                <w:p w14:paraId="2F9F5A6D">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32" w:type="pct"/>
                  <w:vAlign w:val="center"/>
                </w:tcPr>
                <w:p w14:paraId="445C54BA">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污染治理设施编号</w:t>
                  </w:r>
                </w:p>
              </w:tc>
              <w:tc>
                <w:tcPr>
                  <w:tcW w:w="396" w:type="pct"/>
                  <w:vAlign w:val="center"/>
                </w:tcPr>
                <w:p w14:paraId="24E9911D">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污染治理设施名称</w:t>
                  </w:r>
                </w:p>
              </w:tc>
              <w:tc>
                <w:tcPr>
                  <w:tcW w:w="466" w:type="pct"/>
                  <w:vAlign w:val="center"/>
                </w:tcPr>
                <w:p w14:paraId="08196F4A">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污染治理设施工艺</w:t>
                  </w:r>
                </w:p>
              </w:tc>
              <w:tc>
                <w:tcPr>
                  <w:tcW w:w="332" w:type="pct"/>
                  <w:vAlign w:val="center"/>
                </w:tcPr>
                <w:p w14:paraId="52B7BF38">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处理能力</w:t>
                  </w:r>
                </w:p>
              </w:tc>
              <w:tc>
                <w:tcPr>
                  <w:tcW w:w="413" w:type="pct"/>
                  <w:vAlign w:val="center"/>
                </w:tcPr>
                <w:p w14:paraId="35FB18A9">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是否为可行技术</w:t>
                  </w:r>
                </w:p>
              </w:tc>
              <w:tc>
                <w:tcPr>
                  <w:tcW w:w="304" w:type="pct"/>
                  <w:vMerge w:val="continue"/>
                  <w:vAlign w:val="center"/>
                </w:tcPr>
                <w:p w14:paraId="016410E5">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48" w:type="pct"/>
                  <w:vMerge w:val="continue"/>
                  <w:vAlign w:val="center"/>
                </w:tcPr>
                <w:p w14:paraId="3AD156E1">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612" w:type="pct"/>
                  <w:vMerge w:val="continue"/>
                  <w:vAlign w:val="center"/>
                </w:tcPr>
                <w:p w14:paraId="36709837">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r>
            <w:tr w14:paraId="16BA19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570" w:hRule="atLeast"/>
              </w:trPr>
              <w:tc>
                <w:tcPr>
                  <w:tcW w:w="134" w:type="pct"/>
                  <w:vAlign w:val="center"/>
                </w:tcPr>
                <w:p w14:paraId="289F9111">
                  <w:pPr>
                    <w:keepNext w:val="0"/>
                    <w:keepLines w:val="0"/>
                    <w:pageBreakBefore w:val="0"/>
                    <w:suppressLineNumbers w:val="0"/>
                    <w:wordWrap/>
                    <w:bidi w:val="0"/>
                    <w:spacing w:before="0" w:beforeAutospacing="0" w:after="0" w:afterAutospacing="0" w:line="360" w:lineRule="auto"/>
                    <w:ind w:left="0" w:leftChars="0" w:right="0"/>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313" w:type="pct"/>
                  <w:vAlign w:val="center"/>
                </w:tcPr>
                <w:p w14:paraId="2B289541">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z w:val="18"/>
                      <w:szCs w:val="18"/>
                      <w:highlight w:val="none"/>
                      <w:lang w:val="en-US" w:eastAsia="zh-CN"/>
                    </w:rPr>
                  </w:pPr>
                  <w:r>
                    <w:rPr>
                      <w:rFonts w:hint="eastAsia"/>
                      <w:color w:val="auto"/>
                      <w:sz w:val="18"/>
                      <w:szCs w:val="18"/>
                      <w:highlight w:val="none"/>
                      <w:lang w:val="en-US" w:eastAsia="zh-CN"/>
                    </w:rPr>
                    <w:t>生活污水、锅炉排污水、软化水制备废水</w:t>
                  </w:r>
                </w:p>
              </w:tc>
              <w:tc>
                <w:tcPr>
                  <w:tcW w:w="304" w:type="pct"/>
                  <w:vAlign w:val="center"/>
                </w:tcPr>
                <w:p w14:paraId="6AA57C4B">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i w:val="0"/>
                      <w:iCs w:val="0"/>
                      <w:caps w:val="0"/>
                      <w:color w:val="auto"/>
                      <w:spacing w:val="0"/>
                      <w:sz w:val="18"/>
                      <w:szCs w:val="18"/>
                    </w:rPr>
                  </w:pPr>
                  <w:r>
                    <w:rPr>
                      <w:rFonts w:hint="default" w:ascii="Times New Roman" w:hAnsi="Times New Roman" w:eastAsia="宋体" w:cs="Times New Roman"/>
                      <w:i w:val="0"/>
                      <w:iCs w:val="0"/>
                      <w:caps w:val="0"/>
                      <w:color w:val="auto"/>
                      <w:spacing w:val="0"/>
                      <w:sz w:val="18"/>
                      <w:szCs w:val="18"/>
                    </w:rPr>
                    <w:t>COD，</w:t>
                  </w:r>
                  <w:r>
                    <w:rPr>
                      <w:rFonts w:hint="eastAsia" w:ascii="Times New Roman" w:hAnsi="Times New Roman" w:cs="Times New Roman"/>
                      <w:i w:val="0"/>
                      <w:iCs w:val="0"/>
                      <w:caps w:val="0"/>
                      <w:color w:val="auto"/>
                      <w:spacing w:val="0"/>
                      <w:sz w:val="18"/>
                      <w:szCs w:val="18"/>
                      <w:lang w:val="en-US" w:eastAsia="zh-CN"/>
                    </w:rPr>
                    <w:t>BOD</w:t>
                  </w:r>
                  <w:r>
                    <w:rPr>
                      <w:rFonts w:hint="eastAsia" w:ascii="Times New Roman" w:hAnsi="Times New Roman" w:cs="Times New Roman"/>
                      <w:i w:val="0"/>
                      <w:iCs w:val="0"/>
                      <w:caps w:val="0"/>
                      <w:color w:val="auto"/>
                      <w:spacing w:val="0"/>
                      <w:sz w:val="18"/>
                      <w:szCs w:val="18"/>
                      <w:vertAlign w:val="subscript"/>
                      <w:lang w:val="en-US" w:eastAsia="zh-CN"/>
                    </w:rPr>
                    <w:t>5</w:t>
                  </w:r>
                  <w:r>
                    <w:rPr>
                      <w:rFonts w:hint="eastAsia" w:ascii="Times New Roman" w:hAnsi="Times New Roman" w:cs="Times New Roman"/>
                      <w:i w:val="0"/>
                      <w:iCs w:val="0"/>
                      <w:caps w:val="0"/>
                      <w:color w:val="auto"/>
                      <w:spacing w:val="0"/>
                      <w:sz w:val="18"/>
                      <w:szCs w:val="18"/>
                      <w:lang w:val="en-US" w:eastAsia="zh-CN"/>
                    </w:rPr>
                    <w:t>、</w:t>
                  </w:r>
                  <w:r>
                    <w:rPr>
                      <w:rFonts w:hint="default" w:ascii="Times New Roman" w:hAnsi="Times New Roman" w:eastAsia="宋体" w:cs="Times New Roman"/>
                      <w:i w:val="0"/>
                      <w:iCs w:val="0"/>
                      <w:caps w:val="0"/>
                      <w:color w:val="auto"/>
                      <w:spacing w:val="0"/>
                      <w:sz w:val="18"/>
                      <w:szCs w:val="18"/>
                    </w:rPr>
                    <w:t>氨氮，SS</w:t>
                  </w:r>
                </w:p>
              </w:tc>
              <w:tc>
                <w:tcPr>
                  <w:tcW w:w="134" w:type="pct"/>
                  <w:vMerge w:val="restart"/>
                  <w:vAlign w:val="center"/>
                </w:tcPr>
                <w:p w14:paraId="1969561F">
                  <w:pPr>
                    <w:keepNext w:val="0"/>
                    <w:keepLines w:val="0"/>
                    <w:pageBreakBefore w:val="0"/>
                    <w:suppressLineNumbers w:val="0"/>
                    <w:wordWrap/>
                    <w:bidi w:val="0"/>
                    <w:spacing w:before="0" w:beforeAutospacing="0" w:after="0" w:afterAutospacing="0" w:line="360" w:lineRule="auto"/>
                    <w:ind w:left="0" w:leftChars="0" w:right="0"/>
                    <w:jc w:val="center"/>
                    <w:rPr>
                      <w:rFonts w:hint="eastAsia" w:cs="Times New Roman"/>
                      <w:color w:val="auto"/>
                      <w:sz w:val="18"/>
                      <w:szCs w:val="18"/>
                      <w:highlight w:val="none"/>
                      <w:lang w:eastAsia="zh-CN"/>
                    </w:rPr>
                  </w:pPr>
                  <w:r>
                    <w:rPr>
                      <w:rFonts w:hint="eastAsia" w:cs="Times New Roman"/>
                      <w:color w:val="auto"/>
                      <w:sz w:val="18"/>
                      <w:szCs w:val="18"/>
                      <w:highlight w:val="none"/>
                      <w:lang w:val="en-US" w:eastAsia="zh-CN"/>
                    </w:rPr>
                    <w:t>间接</w:t>
                  </w:r>
                  <w:r>
                    <w:rPr>
                      <w:rFonts w:hint="eastAsia" w:ascii="Times New Roman" w:hAnsi="Times New Roman" w:eastAsia="宋体" w:cs="Times New Roman"/>
                      <w:color w:val="auto"/>
                      <w:sz w:val="18"/>
                      <w:szCs w:val="18"/>
                      <w:highlight w:val="none"/>
                    </w:rPr>
                    <w:t>排放</w:t>
                  </w:r>
                </w:p>
              </w:tc>
              <w:tc>
                <w:tcPr>
                  <w:tcW w:w="413" w:type="pct"/>
                  <w:vMerge w:val="restart"/>
                  <w:vAlign w:val="center"/>
                </w:tcPr>
                <w:p w14:paraId="6CE0228C">
                  <w:pPr>
                    <w:keepNext w:val="0"/>
                    <w:keepLines w:val="0"/>
                    <w:pageBreakBefore w:val="0"/>
                    <w:suppressLineNumbers w:val="0"/>
                    <w:wordWrap/>
                    <w:bidi w:val="0"/>
                    <w:spacing w:before="0" w:beforeAutospacing="0" w:after="0" w:afterAutospacing="0" w:line="360" w:lineRule="auto"/>
                    <w:ind w:left="0" w:leftChars="0" w:right="0"/>
                    <w:jc w:val="center"/>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val="en-US" w:eastAsia="zh-CN"/>
                    </w:rPr>
                    <w:t>鸡西市鸡冠区</w:t>
                  </w:r>
                  <w:r>
                    <w:rPr>
                      <w:rFonts w:hint="eastAsia" w:ascii="Times New Roman" w:hAnsi="Times New Roman" w:eastAsia="宋体" w:cs="Times New Roman"/>
                      <w:color w:val="auto"/>
                      <w:sz w:val="18"/>
                      <w:szCs w:val="18"/>
                      <w:highlight w:val="none"/>
                    </w:rPr>
                    <w:t>污水处理厂</w:t>
                  </w:r>
                </w:p>
              </w:tc>
              <w:tc>
                <w:tcPr>
                  <w:tcW w:w="493" w:type="pct"/>
                  <w:vMerge w:val="restart"/>
                  <w:vAlign w:val="center"/>
                </w:tcPr>
                <w:p w14:paraId="37242744">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间断排放，排放期间流量不稳定，但有规律，且不属于非周期性规律</w:t>
                  </w:r>
                </w:p>
              </w:tc>
              <w:tc>
                <w:tcPr>
                  <w:tcW w:w="332" w:type="pct"/>
                  <w:vAlign w:val="center"/>
                </w:tcPr>
                <w:p w14:paraId="717AE4A9">
                  <w:pPr>
                    <w:keepNext w:val="0"/>
                    <w:keepLines w:val="0"/>
                    <w:pageBreakBefore w:val="0"/>
                    <w:suppressLineNumbers w:val="0"/>
                    <w:wordWrap/>
                    <w:bidi w:val="0"/>
                    <w:spacing w:before="0" w:beforeAutospacing="0" w:after="0" w:afterAutospacing="0" w:line="360" w:lineRule="auto"/>
                    <w:ind w:left="0" w:leftChars="0" w:right="0" w:rightChars="0"/>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396" w:type="pct"/>
                  <w:vAlign w:val="center"/>
                </w:tcPr>
                <w:p w14:paraId="4E991165">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466" w:type="pct"/>
                  <w:vAlign w:val="center"/>
                </w:tcPr>
                <w:p w14:paraId="767273CF">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332" w:type="pct"/>
                  <w:vAlign w:val="center"/>
                </w:tcPr>
                <w:p w14:paraId="32D26800">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413" w:type="pct"/>
                  <w:vAlign w:val="center"/>
                </w:tcPr>
                <w:p w14:paraId="66B0477A">
                  <w:pPr>
                    <w:keepNext w:val="0"/>
                    <w:keepLines w:val="0"/>
                    <w:pageBreakBefore w:val="0"/>
                    <w:suppressLineNumbers w:val="0"/>
                    <w:wordWrap/>
                    <w:bidi w:val="0"/>
                    <w:spacing w:before="0" w:beforeAutospacing="0" w:after="0" w:afterAutospacing="0" w:line="360" w:lineRule="auto"/>
                    <w:ind w:left="0" w:leftChars="0" w:right="0" w:rightChars="0"/>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304" w:type="pct"/>
                  <w:vAlign w:val="center"/>
                </w:tcPr>
                <w:p w14:paraId="1E4EF370">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348" w:type="pct"/>
                  <w:vAlign w:val="center"/>
                </w:tcPr>
                <w:p w14:paraId="7752DD1A">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是</w:t>
                  </w:r>
                </w:p>
                <w:p w14:paraId="7BAA4DBC">
                  <w:pPr>
                    <w:keepNext w:val="0"/>
                    <w:keepLines w:val="0"/>
                    <w:pageBreakBefore w:val="0"/>
                    <w:suppressLineNumbers w:val="0"/>
                    <w:wordWrap/>
                    <w:bidi w:val="0"/>
                    <w:spacing w:before="0" w:beforeAutospacing="0" w:after="0" w:afterAutospacing="0" w:line="360" w:lineRule="auto"/>
                    <w:ind w:left="0" w:leftChars="0" w:right="0" w:rightChars="0"/>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否</w:t>
                  </w:r>
                </w:p>
              </w:tc>
              <w:tc>
                <w:tcPr>
                  <w:tcW w:w="612" w:type="pct"/>
                  <w:vAlign w:val="center"/>
                </w:tcPr>
                <w:p w14:paraId="7265CF3D">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ascii="Times New Roman" w:hAnsi="Times New Roman" w:eastAsia="宋体" w:cs="Times New Roman"/>
                      <w:color w:val="auto"/>
                      <w:sz w:val="18"/>
                      <w:szCs w:val="18"/>
                      <w:highlight w:val="none"/>
                    </w:rPr>
                  </w:pPr>
                  <w:r>
                    <w:rPr>
                      <w:rFonts w:hint="eastAsia" w:ascii="Times New Roman" w:hAnsi="Times New Roman"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企</w:t>
                  </w:r>
                  <w:r>
                    <w:rPr>
                      <w:rFonts w:hint="eastAsia" w:ascii="Times New Roman" w:hAnsi="Times New Roman" w:eastAsia="宋体" w:cs="Times New Roman"/>
                      <w:color w:val="auto"/>
                      <w:sz w:val="18"/>
                      <w:szCs w:val="18"/>
                      <w:highlight w:val="none"/>
                    </w:rPr>
                    <w:t>业</w:t>
                  </w:r>
                  <w:r>
                    <w:rPr>
                      <w:rFonts w:hint="default" w:ascii="Times New Roman" w:hAnsi="Times New Roman" w:eastAsia="宋体" w:cs="Times New Roman"/>
                      <w:color w:val="auto"/>
                      <w:sz w:val="18"/>
                      <w:szCs w:val="18"/>
                      <w:highlight w:val="none"/>
                    </w:rPr>
                    <w:t>总排</w:t>
                  </w:r>
                </w:p>
                <w:p w14:paraId="4BFE15BF">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ascii="Times New Roman" w:hAnsi="Times New Roman" w:eastAsia="宋体" w:cs="Times New Roman"/>
                      <w:color w:val="auto"/>
                      <w:sz w:val="18"/>
                      <w:szCs w:val="18"/>
                      <w:highlight w:val="none"/>
                    </w:rPr>
                  </w:pPr>
                  <w:r>
                    <w:rPr>
                      <w:rFonts w:hint="eastAsia" w:ascii="Times New Roman" w:hAnsi="Times New Roman"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雨水排放</w:t>
                  </w:r>
                </w:p>
                <w:p w14:paraId="37D43CA9">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口清净下水排放</w:t>
                  </w:r>
                </w:p>
                <w:p w14:paraId="54896939">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口温排水排放</w:t>
                  </w:r>
                </w:p>
                <w:p w14:paraId="4B09F21D">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口车间或车间处理设施排放口</w:t>
                  </w:r>
                </w:p>
              </w:tc>
            </w:tr>
            <w:tr w14:paraId="38D0EC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570" w:hRule="atLeast"/>
              </w:trPr>
              <w:tc>
                <w:tcPr>
                  <w:tcW w:w="134" w:type="pct"/>
                  <w:vAlign w:val="center"/>
                </w:tcPr>
                <w:p w14:paraId="2D325162">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313" w:type="pct"/>
                  <w:vAlign w:val="center"/>
                </w:tcPr>
                <w:p w14:paraId="03BDA732">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lang w:val="en-US" w:eastAsia="zh-CN"/>
                    </w:rPr>
                  </w:pPr>
                  <w:r>
                    <w:rPr>
                      <w:rFonts w:hint="eastAsia"/>
                      <w:color w:val="auto"/>
                      <w:sz w:val="18"/>
                      <w:szCs w:val="18"/>
                      <w:highlight w:val="none"/>
                      <w:lang w:val="en-US" w:eastAsia="zh-CN"/>
                    </w:rPr>
                    <w:t>初期雨水</w:t>
                  </w:r>
                </w:p>
              </w:tc>
              <w:tc>
                <w:tcPr>
                  <w:tcW w:w="304" w:type="pct"/>
                  <w:vAlign w:val="center"/>
                </w:tcPr>
                <w:p w14:paraId="166370F3">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i w:val="0"/>
                      <w:iCs w:val="0"/>
                      <w:caps w:val="0"/>
                      <w:color w:val="auto"/>
                      <w:spacing w:val="0"/>
                      <w:sz w:val="18"/>
                      <w:szCs w:val="18"/>
                    </w:rPr>
                    <w:t>COD，氨氮，SS，石油类</w:t>
                  </w:r>
                </w:p>
              </w:tc>
              <w:tc>
                <w:tcPr>
                  <w:tcW w:w="134" w:type="pct"/>
                  <w:vMerge w:val="continue"/>
                  <w:vAlign w:val="center"/>
                </w:tcPr>
                <w:p w14:paraId="1720F63A">
                  <w:pPr>
                    <w:keepNext w:val="0"/>
                    <w:keepLines w:val="0"/>
                    <w:pageBreakBefore w:val="0"/>
                    <w:suppressLineNumbers w:val="0"/>
                    <w:wordWrap/>
                    <w:bidi w:val="0"/>
                    <w:spacing w:before="0" w:beforeAutospacing="0" w:after="0" w:afterAutospacing="0" w:line="360" w:lineRule="auto"/>
                    <w:ind w:left="0" w:leftChars="0" w:right="0"/>
                    <w:jc w:val="center"/>
                    <w:rPr>
                      <w:rFonts w:hint="eastAsia" w:cs="Times New Roman"/>
                      <w:color w:val="auto"/>
                      <w:sz w:val="18"/>
                      <w:szCs w:val="18"/>
                      <w:highlight w:val="none"/>
                      <w:lang w:eastAsia="zh-CN"/>
                    </w:rPr>
                  </w:pPr>
                </w:p>
              </w:tc>
              <w:tc>
                <w:tcPr>
                  <w:tcW w:w="413" w:type="pct"/>
                  <w:vMerge w:val="continue"/>
                  <w:vAlign w:val="center"/>
                </w:tcPr>
                <w:p w14:paraId="4549DDB5">
                  <w:pPr>
                    <w:keepNext w:val="0"/>
                    <w:keepLines w:val="0"/>
                    <w:pageBreakBefore w:val="0"/>
                    <w:suppressLineNumbers w:val="0"/>
                    <w:wordWrap/>
                    <w:bidi w:val="0"/>
                    <w:spacing w:before="0" w:beforeAutospacing="0" w:after="0" w:afterAutospacing="0" w:line="360" w:lineRule="auto"/>
                    <w:ind w:left="0" w:leftChars="0" w:right="0"/>
                    <w:jc w:val="center"/>
                    <w:rPr>
                      <w:rFonts w:hint="eastAsia" w:ascii="Times New Roman" w:hAnsi="Times New Roman" w:eastAsia="宋体" w:cs="Times New Roman"/>
                      <w:color w:val="auto"/>
                      <w:sz w:val="18"/>
                      <w:szCs w:val="18"/>
                      <w:highlight w:val="none"/>
                      <w:lang w:eastAsia="zh-CN"/>
                    </w:rPr>
                  </w:pPr>
                </w:p>
              </w:tc>
              <w:tc>
                <w:tcPr>
                  <w:tcW w:w="493" w:type="pct"/>
                  <w:vMerge w:val="continue"/>
                  <w:vAlign w:val="center"/>
                </w:tcPr>
                <w:p w14:paraId="0E7D5A0D">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32" w:type="pct"/>
                  <w:vAlign w:val="center"/>
                </w:tcPr>
                <w:p w14:paraId="78549608">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TW001</w:t>
                  </w:r>
                </w:p>
              </w:tc>
              <w:tc>
                <w:tcPr>
                  <w:tcW w:w="396" w:type="pct"/>
                  <w:vAlign w:val="center"/>
                </w:tcPr>
                <w:p w14:paraId="1F623C90">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一体化油水分离装置</w:t>
                  </w:r>
                </w:p>
              </w:tc>
              <w:tc>
                <w:tcPr>
                  <w:tcW w:w="466" w:type="pct"/>
                  <w:vAlign w:val="center"/>
                </w:tcPr>
                <w:p w14:paraId="679DC096">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隔油</w:t>
                  </w:r>
                </w:p>
              </w:tc>
              <w:tc>
                <w:tcPr>
                  <w:tcW w:w="332" w:type="pct"/>
                  <w:vAlign w:val="center"/>
                </w:tcPr>
                <w:p w14:paraId="1F80A734">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10m</w:t>
                  </w:r>
                  <w:r>
                    <w:rPr>
                      <w:rFonts w:hint="eastAsia" w:cs="Times New Roman"/>
                      <w:color w:val="auto"/>
                      <w:sz w:val="18"/>
                      <w:szCs w:val="18"/>
                      <w:highlight w:val="none"/>
                      <w:vertAlign w:val="superscript"/>
                      <w:lang w:val="en-US" w:eastAsia="zh-CN"/>
                    </w:rPr>
                    <w:t>3</w:t>
                  </w:r>
                  <w:r>
                    <w:rPr>
                      <w:rFonts w:hint="eastAsia" w:cs="Times New Roman"/>
                      <w:color w:val="auto"/>
                      <w:sz w:val="18"/>
                      <w:szCs w:val="18"/>
                      <w:highlight w:val="none"/>
                      <w:lang w:val="en-US" w:eastAsia="zh-CN"/>
                    </w:rPr>
                    <w:t>/h</w:t>
                  </w:r>
                </w:p>
              </w:tc>
              <w:tc>
                <w:tcPr>
                  <w:tcW w:w="413" w:type="pct"/>
                  <w:vAlign w:val="center"/>
                </w:tcPr>
                <w:p w14:paraId="0AF1C96A">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是</w:t>
                  </w:r>
                </w:p>
              </w:tc>
              <w:tc>
                <w:tcPr>
                  <w:tcW w:w="304" w:type="pct"/>
                  <w:vAlign w:val="center"/>
                </w:tcPr>
                <w:p w14:paraId="1D1597F9">
                  <w:pPr>
                    <w:keepNext w:val="0"/>
                    <w:keepLines w:val="0"/>
                    <w:pageBreakBefore w:val="0"/>
                    <w:suppressLineNumbers w:val="0"/>
                    <w:wordWrap/>
                    <w:bidi w:val="0"/>
                    <w:spacing w:before="0" w:beforeAutospacing="0" w:after="0" w:afterAutospacing="0" w:line="360" w:lineRule="auto"/>
                    <w:ind w:left="0" w:leftChars="0" w:right="0" w:rightChars="0"/>
                    <w:jc w:val="center"/>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val="en-US" w:eastAsia="zh-CN"/>
                    </w:rPr>
                    <w:t>/</w:t>
                  </w:r>
                </w:p>
              </w:tc>
              <w:tc>
                <w:tcPr>
                  <w:tcW w:w="348" w:type="pct"/>
                  <w:vAlign w:val="center"/>
                </w:tcPr>
                <w:p w14:paraId="018B51B4">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是</w:t>
                  </w:r>
                </w:p>
                <w:p w14:paraId="46278E5B">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否</w:t>
                  </w:r>
                </w:p>
              </w:tc>
              <w:tc>
                <w:tcPr>
                  <w:tcW w:w="612" w:type="pct"/>
                  <w:vAlign w:val="center"/>
                </w:tcPr>
                <w:p w14:paraId="635D654C">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rPr>
                    <w:t>□</w:t>
                  </w:r>
                  <w:r>
                    <w:rPr>
                      <w:rFonts w:hint="default" w:ascii="Times New Roman" w:hAnsi="Times New Roman" w:eastAsia="宋体" w:cs="Times New Roman"/>
                      <w:color w:val="auto"/>
                      <w:sz w:val="18"/>
                      <w:szCs w:val="18"/>
                      <w:highlight w:val="none"/>
                    </w:rPr>
                    <w:t>企</w:t>
                  </w:r>
                  <w:r>
                    <w:rPr>
                      <w:rFonts w:hint="eastAsia" w:ascii="Times New Roman" w:hAnsi="Times New Roman" w:eastAsia="宋体" w:cs="Times New Roman"/>
                      <w:color w:val="auto"/>
                      <w:sz w:val="18"/>
                      <w:szCs w:val="18"/>
                      <w:highlight w:val="none"/>
                    </w:rPr>
                    <w:t>业</w:t>
                  </w:r>
                  <w:r>
                    <w:rPr>
                      <w:rFonts w:hint="default" w:ascii="Times New Roman" w:hAnsi="Times New Roman" w:eastAsia="宋体" w:cs="Times New Roman"/>
                      <w:color w:val="auto"/>
                      <w:sz w:val="18"/>
                      <w:szCs w:val="18"/>
                      <w:highlight w:val="none"/>
                    </w:rPr>
                    <w:t>总排</w:t>
                  </w:r>
                </w:p>
                <w:p w14:paraId="6A2A9E2F">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rPr>
                    <w:t>☑</w:t>
                  </w:r>
                  <w:r>
                    <w:rPr>
                      <w:rFonts w:hint="default" w:ascii="Times New Roman" w:hAnsi="Times New Roman" w:eastAsia="宋体" w:cs="Times New Roman"/>
                      <w:color w:val="auto"/>
                      <w:sz w:val="18"/>
                      <w:szCs w:val="18"/>
                      <w:highlight w:val="none"/>
                    </w:rPr>
                    <w:t>雨水排放</w:t>
                  </w:r>
                </w:p>
                <w:p w14:paraId="341DB059">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口清净下水排放</w:t>
                  </w:r>
                </w:p>
                <w:p w14:paraId="3AE38A05">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口温排水排放</w:t>
                  </w:r>
                </w:p>
                <w:p w14:paraId="2DB4CF48">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rPr>
                    <w:t>口车间或车间处理设施排放口</w:t>
                  </w:r>
                </w:p>
              </w:tc>
            </w:tr>
          </w:tbl>
          <w:p w14:paraId="1365EBD4">
            <w:pPr>
              <w:keepNext w:val="0"/>
              <w:keepLines w:val="0"/>
              <w:pageBreakBefore w:val="0"/>
              <w:suppressLineNumbers w:val="0"/>
              <w:wordWrap/>
              <w:bidi w:val="0"/>
              <w:spacing w:before="0" w:beforeAutospacing="0" w:after="0" w:afterAutospacing="0" w:line="240" w:lineRule="auto"/>
              <w:ind w:left="0" w:leftChars="0" w:right="0"/>
              <w:jc w:val="center"/>
              <w:rPr>
                <w:rFonts w:hint="default" w:ascii="Times New Roman" w:hAnsi="Times New Roman" w:eastAsia="宋体" w:cs="Times New Roman"/>
                <w:b/>
                <w:bCs/>
                <w:iCs/>
                <w:color w:val="auto"/>
                <w:kern w:val="0"/>
                <w:sz w:val="21"/>
                <w:szCs w:val="21"/>
                <w:highlight w:val="none"/>
                <w:lang w:val="en-US" w:eastAsia="zh-CN" w:bidi="ar-SA"/>
              </w:rPr>
            </w:pPr>
            <w:r>
              <w:rPr>
                <w:rFonts w:hint="default" w:ascii="Times New Roman" w:hAnsi="Times New Roman" w:eastAsia="宋体" w:cs="Times New Roman"/>
                <w:b/>
                <w:bCs/>
                <w:iCs/>
                <w:color w:val="auto"/>
                <w:kern w:val="0"/>
                <w:sz w:val="21"/>
                <w:szCs w:val="21"/>
                <w:highlight w:val="none"/>
                <w:lang w:val="en-US" w:eastAsia="zh-CN" w:bidi="ar-SA"/>
              </w:rPr>
              <w:t>表4-</w:t>
            </w:r>
            <w:r>
              <w:rPr>
                <w:rFonts w:hint="eastAsia" w:cs="Times New Roman"/>
                <w:b/>
                <w:bCs/>
                <w:iCs/>
                <w:color w:val="auto"/>
                <w:kern w:val="0"/>
                <w:sz w:val="21"/>
                <w:szCs w:val="21"/>
                <w:highlight w:val="none"/>
                <w:lang w:val="en-US" w:eastAsia="zh-CN" w:bidi="ar-SA"/>
              </w:rPr>
              <w:t xml:space="preserve">11 </w:t>
            </w:r>
            <w:r>
              <w:rPr>
                <w:rFonts w:hint="eastAsia" w:ascii="Times New Roman" w:hAnsi="Times New Roman" w:eastAsia="宋体" w:cs="Times New Roman"/>
                <w:b/>
                <w:bCs/>
                <w:iCs/>
                <w:color w:val="auto"/>
                <w:kern w:val="0"/>
                <w:sz w:val="21"/>
                <w:szCs w:val="21"/>
                <w:highlight w:val="none"/>
                <w:lang w:val="en-US" w:eastAsia="zh-CN" w:bidi="ar-SA"/>
              </w:rPr>
              <w:t xml:space="preserve"> </w:t>
            </w:r>
            <w:r>
              <w:rPr>
                <w:rFonts w:hint="default" w:ascii="Times New Roman" w:hAnsi="Times New Roman" w:eastAsia="宋体" w:cs="Times New Roman"/>
                <w:b/>
                <w:bCs/>
                <w:iCs/>
                <w:color w:val="auto"/>
                <w:kern w:val="0"/>
                <w:sz w:val="21"/>
                <w:szCs w:val="21"/>
                <w:highlight w:val="none"/>
                <w:lang w:val="en-US" w:eastAsia="zh-CN" w:bidi="ar-SA"/>
              </w:rPr>
              <w:t>废水污染物排放信息表</w:t>
            </w:r>
          </w:p>
          <w:tbl>
            <w:tblPr>
              <w:tblStyle w:val="3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2"/>
              <w:gridCol w:w="1294"/>
              <w:gridCol w:w="1306"/>
              <w:gridCol w:w="3057"/>
              <w:gridCol w:w="1838"/>
            </w:tblGrid>
            <w:tr w14:paraId="204DBE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0" w:type="pct"/>
                  <w:vAlign w:val="center"/>
                </w:tcPr>
                <w:p w14:paraId="3A0D94E3">
                  <w:pPr>
                    <w:pStyle w:val="115"/>
                    <w:spacing w:before="0" w:after="0"/>
                    <w:rPr>
                      <w:rFonts w:ascii="Times New Roman" w:hAnsi="Times New Roman" w:eastAsia="宋体"/>
                      <w:b w:val="0"/>
                      <w:bCs w:val="0"/>
                      <w:color w:val="auto"/>
                      <w:sz w:val="21"/>
                      <w:szCs w:val="21"/>
                    </w:rPr>
                  </w:pPr>
                  <w:r>
                    <w:rPr>
                      <w:rFonts w:ascii="Times New Roman" w:hAnsi="Times New Roman" w:eastAsia="宋体"/>
                      <w:b w:val="0"/>
                      <w:bCs w:val="0"/>
                      <w:color w:val="auto"/>
                      <w:sz w:val="21"/>
                      <w:szCs w:val="21"/>
                    </w:rPr>
                    <w:t>序号</w:t>
                  </w:r>
                </w:p>
              </w:tc>
              <w:tc>
                <w:tcPr>
                  <w:tcW w:w="794" w:type="pct"/>
                  <w:vAlign w:val="center"/>
                </w:tcPr>
                <w:p w14:paraId="011B9BA9">
                  <w:pPr>
                    <w:pStyle w:val="115"/>
                    <w:spacing w:before="0" w:after="0"/>
                    <w:rPr>
                      <w:rFonts w:ascii="Times New Roman" w:hAnsi="Times New Roman" w:eastAsia="宋体"/>
                      <w:b w:val="0"/>
                      <w:bCs w:val="0"/>
                      <w:color w:val="auto"/>
                      <w:sz w:val="21"/>
                      <w:szCs w:val="21"/>
                    </w:rPr>
                  </w:pPr>
                  <w:r>
                    <w:rPr>
                      <w:rFonts w:ascii="Times New Roman" w:hAnsi="Times New Roman" w:eastAsia="宋体"/>
                      <w:b w:val="0"/>
                      <w:bCs w:val="0"/>
                      <w:color w:val="auto"/>
                      <w:sz w:val="21"/>
                      <w:szCs w:val="21"/>
                    </w:rPr>
                    <w:t>排放口编号</w:t>
                  </w:r>
                </w:p>
              </w:tc>
              <w:tc>
                <w:tcPr>
                  <w:tcW w:w="801" w:type="pct"/>
                  <w:vAlign w:val="center"/>
                </w:tcPr>
                <w:p w14:paraId="05B19781">
                  <w:pPr>
                    <w:pStyle w:val="115"/>
                    <w:spacing w:before="0" w:after="0"/>
                    <w:rPr>
                      <w:rFonts w:ascii="Times New Roman" w:hAnsi="Times New Roman" w:eastAsia="宋体"/>
                      <w:b w:val="0"/>
                      <w:bCs w:val="0"/>
                      <w:color w:val="auto"/>
                      <w:sz w:val="21"/>
                      <w:szCs w:val="21"/>
                    </w:rPr>
                  </w:pPr>
                  <w:r>
                    <w:rPr>
                      <w:rFonts w:ascii="Times New Roman" w:hAnsi="Times New Roman" w:eastAsia="宋体"/>
                      <w:b w:val="0"/>
                      <w:bCs w:val="0"/>
                      <w:color w:val="auto"/>
                      <w:sz w:val="21"/>
                      <w:szCs w:val="21"/>
                    </w:rPr>
                    <w:t>污染物种类</w:t>
                  </w:r>
                </w:p>
              </w:tc>
              <w:tc>
                <w:tcPr>
                  <w:tcW w:w="1876" w:type="pct"/>
                  <w:vAlign w:val="center"/>
                </w:tcPr>
                <w:p w14:paraId="151D49B4">
                  <w:pPr>
                    <w:pStyle w:val="115"/>
                    <w:spacing w:before="0" w:after="0"/>
                    <w:rPr>
                      <w:rFonts w:ascii="Times New Roman" w:hAnsi="Times New Roman" w:eastAsia="宋体"/>
                      <w:b w:val="0"/>
                      <w:bCs w:val="0"/>
                      <w:color w:val="auto"/>
                      <w:sz w:val="21"/>
                      <w:szCs w:val="21"/>
                    </w:rPr>
                  </w:pPr>
                  <w:r>
                    <w:rPr>
                      <w:rFonts w:ascii="Times New Roman" w:hAnsi="Times New Roman" w:eastAsia="宋体"/>
                      <w:b w:val="0"/>
                      <w:bCs w:val="0"/>
                      <w:color w:val="auto"/>
                      <w:sz w:val="21"/>
                      <w:szCs w:val="21"/>
                    </w:rPr>
                    <w:t>排放浓度/（mg/L）</w:t>
                  </w:r>
                </w:p>
              </w:tc>
              <w:tc>
                <w:tcPr>
                  <w:tcW w:w="1128" w:type="pct"/>
                  <w:vAlign w:val="center"/>
                </w:tcPr>
                <w:p w14:paraId="74375A65">
                  <w:pPr>
                    <w:contextualSpacing/>
                    <w:jc w:val="center"/>
                    <w:rPr>
                      <w:color w:val="auto"/>
                      <w:szCs w:val="21"/>
                    </w:rPr>
                  </w:pPr>
                  <w:r>
                    <w:rPr>
                      <w:color w:val="auto"/>
                      <w:szCs w:val="21"/>
                    </w:rPr>
                    <w:t>年排放量/（t/a）</w:t>
                  </w:r>
                </w:p>
              </w:tc>
            </w:tr>
            <w:tr w14:paraId="6B8009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trPr>
              <w:tc>
                <w:tcPr>
                  <w:tcW w:w="400" w:type="pct"/>
                  <w:vAlign w:val="center"/>
                </w:tcPr>
                <w:p w14:paraId="69A7EAC3">
                  <w:pPr>
                    <w:pStyle w:val="115"/>
                    <w:spacing w:before="0" w:after="0"/>
                    <w:rPr>
                      <w:rFonts w:ascii="Times New Roman" w:hAnsi="Times New Roman" w:eastAsia="宋体"/>
                      <w:b w:val="0"/>
                      <w:bCs w:val="0"/>
                      <w:color w:val="auto"/>
                      <w:sz w:val="21"/>
                      <w:szCs w:val="21"/>
                    </w:rPr>
                  </w:pPr>
                  <w:r>
                    <w:rPr>
                      <w:rFonts w:ascii="Times New Roman" w:hAnsi="Times New Roman" w:eastAsia="宋体"/>
                      <w:b w:val="0"/>
                      <w:bCs w:val="0"/>
                      <w:color w:val="auto"/>
                      <w:sz w:val="21"/>
                      <w:szCs w:val="21"/>
                    </w:rPr>
                    <w:t>1</w:t>
                  </w:r>
                </w:p>
              </w:tc>
              <w:tc>
                <w:tcPr>
                  <w:tcW w:w="794" w:type="pct"/>
                  <w:vMerge w:val="restart"/>
                  <w:vAlign w:val="center"/>
                </w:tcPr>
                <w:p w14:paraId="1B79E434">
                  <w:pPr>
                    <w:pStyle w:val="115"/>
                    <w:spacing w:before="0" w:after="0"/>
                    <w:rPr>
                      <w:rFonts w:ascii="Times New Roman" w:hAnsi="Times New Roman" w:eastAsia="宋体"/>
                      <w:b w:val="0"/>
                      <w:bCs w:val="0"/>
                      <w:color w:val="auto"/>
                      <w:sz w:val="21"/>
                      <w:szCs w:val="21"/>
                    </w:rPr>
                  </w:pPr>
                  <w:r>
                    <w:rPr>
                      <w:rFonts w:ascii="Times New Roman" w:hAnsi="Times New Roman" w:eastAsia="宋体"/>
                      <w:b w:val="0"/>
                      <w:bCs w:val="0"/>
                      <w:color w:val="auto"/>
                      <w:sz w:val="21"/>
                      <w:szCs w:val="21"/>
                    </w:rPr>
                    <w:t>DW001</w:t>
                  </w:r>
                </w:p>
              </w:tc>
              <w:tc>
                <w:tcPr>
                  <w:tcW w:w="801" w:type="pct"/>
                  <w:vAlign w:val="center"/>
                </w:tcPr>
                <w:p w14:paraId="5B0D452B">
                  <w:pPr>
                    <w:pStyle w:val="136"/>
                    <w:spacing w:line="240" w:lineRule="auto"/>
                    <w:rPr>
                      <w:rFonts w:hint="eastAsia" w:cs="Times New Roman"/>
                      <w:color w:val="auto"/>
                      <w:spacing w:val="-10"/>
                      <w:szCs w:val="21"/>
                      <w:lang w:val="en-US" w:eastAsia="zh-CN"/>
                    </w:rPr>
                  </w:pPr>
                  <w:r>
                    <w:rPr>
                      <w:rFonts w:hint="eastAsia" w:cs="Times New Roman"/>
                      <w:color w:val="auto"/>
                      <w:spacing w:val="-10"/>
                      <w:szCs w:val="21"/>
                      <w:lang w:val="en-US" w:eastAsia="zh-CN"/>
                    </w:rPr>
                    <w:t>COD</w:t>
                  </w:r>
                </w:p>
              </w:tc>
              <w:tc>
                <w:tcPr>
                  <w:tcW w:w="1876" w:type="pct"/>
                  <w:vAlign w:val="center"/>
                </w:tcPr>
                <w:p w14:paraId="7263BA22">
                  <w:pPr>
                    <w:pStyle w:val="136"/>
                    <w:spacing w:line="240" w:lineRule="auto"/>
                    <w:rPr>
                      <w:rFonts w:hint="default" w:cs="Times New Roman"/>
                      <w:color w:val="auto"/>
                      <w:spacing w:val="-10"/>
                      <w:szCs w:val="21"/>
                      <w:lang w:val="en-US" w:eastAsia="zh-CN"/>
                    </w:rPr>
                  </w:pPr>
                  <w:r>
                    <w:rPr>
                      <w:rFonts w:hint="eastAsia" w:cs="Times New Roman"/>
                      <w:color w:val="auto"/>
                      <w:spacing w:val="-10"/>
                      <w:szCs w:val="21"/>
                      <w:lang w:val="en-US" w:eastAsia="zh-CN"/>
                    </w:rPr>
                    <w:t>150</w:t>
                  </w:r>
                </w:p>
              </w:tc>
              <w:tc>
                <w:tcPr>
                  <w:tcW w:w="1128" w:type="pct"/>
                  <w:vAlign w:val="center"/>
                </w:tcPr>
                <w:p w14:paraId="1363874B">
                  <w:pPr>
                    <w:pStyle w:val="136"/>
                    <w:spacing w:line="240" w:lineRule="auto"/>
                    <w:rPr>
                      <w:rFonts w:hint="default" w:cs="Times New Roman"/>
                      <w:color w:val="auto"/>
                      <w:spacing w:val="-10"/>
                      <w:szCs w:val="21"/>
                      <w:lang w:val="en-US" w:eastAsia="zh-CN"/>
                    </w:rPr>
                  </w:pPr>
                  <w:r>
                    <w:rPr>
                      <w:rFonts w:hint="eastAsia" w:cs="Times New Roman"/>
                      <w:color w:val="auto"/>
                      <w:spacing w:val="-10"/>
                      <w:szCs w:val="21"/>
                      <w:lang w:val="en-US" w:eastAsia="zh-CN"/>
                    </w:rPr>
                    <w:t>0.294</w:t>
                  </w:r>
                </w:p>
              </w:tc>
            </w:tr>
            <w:tr w14:paraId="217499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trPr>
              <w:tc>
                <w:tcPr>
                  <w:tcW w:w="400" w:type="pct"/>
                  <w:vAlign w:val="center"/>
                </w:tcPr>
                <w:p w14:paraId="3FEA43A9">
                  <w:pPr>
                    <w:pStyle w:val="115"/>
                    <w:spacing w:before="0" w:after="0"/>
                    <w:rPr>
                      <w:rFonts w:hint="eastAsia" w:ascii="Times New Roman" w:hAnsi="Times New Roman" w:eastAsia="宋体"/>
                      <w:b w:val="0"/>
                      <w:bCs w:val="0"/>
                      <w:color w:val="auto"/>
                      <w:sz w:val="21"/>
                      <w:szCs w:val="21"/>
                      <w:lang w:val="en-US" w:eastAsia="zh-CN"/>
                    </w:rPr>
                  </w:pPr>
                  <w:r>
                    <w:rPr>
                      <w:rFonts w:hint="eastAsia" w:eastAsia="宋体"/>
                      <w:b w:val="0"/>
                      <w:bCs w:val="0"/>
                      <w:color w:val="auto"/>
                      <w:sz w:val="21"/>
                      <w:szCs w:val="21"/>
                      <w:lang w:val="en-US" w:eastAsia="zh-CN"/>
                    </w:rPr>
                    <w:t>2</w:t>
                  </w:r>
                </w:p>
              </w:tc>
              <w:tc>
                <w:tcPr>
                  <w:tcW w:w="794" w:type="pct"/>
                  <w:vMerge w:val="continue"/>
                  <w:vAlign w:val="center"/>
                </w:tcPr>
                <w:p w14:paraId="0EC1A3D1">
                  <w:pPr>
                    <w:pStyle w:val="115"/>
                    <w:spacing w:before="0" w:after="0"/>
                    <w:rPr>
                      <w:rFonts w:ascii="Times New Roman" w:hAnsi="Times New Roman" w:eastAsia="宋体"/>
                      <w:b w:val="0"/>
                      <w:bCs w:val="0"/>
                      <w:color w:val="auto"/>
                      <w:sz w:val="21"/>
                      <w:szCs w:val="21"/>
                    </w:rPr>
                  </w:pPr>
                </w:p>
              </w:tc>
              <w:tc>
                <w:tcPr>
                  <w:tcW w:w="801" w:type="pct"/>
                  <w:vAlign w:val="center"/>
                </w:tcPr>
                <w:p w14:paraId="02554D5D">
                  <w:pPr>
                    <w:pStyle w:val="136"/>
                    <w:spacing w:line="240" w:lineRule="auto"/>
                    <w:rPr>
                      <w:rFonts w:hint="eastAsia" w:cs="Times New Roman"/>
                      <w:color w:val="auto"/>
                      <w:spacing w:val="-10"/>
                      <w:szCs w:val="21"/>
                      <w:lang w:val="en-US" w:eastAsia="zh-CN"/>
                    </w:rPr>
                  </w:pPr>
                  <w:r>
                    <w:rPr>
                      <w:rFonts w:hint="eastAsia" w:cs="Times New Roman"/>
                      <w:color w:val="auto"/>
                      <w:spacing w:val="-10"/>
                      <w:szCs w:val="21"/>
                      <w:lang w:val="en-US" w:eastAsia="zh-CN"/>
                    </w:rPr>
                    <w:t>氨氮</w:t>
                  </w:r>
                </w:p>
              </w:tc>
              <w:tc>
                <w:tcPr>
                  <w:tcW w:w="1876" w:type="pct"/>
                  <w:vAlign w:val="center"/>
                </w:tcPr>
                <w:p w14:paraId="14B7E032">
                  <w:pPr>
                    <w:pStyle w:val="136"/>
                    <w:spacing w:line="240" w:lineRule="auto"/>
                    <w:rPr>
                      <w:rFonts w:hint="default" w:cs="Times New Roman"/>
                      <w:color w:val="auto"/>
                      <w:spacing w:val="-10"/>
                      <w:szCs w:val="21"/>
                      <w:lang w:val="en-US" w:eastAsia="zh-CN"/>
                    </w:rPr>
                  </w:pPr>
                  <w:r>
                    <w:rPr>
                      <w:rFonts w:hint="eastAsia" w:cs="Times New Roman"/>
                      <w:color w:val="auto"/>
                      <w:spacing w:val="-10"/>
                      <w:szCs w:val="21"/>
                      <w:lang w:val="en-US" w:eastAsia="zh-CN"/>
                    </w:rPr>
                    <w:t>28</w:t>
                  </w:r>
                </w:p>
              </w:tc>
              <w:tc>
                <w:tcPr>
                  <w:tcW w:w="1128" w:type="pct"/>
                  <w:vAlign w:val="center"/>
                </w:tcPr>
                <w:p w14:paraId="3650F7C1">
                  <w:pPr>
                    <w:pStyle w:val="136"/>
                    <w:spacing w:line="240" w:lineRule="auto"/>
                    <w:rPr>
                      <w:rFonts w:hint="default" w:cs="Times New Roman"/>
                      <w:color w:val="auto"/>
                      <w:spacing w:val="-10"/>
                      <w:szCs w:val="21"/>
                      <w:lang w:val="en-US" w:eastAsia="zh-CN"/>
                    </w:rPr>
                  </w:pPr>
                  <w:r>
                    <w:rPr>
                      <w:rFonts w:hint="eastAsia" w:cs="Times New Roman"/>
                      <w:color w:val="auto"/>
                      <w:spacing w:val="-10"/>
                      <w:szCs w:val="21"/>
                      <w:lang w:val="en-US" w:eastAsia="zh-CN"/>
                    </w:rPr>
                    <w:t>0.056</w:t>
                  </w:r>
                </w:p>
              </w:tc>
            </w:tr>
            <w:tr w14:paraId="69F2D8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trPr>
              <w:tc>
                <w:tcPr>
                  <w:tcW w:w="400" w:type="pct"/>
                  <w:vAlign w:val="center"/>
                </w:tcPr>
                <w:p w14:paraId="6DEB0BFB">
                  <w:pPr>
                    <w:pStyle w:val="115"/>
                    <w:spacing w:before="0" w:after="0"/>
                    <w:rPr>
                      <w:rFonts w:hint="eastAsia" w:ascii="Times New Roman" w:hAnsi="Times New Roman" w:eastAsia="宋体"/>
                      <w:b w:val="0"/>
                      <w:bCs w:val="0"/>
                      <w:color w:val="auto"/>
                      <w:sz w:val="21"/>
                      <w:szCs w:val="21"/>
                      <w:lang w:val="en-US" w:eastAsia="zh-CN"/>
                    </w:rPr>
                  </w:pPr>
                  <w:r>
                    <w:rPr>
                      <w:rFonts w:hint="eastAsia" w:eastAsia="宋体"/>
                      <w:b w:val="0"/>
                      <w:bCs w:val="0"/>
                      <w:color w:val="auto"/>
                      <w:sz w:val="21"/>
                      <w:szCs w:val="21"/>
                      <w:lang w:val="en-US" w:eastAsia="zh-CN"/>
                    </w:rPr>
                    <w:t>3</w:t>
                  </w:r>
                </w:p>
              </w:tc>
              <w:tc>
                <w:tcPr>
                  <w:tcW w:w="794" w:type="pct"/>
                  <w:vMerge w:val="continue"/>
                  <w:vAlign w:val="center"/>
                </w:tcPr>
                <w:p w14:paraId="68BA119B">
                  <w:pPr>
                    <w:pStyle w:val="115"/>
                    <w:spacing w:before="0" w:after="0"/>
                    <w:rPr>
                      <w:rFonts w:ascii="Times New Roman" w:hAnsi="Times New Roman" w:eastAsia="宋体"/>
                      <w:b w:val="0"/>
                      <w:bCs w:val="0"/>
                      <w:color w:val="auto"/>
                      <w:sz w:val="21"/>
                      <w:szCs w:val="21"/>
                    </w:rPr>
                  </w:pPr>
                </w:p>
              </w:tc>
              <w:tc>
                <w:tcPr>
                  <w:tcW w:w="801" w:type="pct"/>
                  <w:vAlign w:val="center"/>
                </w:tcPr>
                <w:p w14:paraId="55E6F4F9">
                  <w:pPr>
                    <w:pStyle w:val="136"/>
                    <w:spacing w:line="240" w:lineRule="auto"/>
                    <w:rPr>
                      <w:rFonts w:hint="default" w:cs="Times New Roman"/>
                      <w:color w:val="auto"/>
                      <w:spacing w:val="-10"/>
                      <w:szCs w:val="21"/>
                      <w:lang w:val="en-US" w:eastAsia="zh-CN"/>
                    </w:rPr>
                  </w:pPr>
                  <w:r>
                    <w:rPr>
                      <w:rFonts w:hint="eastAsia" w:cs="Times New Roman"/>
                      <w:color w:val="auto"/>
                      <w:spacing w:val="-10"/>
                      <w:szCs w:val="21"/>
                      <w:lang w:val="en-US" w:eastAsia="zh-CN"/>
                    </w:rPr>
                    <w:t>SS</w:t>
                  </w:r>
                </w:p>
              </w:tc>
              <w:tc>
                <w:tcPr>
                  <w:tcW w:w="1876" w:type="pct"/>
                  <w:vAlign w:val="center"/>
                </w:tcPr>
                <w:p w14:paraId="15FE7A36">
                  <w:pPr>
                    <w:pStyle w:val="136"/>
                    <w:spacing w:line="240" w:lineRule="auto"/>
                    <w:rPr>
                      <w:rFonts w:hint="default" w:cs="Times New Roman"/>
                      <w:color w:val="auto"/>
                      <w:spacing w:val="-10"/>
                      <w:szCs w:val="21"/>
                      <w:lang w:val="en-US" w:eastAsia="zh-CN"/>
                    </w:rPr>
                  </w:pPr>
                  <w:r>
                    <w:rPr>
                      <w:rFonts w:hint="eastAsia" w:cs="Times New Roman"/>
                      <w:color w:val="auto"/>
                      <w:spacing w:val="-10"/>
                      <w:szCs w:val="21"/>
                      <w:lang w:val="en-US" w:eastAsia="zh-CN"/>
                    </w:rPr>
                    <w:t>232</w:t>
                  </w:r>
                </w:p>
              </w:tc>
              <w:tc>
                <w:tcPr>
                  <w:tcW w:w="1128" w:type="pct"/>
                  <w:vAlign w:val="center"/>
                </w:tcPr>
                <w:p w14:paraId="3CCBB580">
                  <w:pPr>
                    <w:pStyle w:val="136"/>
                    <w:spacing w:line="240" w:lineRule="auto"/>
                    <w:rPr>
                      <w:rFonts w:hint="default" w:cs="Times New Roman"/>
                      <w:color w:val="auto"/>
                      <w:spacing w:val="-10"/>
                      <w:szCs w:val="21"/>
                      <w:lang w:val="en-US" w:eastAsia="zh-CN"/>
                    </w:rPr>
                  </w:pPr>
                  <w:r>
                    <w:rPr>
                      <w:rFonts w:hint="eastAsia" w:cs="Times New Roman"/>
                      <w:color w:val="auto"/>
                      <w:spacing w:val="-10"/>
                      <w:szCs w:val="21"/>
                      <w:lang w:val="en-US" w:eastAsia="zh-CN"/>
                    </w:rPr>
                    <w:t>0.457</w:t>
                  </w:r>
                </w:p>
              </w:tc>
            </w:tr>
            <w:tr w14:paraId="4CF8B0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trPr>
              <w:tc>
                <w:tcPr>
                  <w:tcW w:w="400" w:type="pct"/>
                  <w:vAlign w:val="center"/>
                </w:tcPr>
                <w:p w14:paraId="21A9F16A">
                  <w:pPr>
                    <w:pStyle w:val="115"/>
                    <w:spacing w:before="0" w:after="0"/>
                    <w:rPr>
                      <w:rFonts w:ascii="Times New Roman" w:hAnsi="Times New Roman" w:eastAsia="宋体"/>
                      <w:b w:val="0"/>
                      <w:bCs w:val="0"/>
                      <w:color w:val="auto"/>
                      <w:sz w:val="21"/>
                      <w:szCs w:val="21"/>
                    </w:rPr>
                  </w:pPr>
                  <w:r>
                    <w:rPr>
                      <w:rFonts w:ascii="Times New Roman" w:hAnsi="Times New Roman" w:eastAsia="宋体"/>
                      <w:b w:val="0"/>
                      <w:bCs w:val="0"/>
                      <w:color w:val="auto"/>
                      <w:sz w:val="21"/>
                      <w:szCs w:val="21"/>
                    </w:rPr>
                    <w:t>4</w:t>
                  </w:r>
                </w:p>
              </w:tc>
              <w:tc>
                <w:tcPr>
                  <w:tcW w:w="794" w:type="pct"/>
                  <w:vMerge w:val="continue"/>
                  <w:vAlign w:val="center"/>
                </w:tcPr>
                <w:p w14:paraId="74A145B0">
                  <w:pPr>
                    <w:pStyle w:val="115"/>
                    <w:spacing w:before="0" w:after="0"/>
                    <w:rPr>
                      <w:rFonts w:ascii="Times New Roman" w:hAnsi="Times New Roman" w:eastAsia="宋体"/>
                      <w:b w:val="0"/>
                      <w:bCs w:val="0"/>
                      <w:color w:val="auto"/>
                      <w:sz w:val="21"/>
                      <w:szCs w:val="21"/>
                    </w:rPr>
                  </w:pPr>
                </w:p>
              </w:tc>
              <w:tc>
                <w:tcPr>
                  <w:tcW w:w="801" w:type="pct"/>
                  <w:vAlign w:val="center"/>
                </w:tcPr>
                <w:p w14:paraId="4FB89B32">
                  <w:pPr>
                    <w:pStyle w:val="136"/>
                    <w:spacing w:line="240" w:lineRule="auto"/>
                    <w:rPr>
                      <w:rFonts w:hint="default" w:cs="Times New Roman"/>
                      <w:color w:val="auto"/>
                      <w:spacing w:val="-10"/>
                      <w:szCs w:val="21"/>
                      <w:lang w:val="en-US" w:eastAsia="zh-CN"/>
                    </w:rPr>
                  </w:pPr>
                  <w:r>
                    <w:rPr>
                      <w:rFonts w:hint="eastAsia" w:cs="Times New Roman"/>
                      <w:color w:val="auto"/>
                      <w:spacing w:val="-10"/>
                      <w:szCs w:val="21"/>
                      <w:lang w:val="en-US" w:eastAsia="zh-CN"/>
                    </w:rPr>
                    <w:t>BOD</w:t>
                  </w:r>
                  <w:r>
                    <w:rPr>
                      <w:rFonts w:hint="eastAsia" w:cs="Times New Roman"/>
                      <w:color w:val="auto"/>
                      <w:spacing w:val="-10"/>
                      <w:szCs w:val="21"/>
                      <w:vertAlign w:val="subscript"/>
                      <w:lang w:val="en-US" w:eastAsia="zh-CN"/>
                    </w:rPr>
                    <w:t>5</w:t>
                  </w:r>
                </w:p>
              </w:tc>
              <w:tc>
                <w:tcPr>
                  <w:tcW w:w="1876" w:type="pct"/>
                  <w:vAlign w:val="center"/>
                </w:tcPr>
                <w:p w14:paraId="3A0EB7C2">
                  <w:pPr>
                    <w:pStyle w:val="136"/>
                    <w:spacing w:line="240" w:lineRule="auto"/>
                    <w:rPr>
                      <w:rFonts w:hint="default" w:cs="Times New Roman"/>
                      <w:color w:val="auto"/>
                      <w:spacing w:val="-10"/>
                      <w:szCs w:val="21"/>
                      <w:lang w:val="en-US" w:eastAsia="zh-CN"/>
                    </w:rPr>
                  </w:pPr>
                  <w:r>
                    <w:rPr>
                      <w:rFonts w:hint="eastAsia" w:cs="Times New Roman"/>
                      <w:color w:val="auto"/>
                      <w:spacing w:val="-10"/>
                      <w:szCs w:val="21"/>
                      <w:lang w:val="en-US" w:eastAsia="zh-CN"/>
                    </w:rPr>
                    <w:t>27</w:t>
                  </w:r>
                </w:p>
              </w:tc>
              <w:tc>
                <w:tcPr>
                  <w:tcW w:w="1128" w:type="pct"/>
                  <w:vAlign w:val="center"/>
                </w:tcPr>
                <w:p w14:paraId="3CB56883">
                  <w:pPr>
                    <w:pStyle w:val="136"/>
                    <w:spacing w:line="240" w:lineRule="auto"/>
                    <w:rPr>
                      <w:rFonts w:hint="default" w:cs="Times New Roman"/>
                      <w:color w:val="auto"/>
                      <w:spacing w:val="-10"/>
                      <w:szCs w:val="21"/>
                      <w:lang w:val="en-US" w:eastAsia="zh-CN"/>
                    </w:rPr>
                  </w:pPr>
                  <w:r>
                    <w:rPr>
                      <w:rFonts w:hint="eastAsia" w:cs="Times New Roman"/>
                      <w:color w:val="auto"/>
                      <w:spacing w:val="-10"/>
                      <w:szCs w:val="21"/>
                      <w:lang w:val="en-US" w:eastAsia="zh-CN"/>
                    </w:rPr>
                    <w:t>0.053</w:t>
                  </w:r>
                </w:p>
              </w:tc>
            </w:tr>
            <w:tr w14:paraId="62C7E0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trPr>
              <w:tc>
                <w:tcPr>
                  <w:tcW w:w="400" w:type="pct"/>
                  <w:vAlign w:val="center"/>
                </w:tcPr>
                <w:p w14:paraId="42EE60B4">
                  <w:pPr>
                    <w:pStyle w:val="115"/>
                    <w:spacing w:before="0" w:after="0"/>
                    <w:rPr>
                      <w:rFonts w:hint="eastAsia" w:ascii="Times New Roman" w:hAnsi="Times New Roman" w:eastAsia="宋体"/>
                      <w:b w:val="0"/>
                      <w:bCs w:val="0"/>
                      <w:color w:val="auto"/>
                      <w:sz w:val="21"/>
                      <w:szCs w:val="21"/>
                      <w:lang w:val="en-US" w:eastAsia="zh-CN"/>
                    </w:rPr>
                  </w:pPr>
                  <w:r>
                    <w:rPr>
                      <w:rFonts w:hint="eastAsia" w:eastAsia="宋体"/>
                      <w:b w:val="0"/>
                      <w:bCs w:val="0"/>
                      <w:color w:val="auto"/>
                      <w:sz w:val="21"/>
                      <w:szCs w:val="21"/>
                      <w:lang w:val="en-US" w:eastAsia="zh-CN"/>
                    </w:rPr>
                    <w:t>5</w:t>
                  </w:r>
                </w:p>
              </w:tc>
              <w:tc>
                <w:tcPr>
                  <w:tcW w:w="794" w:type="pct"/>
                  <w:vMerge w:val="continue"/>
                  <w:vAlign w:val="center"/>
                </w:tcPr>
                <w:p w14:paraId="5C1B377A">
                  <w:pPr>
                    <w:pStyle w:val="115"/>
                    <w:spacing w:before="0" w:after="0"/>
                    <w:rPr>
                      <w:rFonts w:ascii="Times New Roman" w:hAnsi="Times New Roman" w:eastAsia="宋体"/>
                      <w:b w:val="0"/>
                      <w:bCs w:val="0"/>
                      <w:color w:val="auto"/>
                      <w:sz w:val="21"/>
                      <w:szCs w:val="21"/>
                    </w:rPr>
                  </w:pPr>
                </w:p>
              </w:tc>
              <w:tc>
                <w:tcPr>
                  <w:tcW w:w="801" w:type="pct"/>
                  <w:vAlign w:val="center"/>
                </w:tcPr>
                <w:p w14:paraId="2CB41084">
                  <w:pPr>
                    <w:pStyle w:val="136"/>
                    <w:spacing w:line="240" w:lineRule="auto"/>
                    <w:rPr>
                      <w:rFonts w:hint="eastAsia" w:cs="Times New Roman"/>
                      <w:color w:val="auto"/>
                      <w:spacing w:val="-10"/>
                      <w:szCs w:val="21"/>
                      <w:lang w:val="en-US" w:eastAsia="zh-CN"/>
                    </w:rPr>
                  </w:pPr>
                  <w:r>
                    <w:rPr>
                      <w:rFonts w:hint="eastAsia" w:cs="Times New Roman"/>
                      <w:color w:val="auto"/>
                      <w:spacing w:val="-10"/>
                      <w:szCs w:val="21"/>
                      <w:lang w:val="en-US" w:eastAsia="zh-CN"/>
                    </w:rPr>
                    <w:t>石油类</w:t>
                  </w:r>
                </w:p>
              </w:tc>
              <w:tc>
                <w:tcPr>
                  <w:tcW w:w="1876" w:type="pct"/>
                  <w:vAlign w:val="center"/>
                </w:tcPr>
                <w:p w14:paraId="5F93A76D">
                  <w:pPr>
                    <w:pStyle w:val="136"/>
                    <w:spacing w:line="240" w:lineRule="auto"/>
                    <w:rPr>
                      <w:rFonts w:hint="default" w:cs="Times New Roman"/>
                      <w:color w:val="auto"/>
                      <w:spacing w:val="-10"/>
                      <w:szCs w:val="21"/>
                      <w:lang w:val="en-US" w:eastAsia="zh-CN"/>
                    </w:rPr>
                  </w:pPr>
                  <w:r>
                    <w:rPr>
                      <w:rFonts w:hint="eastAsia" w:cs="Times New Roman"/>
                      <w:color w:val="auto"/>
                      <w:spacing w:val="-10"/>
                      <w:szCs w:val="21"/>
                      <w:lang w:val="en-US" w:eastAsia="zh-CN"/>
                    </w:rPr>
                    <w:t>7</w:t>
                  </w:r>
                </w:p>
              </w:tc>
              <w:tc>
                <w:tcPr>
                  <w:tcW w:w="1128" w:type="pct"/>
                  <w:vAlign w:val="center"/>
                </w:tcPr>
                <w:p w14:paraId="4643D413">
                  <w:pPr>
                    <w:pStyle w:val="136"/>
                    <w:spacing w:line="240" w:lineRule="auto"/>
                    <w:rPr>
                      <w:rFonts w:hint="default" w:cs="Times New Roman"/>
                      <w:color w:val="auto"/>
                      <w:spacing w:val="-10"/>
                      <w:szCs w:val="21"/>
                      <w:lang w:val="en-US" w:eastAsia="zh-CN"/>
                    </w:rPr>
                  </w:pPr>
                  <w:r>
                    <w:rPr>
                      <w:rFonts w:hint="eastAsia" w:cs="Times New Roman"/>
                      <w:color w:val="auto"/>
                      <w:spacing w:val="-10"/>
                      <w:szCs w:val="21"/>
                      <w:lang w:val="en-US" w:eastAsia="zh-CN"/>
                    </w:rPr>
                    <w:t>0.014</w:t>
                  </w:r>
                </w:p>
              </w:tc>
            </w:tr>
            <w:tr w14:paraId="019F81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trPr>
              <w:tc>
                <w:tcPr>
                  <w:tcW w:w="1194" w:type="pct"/>
                  <w:gridSpan w:val="2"/>
                  <w:vMerge w:val="restart"/>
                  <w:vAlign w:val="center"/>
                </w:tcPr>
                <w:p w14:paraId="3E976E6C">
                  <w:pPr>
                    <w:pStyle w:val="42"/>
                    <w:rPr>
                      <w:rFonts w:ascii="Times New Roman" w:cs="Times New Roman"/>
                      <w:color w:val="auto"/>
                      <w:sz w:val="21"/>
                      <w:szCs w:val="21"/>
                    </w:rPr>
                  </w:pPr>
                  <w:r>
                    <w:rPr>
                      <w:rFonts w:ascii="Times New Roman" w:cs="Times New Roman"/>
                      <w:color w:val="auto"/>
                      <w:sz w:val="21"/>
                      <w:szCs w:val="21"/>
                    </w:rPr>
                    <w:t>全厂排放口合计</w:t>
                  </w:r>
                </w:p>
              </w:tc>
              <w:tc>
                <w:tcPr>
                  <w:tcW w:w="2677" w:type="pct"/>
                  <w:gridSpan w:val="2"/>
                  <w:vAlign w:val="center"/>
                </w:tcPr>
                <w:p w14:paraId="06B98C6F">
                  <w:pPr>
                    <w:pStyle w:val="136"/>
                    <w:spacing w:line="240" w:lineRule="auto"/>
                    <w:rPr>
                      <w:rFonts w:ascii="Times New Roman" w:hAnsi="Times New Roman" w:eastAsia="宋体"/>
                      <w:b w:val="0"/>
                      <w:bCs w:val="0"/>
                      <w:color w:val="auto"/>
                      <w:sz w:val="21"/>
                      <w:szCs w:val="21"/>
                    </w:rPr>
                  </w:pPr>
                  <w:r>
                    <w:rPr>
                      <w:rFonts w:hint="eastAsia" w:cs="Times New Roman"/>
                      <w:color w:val="auto"/>
                      <w:spacing w:val="-10"/>
                      <w:szCs w:val="21"/>
                      <w:lang w:val="en-US" w:eastAsia="zh-CN"/>
                    </w:rPr>
                    <w:t>COD</w:t>
                  </w:r>
                </w:p>
              </w:tc>
              <w:tc>
                <w:tcPr>
                  <w:tcW w:w="1838" w:type="dxa"/>
                  <w:vAlign w:val="center"/>
                </w:tcPr>
                <w:p w14:paraId="00AAA36F">
                  <w:pPr>
                    <w:pStyle w:val="136"/>
                    <w:spacing w:line="240" w:lineRule="auto"/>
                    <w:rPr>
                      <w:rFonts w:hint="default" w:cs="Times New Roman"/>
                      <w:color w:val="auto"/>
                      <w:spacing w:val="-10"/>
                      <w:szCs w:val="21"/>
                      <w:lang w:val="en-US" w:eastAsia="zh-CN"/>
                    </w:rPr>
                  </w:pPr>
                  <w:r>
                    <w:rPr>
                      <w:rFonts w:hint="eastAsia" w:cs="Times New Roman"/>
                      <w:color w:val="auto"/>
                      <w:spacing w:val="-10"/>
                      <w:szCs w:val="21"/>
                      <w:lang w:val="en-US" w:eastAsia="zh-CN"/>
                    </w:rPr>
                    <w:t>0.294</w:t>
                  </w:r>
                </w:p>
              </w:tc>
            </w:tr>
            <w:tr w14:paraId="6FDFA2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8" w:hRule="atLeast"/>
              </w:trPr>
              <w:tc>
                <w:tcPr>
                  <w:tcW w:w="1194" w:type="pct"/>
                  <w:gridSpan w:val="2"/>
                  <w:vMerge w:val="continue"/>
                  <w:vAlign w:val="center"/>
                </w:tcPr>
                <w:p w14:paraId="4DC90EFF">
                  <w:pPr>
                    <w:pStyle w:val="42"/>
                    <w:rPr>
                      <w:rFonts w:ascii="Times New Roman" w:cs="Times New Roman"/>
                      <w:color w:val="auto"/>
                      <w:sz w:val="21"/>
                      <w:szCs w:val="21"/>
                    </w:rPr>
                  </w:pPr>
                </w:p>
              </w:tc>
              <w:tc>
                <w:tcPr>
                  <w:tcW w:w="2677" w:type="pct"/>
                  <w:gridSpan w:val="2"/>
                  <w:vAlign w:val="center"/>
                </w:tcPr>
                <w:p w14:paraId="078EEE9B">
                  <w:pPr>
                    <w:pStyle w:val="136"/>
                    <w:spacing w:line="240" w:lineRule="auto"/>
                    <w:rPr>
                      <w:rFonts w:ascii="Times New Roman" w:hAnsi="Times New Roman" w:eastAsia="宋体"/>
                      <w:b w:val="0"/>
                      <w:bCs w:val="0"/>
                      <w:color w:val="auto"/>
                      <w:sz w:val="21"/>
                      <w:szCs w:val="21"/>
                    </w:rPr>
                  </w:pPr>
                  <w:r>
                    <w:rPr>
                      <w:rFonts w:hint="eastAsia" w:cs="Times New Roman"/>
                      <w:color w:val="auto"/>
                      <w:spacing w:val="-10"/>
                      <w:szCs w:val="21"/>
                      <w:lang w:val="en-US" w:eastAsia="zh-CN"/>
                    </w:rPr>
                    <w:t>氨氮</w:t>
                  </w:r>
                </w:p>
              </w:tc>
              <w:tc>
                <w:tcPr>
                  <w:tcW w:w="1838" w:type="dxa"/>
                  <w:vAlign w:val="center"/>
                </w:tcPr>
                <w:p w14:paraId="6E30C7CB">
                  <w:pPr>
                    <w:pStyle w:val="136"/>
                    <w:spacing w:line="240" w:lineRule="auto"/>
                    <w:rPr>
                      <w:rFonts w:hint="eastAsia"/>
                      <w:color w:val="auto"/>
                      <w:sz w:val="21"/>
                      <w:szCs w:val="21"/>
                      <w:lang w:val="en-US" w:eastAsia="zh-CN"/>
                    </w:rPr>
                  </w:pPr>
                  <w:r>
                    <w:rPr>
                      <w:rFonts w:hint="eastAsia" w:cs="Times New Roman"/>
                      <w:color w:val="auto"/>
                      <w:spacing w:val="-10"/>
                      <w:szCs w:val="21"/>
                      <w:lang w:val="en-US" w:eastAsia="zh-CN"/>
                    </w:rPr>
                    <w:t>0.056</w:t>
                  </w:r>
                </w:p>
              </w:tc>
            </w:tr>
            <w:tr w14:paraId="17B561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8" w:hRule="atLeast"/>
              </w:trPr>
              <w:tc>
                <w:tcPr>
                  <w:tcW w:w="1194" w:type="pct"/>
                  <w:gridSpan w:val="2"/>
                  <w:vMerge w:val="continue"/>
                  <w:vAlign w:val="center"/>
                </w:tcPr>
                <w:p w14:paraId="56D2E439">
                  <w:pPr>
                    <w:pStyle w:val="42"/>
                    <w:rPr>
                      <w:rFonts w:ascii="Times New Roman" w:cs="Times New Roman"/>
                      <w:color w:val="auto"/>
                      <w:sz w:val="21"/>
                      <w:szCs w:val="21"/>
                    </w:rPr>
                  </w:pPr>
                </w:p>
              </w:tc>
              <w:tc>
                <w:tcPr>
                  <w:tcW w:w="2677" w:type="pct"/>
                  <w:gridSpan w:val="2"/>
                  <w:vAlign w:val="center"/>
                </w:tcPr>
                <w:p w14:paraId="136692B1">
                  <w:pPr>
                    <w:pStyle w:val="136"/>
                    <w:spacing w:line="240" w:lineRule="auto"/>
                    <w:rPr>
                      <w:rFonts w:ascii="Times New Roman" w:hAnsi="Times New Roman" w:eastAsia="宋体"/>
                      <w:b w:val="0"/>
                      <w:bCs w:val="0"/>
                      <w:color w:val="auto"/>
                      <w:sz w:val="21"/>
                      <w:szCs w:val="21"/>
                    </w:rPr>
                  </w:pPr>
                  <w:r>
                    <w:rPr>
                      <w:rFonts w:hint="eastAsia" w:cs="Times New Roman"/>
                      <w:color w:val="auto"/>
                      <w:spacing w:val="-10"/>
                      <w:szCs w:val="21"/>
                      <w:lang w:val="en-US" w:eastAsia="zh-CN"/>
                    </w:rPr>
                    <w:t>SS</w:t>
                  </w:r>
                </w:p>
              </w:tc>
              <w:tc>
                <w:tcPr>
                  <w:tcW w:w="1838" w:type="dxa"/>
                  <w:vAlign w:val="center"/>
                </w:tcPr>
                <w:p w14:paraId="2E1AD9BD">
                  <w:pPr>
                    <w:pStyle w:val="136"/>
                    <w:spacing w:line="240" w:lineRule="auto"/>
                    <w:rPr>
                      <w:rFonts w:hint="eastAsia"/>
                      <w:color w:val="auto"/>
                      <w:sz w:val="21"/>
                      <w:szCs w:val="21"/>
                      <w:lang w:val="en-US" w:eastAsia="zh-CN"/>
                    </w:rPr>
                  </w:pPr>
                  <w:r>
                    <w:rPr>
                      <w:rFonts w:hint="eastAsia" w:cs="Times New Roman"/>
                      <w:color w:val="auto"/>
                      <w:spacing w:val="-10"/>
                      <w:szCs w:val="21"/>
                      <w:lang w:val="en-US" w:eastAsia="zh-CN"/>
                    </w:rPr>
                    <w:t>0.457</w:t>
                  </w:r>
                </w:p>
              </w:tc>
            </w:tr>
            <w:tr w14:paraId="6317D4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8" w:hRule="atLeast"/>
              </w:trPr>
              <w:tc>
                <w:tcPr>
                  <w:tcW w:w="1194" w:type="pct"/>
                  <w:gridSpan w:val="2"/>
                  <w:vMerge w:val="continue"/>
                  <w:vAlign w:val="center"/>
                </w:tcPr>
                <w:p w14:paraId="36DA897A">
                  <w:pPr>
                    <w:pStyle w:val="42"/>
                    <w:rPr>
                      <w:rFonts w:ascii="Times New Roman" w:cs="Times New Roman"/>
                      <w:color w:val="auto"/>
                      <w:sz w:val="21"/>
                      <w:szCs w:val="21"/>
                    </w:rPr>
                  </w:pPr>
                </w:p>
              </w:tc>
              <w:tc>
                <w:tcPr>
                  <w:tcW w:w="2677" w:type="pct"/>
                  <w:gridSpan w:val="2"/>
                  <w:vAlign w:val="center"/>
                </w:tcPr>
                <w:p w14:paraId="2624299E">
                  <w:pPr>
                    <w:pStyle w:val="136"/>
                    <w:spacing w:line="240" w:lineRule="auto"/>
                    <w:rPr>
                      <w:rFonts w:ascii="Times New Roman" w:hAnsi="Times New Roman" w:eastAsia="宋体"/>
                      <w:b w:val="0"/>
                      <w:bCs w:val="0"/>
                      <w:color w:val="auto"/>
                      <w:sz w:val="21"/>
                      <w:szCs w:val="21"/>
                    </w:rPr>
                  </w:pPr>
                  <w:r>
                    <w:rPr>
                      <w:rFonts w:hint="eastAsia" w:cs="Times New Roman"/>
                      <w:color w:val="auto"/>
                      <w:spacing w:val="-10"/>
                      <w:szCs w:val="21"/>
                      <w:lang w:val="en-US" w:eastAsia="zh-CN"/>
                    </w:rPr>
                    <w:t>BOD</w:t>
                  </w:r>
                  <w:r>
                    <w:rPr>
                      <w:rFonts w:hint="eastAsia" w:cs="Times New Roman"/>
                      <w:color w:val="auto"/>
                      <w:spacing w:val="-10"/>
                      <w:szCs w:val="21"/>
                      <w:vertAlign w:val="subscript"/>
                      <w:lang w:val="en-US" w:eastAsia="zh-CN"/>
                    </w:rPr>
                    <w:t>5</w:t>
                  </w:r>
                </w:p>
              </w:tc>
              <w:tc>
                <w:tcPr>
                  <w:tcW w:w="1838" w:type="dxa"/>
                  <w:vAlign w:val="center"/>
                </w:tcPr>
                <w:p w14:paraId="6111D827">
                  <w:pPr>
                    <w:pStyle w:val="136"/>
                    <w:spacing w:line="240" w:lineRule="auto"/>
                    <w:rPr>
                      <w:rFonts w:hint="eastAsia"/>
                      <w:color w:val="auto"/>
                      <w:sz w:val="21"/>
                      <w:szCs w:val="21"/>
                      <w:lang w:val="en-US" w:eastAsia="zh-CN"/>
                    </w:rPr>
                  </w:pPr>
                  <w:r>
                    <w:rPr>
                      <w:rFonts w:hint="eastAsia" w:cs="Times New Roman"/>
                      <w:color w:val="auto"/>
                      <w:spacing w:val="-10"/>
                      <w:szCs w:val="21"/>
                      <w:lang w:val="en-US" w:eastAsia="zh-CN"/>
                    </w:rPr>
                    <w:t>0.053</w:t>
                  </w:r>
                </w:p>
              </w:tc>
            </w:tr>
            <w:tr w14:paraId="4A4DBB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8" w:hRule="atLeast"/>
              </w:trPr>
              <w:tc>
                <w:tcPr>
                  <w:tcW w:w="1194" w:type="pct"/>
                  <w:gridSpan w:val="2"/>
                  <w:vMerge w:val="continue"/>
                  <w:vAlign w:val="center"/>
                </w:tcPr>
                <w:p w14:paraId="7564614A">
                  <w:pPr>
                    <w:pStyle w:val="42"/>
                    <w:rPr>
                      <w:rFonts w:ascii="Times New Roman" w:cs="Times New Roman"/>
                      <w:color w:val="auto"/>
                      <w:sz w:val="21"/>
                      <w:szCs w:val="21"/>
                    </w:rPr>
                  </w:pPr>
                </w:p>
              </w:tc>
              <w:tc>
                <w:tcPr>
                  <w:tcW w:w="2677" w:type="pct"/>
                  <w:gridSpan w:val="2"/>
                  <w:vAlign w:val="center"/>
                </w:tcPr>
                <w:p w14:paraId="6F867B60">
                  <w:pPr>
                    <w:pStyle w:val="136"/>
                    <w:spacing w:line="240" w:lineRule="auto"/>
                    <w:rPr>
                      <w:rFonts w:ascii="Times New Roman" w:hAnsi="Times New Roman" w:eastAsia="宋体"/>
                      <w:b w:val="0"/>
                      <w:bCs w:val="0"/>
                      <w:color w:val="auto"/>
                      <w:sz w:val="21"/>
                      <w:szCs w:val="21"/>
                    </w:rPr>
                  </w:pPr>
                  <w:r>
                    <w:rPr>
                      <w:rFonts w:hint="eastAsia" w:cs="Times New Roman"/>
                      <w:color w:val="auto"/>
                      <w:spacing w:val="-10"/>
                      <w:szCs w:val="21"/>
                      <w:lang w:val="en-US" w:eastAsia="zh-CN"/>
                    </w:rPr>
                    <w:t>石油类</w:t>
                  </w:r>
                </w:p>
              </w:tc>
              <w:tc>
                <w:tcPr>
                  <w:tcW w:w="1838" w:type="dxa"/>
                  <w:vAlign w:val="center"/>
                </w:tcPr>
                <w:p w14:paraId="51B54104">
                  <w:pPr>
                    <w:pStyle w:val="136"/>
                    <w:spacing w:line="240" w:lineRule="auto"/>
                    <w:rPr>
                      <w:rFonts w:hint="eastAsia"/>
                      <w:color w:val="auto"/>
                      <w:sz w:val="21"/>
                      <w:szCs w:val="21"/>
                      <w:lang w:val="en-US" w:eastAsia="zh-CN"/>
                    </w:rPr>
                  </w:pPr>
                  <w:r>
                    <w:rPr>
                      <w:rFonts w:hint="eastAsia" w:cs="Times New Roman"/>
                      <w:color w:val="auto"/>
                      <w:spacing w:val="-10"/>
                      <w:szCs w:val="21"/>
                      <w:lang w:val="en-US" w:eastAsia="zh-CN"/>
                    </w:rPr>
                    <w:t>0.014</w:t>
                  </w:r>
                </w:p>
              </w:tc>
            </w:tr>
          </w:tbl>
          <w:p w14:paraId="1918A874">
            <w:pPr>
              <w:widowControl/>
              <w:adjustRightInd w:val="0"/>
              <w:snapToGrid w:val="0"/>
              <w:spacing w:before="120" w:beforeLines="50" w:line="240" w:lineRule="exact"/>
              <w:jc w:val="center"/>
              <w:rPr>
                <w:b/>
                <w:color w:val="auto"/>
                <w:kern w:val="0"/>
                <w:sz w:val="24"/>
              </w:rPr>
            </w:pPr>
            <w:r>
              <w:rPr>
                <w:rFonts w:hint="default" w:ascii="Times New Roman" w:hAnsi="Times New Roman" w:eastAsia="宋体" w:cs="Times New Roman"/>
                <w:b/>
                <w:bCs/>
                <w:iCs/>
                <w:color w:val="auto"/>
                <w:kern w:val="0"/>
                <w:sz w:val="21"/>
                <w:szCs w:val="21"/>
                <w:highlight w:val="none"/>
                <w:lang w:val="en-US" w:eastAsia="zh-CN" w:bidi="ar-SA"/>
              </w:rPr>
              <w:t>表</w:t>
            </w:r>
            <w:r>
              <w:rPr>
                <w:rFonts w:hint="eastAsia" w:ascii="Times New Roman" w:hAnsi="Times New Roman" w:eastAsia="宋体" w:cs="Times New Roman"/>
                <w:b/>
                <w:bCs/>
                <w:iCs/>
                <w:color w:val="auto"/>
                <w:kern w:val="0"/>
                <w:sz w:val="21"/>
                <w:szCs w:val="21"/>
                <w:highlight w:val="none"/>
                <w:lang w:val="en-US" w:eastAsia="zh-CN" w:bidi="ar-SA"/>
              </w:rPr>
              <w:t>4-</w:t>
            </w:r>
            <w:r>
              <w:rPr>
                <w:rFonts w:hint="eastAsia" w:cs="Times New Roman"/>
                <w:b/>
                <w:bCs/>
                <w:iCs/>
                <w:color w:val="auto"/>
                <w:kern w:val="0"/>
                <w:sz w:val="21"/>
                <w:szCs w:val="21"/>
                <w:highlight w:val="none"/>
                <w:lang w:val="en-US" w:eastAsia="zh-CN" w:bidi="ar-SA"/>
              </w:rPr>
              <w:t>12</w:t>
            </w:r>
            <w:r>
              <w:rPr>
                <w:rFonts w:hint="eastAsia" w:ascii="Times New Roman" w:hAnsi="Times New Roman" w:eastAsia="宋体" w:cs="Times New Roman"/>
                <w:b/>
                <w:bCs/>
                <w:iCs/>
                <w:color w:val="auto"/>
                <w:kern w:val="0"/>
                <w:sz w:val="21"/>
                <w:szCs w:val="21"/>
                <w:highlight w:val="none"/>
                <w:lang w:val="en-US" w:eastAsia="zh-CN" w:bidi="ar-SA"/>
              </w:rPr>
              <w:t xml:space="preserve">  </w:t>
            </w:r>
            <w:r>
              <w:rPr>
                <w:rFonts w:hint="default" w:ascii="Times New Roman" w:hAnsi="Times New Roman" w:eastAsia="宋体" w:cs="Times New Roman"/>
                <w:b/>
                <w:bCs/>
                <w:iCs/>
                <w:color w:val="auto"/>
                <w:kern w:val="0"/>
                <w:sz w:val="21"/>
                <w:szCs w:val="21"/>
                <w:highlight w:val="none"/>
                <w:lang w:val="en-US" w:eastAsia="zh-CN" w:bidi="ar-SA"/>
              </w:rPr>
              <w:t>废水间接排放口基本情况表</w:t>
            </w:r>
          </w:p>
          <w:tbl>
            <w:tblPr>
              <w:tblStyle w:val="3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259"/>
              <w:gridCol w:w="493"/>
              <w:gridCol w:w="1142"/>
              <w:gridCol w:w="1005"/>
              <w:gridCol w:w="685"/>
              <w:gridCol w:w="516"/>
              <w:gridCol w:w="943"/>
              <w:gridCol w:w="491"/>
              <w:gridCol w:w="592"/>
              <w:gridCol w:w="764"/>
              <w:gridCol w:w="1261"/>
            </w:tblGrid>
            <w:tr w14:paraId="188FDC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4" w:hRule="atLeast"/>
              </w:trPr>
              <w:tc>
                <w:tcPr>
                  <w:tcW w:w="158" w:type="pct"/>
                  <w:vMerge w:val="restart"/>
                  <w:vAlign w:val="center"/>
                </w:tcPr>
                <w:p w14:paraId="4A056BDA">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序号</w:t>
                  </w:r>
                </w:p>
              </w:tc>
              <w:tc>
                <w:tcPr>
                  <w:tcW w:w="302" w:type="pct"/>
                  <w:vMerge w:val="restart"/>
                  <w:vAlign w:val="center"/>
                </w:tcPr>
                <w:p w14:paraId="5080A53F">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排放口编号</w:t>
                  </w:r>
                </w:p>
              </w:tc>
              <w:tc>
                <w:tcPr>
                  <w:tcW w:w="1317" w:type="pct"/>
                  <w:gridSpan w:val="2"/>
                  <w:vAlign w:val="center"/>
                </w:tcPr>
                <w:p w14:paraId="41EEEBBC">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排放口地理坐标</w:t>
                  </w:r>
                </w:p>
                <w:p w14:paraId="33771E41">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（UTM坐标）</w:t>
                  </w:r>
                </w:p>
              </w:tc>
              <w:tc>
                <w:tcPr>
                  <w:tcW w:w="420" w:type="pct"/>
                  <w:vMerge w:val="restart"/>
                  <w:vAlign w:val="center"/>
                </w:tcPr>
                <w:p w14:paraId="5796AA9B">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废水排放量（</w:t>
                  </w:r>
                  <w:r>
                    <w:rPr>
                      <w:rFonts w:hint="eastAsia" w:cs="Times New Roman"/>
                      <w:color w:val="auto"/>
                      <w:sz w:val="18"/>
                      <w:szCs w:val="18"/>
                      <w:highlight w:val="none"/>
                      <w:lang w:val="en-US" w:eastAsia="zh-CN"/>
                    </w:rPr>
                    <w:t>t</w:t>
                  </w:r>
                  <w:r>
                    <w:rPr>
                      <w:rFonts w:hint="default" w:ascii="Times New Roman" w:hAnsi="Times New Roman" w:eastAsia="宋体" w:cs="Times New Roman"/>
                      <w:color w:val="auto"/>
                      <w:sz w:val="18"/>
                      <w:szCs w:val="18"/>
                      <w:highlight w:val="none"/>
                    </w:rPr>
                    <w:t>/a）</w:t>
                  </w:r>
                </w:p>
              </w:tc>
              <w:tc>
                <w:tcPr>
                  <w:tcW w:w="316" w:type="pct"/>
                  <w:vMerge w:val="restart"/>
                  <w:vAlign w:val="center"/>
                </w:tcPr>
                <w:p w14:paraId="6DAEA759">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w:t>
                  </w:r>
                </w:p>
                <w:p w14:paraId="35DD93F4">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去向</w:t>
                  </w:r>
                </w:p>
              </w:tc>
              <w:tc>
                <w:tcPr>
                  <w:tcW w:w="578" w:type="pct"/>
                  <w:vMerge w:val="restart"/>
                  <w:vAlign w:val="center"/>
                </w:tcPr>
                <w:p w14:paraId="2697478E">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排放规律</w:t>
                  </w:r>
                </w:p>
              </w:tc>
              <w:tc>
                <w:tcPr>
                  <w:tcW w:w="301" w:type="pct"/>
                  <w:vMerge w:val="restart"/>
                  <w:vAlign w:val="center"/>
                </w:tcPr>
                <w:p w14:paraId="72C51943">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间歇排放时段</w:t>
                  </w:r>
                </w:p>
              </w:tc>
              <w:tc>
                <w:tcPr>
                  <w:tcW w:w="1605" w:type="pct"/>
                  <w:gridSpan w:val="3"/>
                  <w:vAlign w:val="center"/>
                </w:tcPr>
                <w:p w14:paraId="4D3DC771">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受纳污水处理厂信息</w:t>
                  </w:r>
                </w:p>
              </w:tc>
            </w:tr>
            <w:tr w14:paraId="66535B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4" w:hRule="atLeast"/>
              </w:trPr>
              <w:tc>
                <w:tcPr>
                  <w:tcW w:w="158" w:type="pct"/>
                  <w:vMerge w:val="continue"/>
                  <w:vAlign w:val="center"/>
                </w:tcPr>
                <w:p w14:paraId="579440EB">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02" w:type="pct"/>
                  <w:vMerge w:val="continue"/>
                  <w:vAlign w:val="center"/>
                </w:tcPr>
                <w:p w14:paraId="3B05CEAB">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700" w:type="pct"/>
                  <w:vAlign w:val="center"/>
                </w:tcPr>
                <w:p w14:paraId="070FA947">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经度</w:t>
                  </w:r>
                </w:p>
              </w:tc>
              <w:tc>
                <w:tcPr>
                  <w:tcW w:w="616" w:type="pct"/>
                  <w:vAlign w:val="center"/>
                </w:tcPr>
                <w:p w14:paraId="31600BC9">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纬度</w:t>
                  </w:r>
                </w:p>
              </w:tc>
              <w:tc>
                <w:tcPr>
                  <w:tcW w:w="420" w:type="pct"/>
                  <w:vMerge w:val="continue"/>
                  <w:vAlign w:val="center"/>
                </w:tcPr>
                <w:p w14:paraId="76D91455">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16" w:type="pct"/>
                  <w:vMerge w:val="continue"/>
                  <w:vAlign w:val="center"/>
                </w:tcPr>
                <w:p w14:paraId="2E48A7A8">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578" w:type="pct"/>
                  <w:vMerge w:val="continue"/>
                  <w:vAlign w:val="center"/>
                </w:tcPr>
                <w:p w14:paraId="52AA187D">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01" w:type="pct"/>
                  <w:vMerge w:val="continue"/>
                  <w:vAlign w:val="center"/>
                </w:tcPr>
                <w:p w14:paraId="7E657ADC">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63" w:type="pct"/>
                  <w:vAlign w:val="center"/>
                </w:tcPr>
                <w:p w14:paraId="7011E86A">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名称</w:t>
                  </w:r>
                </w:p>
              </w:tc>
              <w:tc>
                <w:tcPr>
                  <w:tcW w:w="468" w:type="pct"/>
                  <w:vAlign w:val="center"/>
                </w:tcPr>
                <w:p w14:paraId="012EFE8A">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污染物种类</w:t>
                  </w:r>
                </w:p>
              </w:tc>
              <w:tc>
                <w:tcPr>
                  <w:tcW w:w="773" w:type="pct"/>
                  <w:vAlign w:val="center"/>
                </w:tcPr>
                <w:p w14:paraId="078A8F4F">
                  <w:pPr>
                    <w:keepNext w:val="0"/>
                    <w:keepLines w:val="0"/>
                    <w:pageBreakBefore w:val="0"/>
                    <w:suppressLineNumbers w:val="0"/>
                    <w:wordWrap/>
                    <w:bidi w:val="0"/>
                    <w:spacing w:before="0" w:beforeAutospacing="0" w:after="0" w:afterAutospacing="0" w:line="360" w:lineRule="auto"/>
                    <w:ind w:left="0" w:leftChars="0" w:right="0"/>
                    <w:jc w:val="center"/>
                    <w:rPr>
                      <w:rFonts w:hint="eastAsia"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rPr>
                    <w:t>污染物排放标准浓度限值/</w:t>
                  </w:r>
                  <w:r>
                    <w:rPr>
                      <w:rFonts w:hint="eastAsia"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mg/L</w:t>
                  </w:r>
                  <w:r>
                    <w:rPr>
                      <w:rFonts w:hint="eastAsia" w:cs="Times New Roman"/>
                      <w:color w:val="auto"/>
                      <w:sz w:val="18"/>
                      <w:szCs w:val="18"/>
                      <w:highlight w:val="none"/>
                      <w:lang w:eastAsia="zh-CN"/>
                    </w:rPr>
                    <w:t>）</w:t>
                  </w:r>
                </w:p>
              </w:tc>
            </w:tr>
            <w:tr w14:paraId="523D4F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00" w:hRule="atLeast"/>
              </w:trPr>
              <w:tc>
                <w:tcPr>
                  <w:tcW w:w="158" w:type="pct"/>
                  <w:vMerge w:val="restart"/>
                  <w:vAlign w:val="center"/>
                </w:tcPr>
                <w:p w14:paraId="2EF34141">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w:t>
                  </w:r>
                </w:p>
              </w:tc>
              <w:tc>
                <w:tcPr>
                  <w:tcW w:w="302" w:type="pct"/>
                  <w:vMerge w:val="restart"/>
                  <w:vAlign w:val="center"/>
                </w:tcPr>
                <w:p w14:paraId="4962DAE6">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DW001</w:t>
                  </w:r>
                </w:p>
              </w:tc>
              <w:tc>
                <w:tcPr>
                  <w:tcW w:w="700" w:type="pct"/>
                  <w:vMerge w:val="restart"/>
                  <w:vAlign w:val="center"/>
                </w:tcPr>
                <w:p w14:paraId="3FE624DF">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130.90847269</w:t>
                  </w:r>
                </w:p>
              </w:tc>
              <w:tc>
                <w:tcPr>
                  <w:tcW w:w="616" w:type="pct"/>
                  <w:vMerge w:val="restart"/>
                  <w:vAlign w:val="center"/>
                </w:tcPr>
                <w:p w14:paraId="23FF9EE2">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45.31915844</w:t>
                  </w:r>
                </w:p>
              </w:tc>
              <w:tc>
                <w:tcPr>
                  <w:tcW w:w="420" w:type="pct"/>
                  <w:vMerge w:val="restart"/>
                  <w:vAlign w:val="center"/>
                </w:tcPr>
                <w:p w14:paraId="74D90556">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lang w:val="en-US"/>
                    </w:rPr>
                  </w:pPr>
                  <w:r>
                    <w:rPr>
                      <w:rFonts w:hint="eastAsia" w:cs="Times New Roman"/>
                      <w:color w:val="auto"/>
                      <w:sz w:val="18"/>
                      <w:szCs w:val="18"/>
                      <w:highlight w:val="none"/>
                      <w:lang w:val="en-US" w:eastAsia="zh-CN"/>
                    </w:rPr>
                    <w:t>1965.802</w:t>
                  </w:r>
                </w:p>
              </w:tc>
              <w:tc>
                <w:tcPr>
                  <w:tcW w:w="316" w:type="pct"/>
                  <w:vMerge w:val="restart"/>
                  <w:vAlign w:val="center"/>
                </w:tcPr>
                <w:p w14:paraId="612FC9FF">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eastAsia="zh-CN"/>
                    </w:rPr>
                    <w:t>鸡西市鸡冠区</w:t>
                  </w:r>
                  <w:r>
                    <w:rPr>
                      <w:rFonts w:hint="eastAsia" w:ascii="Times New Roman" w:hAnsi="Times New Roman" w:eastAsia="宋体" w:cs="Times New Roman"/>
                      <w:color w:val="auto"/>
                      <w:sz w:val="18"/>
                      <w:szCs w:val="18"/>
                      <w:highlight w:val="none"/>
                    </w:rPr>
                    <w:t>污水处理厂</w:t>
                  </w:r>
                </w:p>
              </w:tc>
              <w:tc>
                <w:tcPr>
                  <w:tcW w:w="578" w:type="pct"/>
                  <w:vMerge w:val="restart"/>
                  <w:vAlign w:val="center"/>
                </w:tcPr>
                <w:p w14:paraId="0CA9D384">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间断排放，排放期间流量不稳定，但有规律，且不属于非周期性规律</w:t>
                  </w:r>
                </w:p>
              </w:tc>
              <w:tc>
                <w:tcPr>
                  <w:tcW w:w="301" w:type="pct"/>
                  <w:vMerge w:val="restart"/>
                  <w:vAlign w:val="center"/>
                </w:tcPr>
                <w:p w14:paraId="6237F809">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8：00~17：00</w:t>
                  </w:r>
                </w:p>
              </w:tc>
              <w:tc>
                <w:tcPr>
                  <w:tcW w:w="363" w:type="pct"/>
                  <w:vMerge w:val="restart"/>
                  <w:vAlign w:val="center"/>
                </w:tcPr>
                <w:p w14:paraId="6F983AD9">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eastAsia="zh-CN"/>
                    </w:rPr>
                    <w:t>鸡西市鸡冠区</w:t>
                  </w:r>
                  <w:r>
                    <w:rPr>
                      <w:rFonts w:hint="eastAsia" w:ascii="Times New Roman" w:hAnsi="Times New Roman" w:eastAsia="宋体" w:cs="Times New Roman"/>
                      <w:color w:val="auto"/>
                      <w:sz w:val="18"/>
                      <w:szCs w:val="18"/>
                      <w:highlight w:val="none"/>
                    </w:rPr>
                    <w:t>污水处理厂</w:t>
                  </w:r>
                </w:p>
              </w:tc>
              <w:tc>
                <w:tcPr>
                  <w:tcW w:w="468" w:type="pct"/>
                  <w:vAlign w:val="center"/>
                </w:tcPr>
                <w:p w14:paraId="65C8DE1E">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rPr>
                    <w:t>pH</w:t>
                  </w:r>
                </w:p>
              </w:tc>
              <w:tc>
                <w:tcPr>
                  <w:tcW w:w="773" w:type="pct"/>
                  <w:vAlign w:val="center"/>
                </w:tcPr>
                <w:p w14:paraId="5ED15E7F">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rPr>
                    <w:t>6～9</w:t>
                  </w:r>
                </w:p>
              </w:tc>
            </w:tr>
            <w:tr w14:paraId="456987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00" w:hRule="atLeast"/>
              </w:trPr>
              <w:tc>
                <w:tcPr>
                  <w:tcW w:w="158" w:type="pct"/>
                  <w:vMerge w:val="continue"/>
                  <w:vAlign w:val="center"/>
                </w:tcPr>
                <w:p w14:paraId="07C7AEFC">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02" w:type="pct"/>
                  <w:vMerge w:val="continue"/>
                  <w:vAlign w:val="center"/>
                </w:tcPr>
                <w:p w14:paraId="6C4EF4A0">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700" w:type="pct"/>
                  <w:vMerge w:val="continue"/>
                  <w:vAlign w:val="center"/>
                </w:tcPr>
                <w:p w14:paraId="597593F1">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616" w:type="pct"/>
                  <w:vMerge w:val="continue"/>
                  <w:vAlign w:val="center"/>
                </w:tcPr>
                <w:p w14:paraId="593B77E9">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420" w:type="pct"/>
                  <w:vMerge w:val="continue"/>
                  <w:vAlign w:val="center"/>
                </w:tcPr>
                <w:p w14:paraId="5CCB2337">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16" w:type="pct"/>
                  <w:vMerge w:val="continue"/>
                  <w:vAlign w:val="center"/>
                </w:tcPr>
                <w:p w14:paraId="58D52008">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578" w:type="pct"/>
                  <w:vMerge w:val="continue"/>
                  <w:vAlign w:val="center"/>
                </w:tcPr>
                <w:p w14:paraId="52B44D54">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01" w:type="pct"/>
                  <w:vMerge w:val="continue"/>
                  <w:vAlign w:val="center"/>
                </w:tcPr>
                <w:p w14:paraId="4C4D9E9E">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63" w:type="pct"/>
                  <w:vMerge w:val="continue"/>
                  <w:vAlign w:val="center"/>
                </w:tcPr>
                <w:p w14:paraId="4DDEE46B">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468" w:type="pct"/>
                  <w:vAlign w:val="center"/>
                </w:tcPr>
                <w:p w14:paraId="097C6E48">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COD</w:t>
                  </w:r>
                </w:p>
              </w:tc>
              <w:tc>
                <w:tcPr>
                  <w:tcW w:w="773" w:type="pct"/>
                  <w:vAlign w:val="center"/>
                </w:tcPr>
                <w:p w14:paraId="6940CB22">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50</w:t>
                  </w:r>
                </w:p>
              </w:tc>
            </w:tr>
            <w:tr w14:paraId="6FF3E9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00" w:hRule="atLeast"/>
              </w:trPr>
              <w:tc>
                <w:tcPr>
                  <w:tcW w:w="158" w:type="pct"/>
                  <w:vMerge w:val="continue"/>
                  <w:vAlign w:val="center"/>
                </w:tcPr>
                <w:p w14:paraId="73A97E72">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02" w:type="pct"/>
                  <w:vMerge w:val="continue"/>
                  <w:vAlign w:val="center"/>
                </w:tcPr>
                <w:p w14:paraId="1F4EA557">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700" w:type="pct"/>
                  <w:vMerge w:val="continue"/>
                  <w:vAlign w:val="center"/>
                </w:tcPr>
                <w:p w14:paraId="3E60E3D7">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616" w:type="pct"/>
                  <w:vMerge w:val="continue"/>
                  <w:vAlign w:val="center"/>
                </w:tcPr>
                <w:p w14:paraId="7571CDD6">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420" w:type="pct"/>
                  <w:vMerge w:val="continue"/>
                  <w:vAlign w:val="center"/>
                </w:tcPr>
                <w:p w14:paraId="556F61EF">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16" w:type="pct"/>
                  <w:vMerge w:val="continue"/>
                  <w:vAlign w:val="center"/>
                </w:tcPr>
                <w:p w14:paraId="71FAC6DB">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578" w:type="pct"/>
                  <w:vMerge w:val="continue"/>
                  <w:vAlign w:val="center"/>
                </w:tcPr>
                <w:p w14:paraId="48ABDFD4">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01" w:type="pct"/>
                  <w:vMerge w:val="continue"/>
                  <w:vAlign w:val="center"/>
                </w:tcPr>
                <w:p w14:paraId="0F410893">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63" w:type="pct"/>
                  <w:vMerge w:val="continue"/>
                  <w:vAlign w:val="center"/>
                </w:tcPr>
                <w:p w14:paraId="431CC9A5">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468" w:type="pct"/>
                  <w:vAlign w:val="center"/>
                </w:tcPr>
                <w:p w14:paraId="53753F2A">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BOD</w:t>
                  </w:r>
                  <w:r>
                    <w:rPr>
                      <w:rFonts w:hint="eastAsia" w:cs="Times New Roman"/>
                      <w:color w:val="auto"/>
                      <w:sz w:val="18"/>
                      <w:szCs w:val="18"/>
                      <w:highlight w:val="none"/>
                      <w:vertAlign w:val="subscript"/>
                      <w:lang w:val="en-US" w:eastAsia="zh-CN"/>
                    </w:rPr>
                    <w:t>5</w:t>
                  </w:r>
                </w:p>
              </w:tc>
              <w:tc>
                <w:tcPr>
                  <w:tcW w:w="773" w:type="pct"/>
                  <w:vAlign w:val="center"/>
                </w:tcPr>
                <w:p w14:paraId="6394DD11">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r>
            <w:tr w14:paraId="519EEB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00" w:hRule="atLeast"/>
              </w:trPr>
              <w:tc>
                <w:tcPr>
                  <w:tcW w:w="158" w:type="pct"/>
                  <w:vMerge w:val="continue"/>
                  <w:vAlign w:val="center"/>
                </w:tcPr>
                <w:p w14:paraId="570FB8D9">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02" w:type="pct"/>
                  <w:vMerge w:val="continue"/>
                  <w:vAlign w:val="center"/>
                </w:tcPr>
                <w:p w14:paraId="71396E8E">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700" w:type="pct"/>
                  <w:vMerge w:val="continue"/>
                  <w:vAlign w:val="center"/>
                </w:tcPr>
                <w:p w14:paraId="7C8C8C40">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616" w:type="pct"/>
                  <w:vMerge w:val="continue"/>
                  <w:vAlign w:val="center"/>
                </w:tcPr>
                <w:p w14:paraId="15E7F73B">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420" w:type="pct"/>
                  <w:vMerge w:val="continue"/>
                  <w:vAlign w:val="center"/>
                </w:tcPr>
                <w:p w14:paraId="6132C433">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16" w:type="pct"/>
                  <w:vMerge w:val="continue"/>
                  <w:vAlign w:val="center"/>
                </w:tcPr>
                <w:p w14:paraId="3E53CAE7">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578" w:type="pct"/>
                  <w:vMerge w:val="continue"/>
                  <w:vAlign w:val="center"/>
                </w:tcPr>
                <w:p w14:paraId="164327B8">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01" w:type="pct"/>
                  <w:vMerge w:val="continue"/>
                  <w:vAlign w:val="center"/>
                </w:tcPr>
                <w:p w14:paraId="4CF132E3">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63" w:type="pct"/>
                  <w:vMerge w:val="continue"/>
                  <w:vAlign w:val="center"/>
                </w:tcPr>
                <w:p w14:paraId="15C9A19B">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468" w:type="pct"/>
                  <w:vAlign w:val="center"/>
                </w:tcPr>
                <w:p w14:paraId="421D186F">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rPr>
                    <w:t>SS</w:t>
                  </w:r>
                </w:p>
              </w:tc>
              <w:tc>
                <w:tcPr>
                  <w:tcW w:w="773" w:type="pct"/>
                  <w:vAlign w:val="center"/>
                </w:tcPr>
                <w:p w14:paraId="12974D7B">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10</w:t>
                  </w:r>
                </w:p>
              </w:tc>
            </w:tr>
            <w:tr w14:paraId="22A29C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00" w:hRule="atLeast"/>
              </w:trPr>
              <w:tc>
                <w:tcPr>
                  <w:tcW w:w="158" w:type="pct"/>
                  <w:vMerge w:val="continue"/>
                  <w:vAlign w:val="center"/>
                </w:tcPr>
                <w:p w14:paraId="76748D52">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02" w:type="pct"/>
                  <w:vMerge w:val="continue"/>
                  <w:vAlign w:val="center"/>
                </w:tcPr>
                <w:p w14:paraId="7C8C8587">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700" w:type="pct"/>
                  <w:vMerge w:val="continue"/>
                  <w:vAlign w:val="center"/>
                </w:tcPr>
                <w:p w14:paraId="4D868E29">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616" w:type="pct"/>
                  <w:vMerge w:val="continue"/>
                  <w:vAlign w:val="center"/>
                </w:tcPr>
                <w:p w14:paraId="7977C4FA">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420" w:type="pct"/>
                  <w:vMerge w:val="continue"/>
                  <w:vAlign w:val="center"/>
                </w:tcPr>
                <w:p w14:paraId="5B4B7609">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16" w:type="pct"/>
                  <w:vMerge w:val="continue"/>
                  <w:vAlign w:val="center"/>
                </w:tcPr>
                <w:p w14:paraId="68F221A2">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578" w:type="pct"/>
                  <w:vMerge w:val="continue"/>
                  <w:vAlign w:val="center"/>
                </w:tcPr>
                <w:p w14:paraId="742CDDB4">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01" w:type="pct"/>
                  <w:vMerge w:val="continue"/>
                  <w:vAlign w:val="center"/>
                </w:tcPr>
                <w:p w14:paraId="1587F13E">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63" w:type="pct"/>
                  <w:vMerge w:val="continue"/>
                  <w:vAlign w:val="center"/>
                </w:tcPr>
                <w:p w14:paraId="12758778">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468" w:type="pct"/>
                  <w:vAlign w:val="center"/>
                </w:tcPr>
                <w:p w14:paraId="43A6AD2B">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rPr>
                    <w:t>氨氮</w:t>
                  </w:r>
                </w:p>
              </w:tc>
              <w:tc>
                <w:tcPr>
                  <w:tcW w:w="773" w:type="pct"/>
                  <w:vAlign w:val="center"/>
                </w:tcPr>
                <w:p w14:paraId="5C25485D">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5（8）-</w:t>
                  </w:r>
                </w:p>
              </w:tc>
            </w:tr>
            <w:tr w14:paraId="29DA43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00" w:hRule="atLeast"/>
              </w:trPr>
              <w:tc>
                <w:tcPr>
                  <w:tcW w:w="158" w:type="pct"/>
                  <w:vMerge w:val="continue"/>
                  <w:vAlign w:val="center"/>
                </w:tcPr>
                <w:p w14:paraId="0769B3E4">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02" w:type="pct"/>
                  <w:vMerge w:val="continue"/>
                  <w:vAlign w:val="center"/>
                </w:tcPr>
                <w:p w14:paraId="50FC977A">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700" w:type="pct"/>
                  <w:vMerge w:val="continue"/>
                  <w:vAlign w:val="center"/>
                </w:tcPr>
                <w:p w14:paraId="1C5342B4">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616" w:type="pct"/>
                  <w:vMerge w:val="continue"/>
                  <w:vAlign w:val="center"/>
                </w:tcPr>
                <w:p w14:paraId="7D0C9BD8">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420" w:type="pct"/>
                  <w:vMerge w:val="continue"/>
                  <w:vAlign w:val="center"/>
                </w:tcPr>
                <w:p w14:paraId="632DE014">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16" w:type="pct"/>
                  <w:vMerge w:val="continue"/>
                  <w:vAlign w:val="center"/>
                </w:tcPr>
                <w:p w14:paraId="25DA10EA">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578" w:type="pct"/>
                  <w:vMerge w:val="continue"/>
                  <w:vAlign w:val="center"/>
                </w:tcPr>
                <w:p w14:paraId="601E863E">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01" w:type="pct"/>
                  <w:vMerge w:val="continue"/>
                  <w:vAlign w:val="center"/>
                </w:tcPr>
                <w:p w14:paraId="5EAB7D6D">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363" w:type="pct"/>
                  <w:vMerge w:val="continue"/>
                  <w:vAlign w:val="center"/>
                </w:tcPr>
                <w:p w14:paraId="70239099">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18"/>
                      <w:szCs w:val="18"/>
                      <w:highlight w:val="none"/>
                    </w:rPr>
                  </w:pPr>
                </w:p>
              </w:tc>
              <w:tc>
                <w:tcPr>
                  <w:tcW w:w="468" w:type="pct"/>
                  <w:vAlign w:val="center"/>
                </w:tcPr>
                <w:p w14:paraId="1D87BA51">
                  <w:pPr>
                    <w:keepNext w:val="0"/>
                    <w:keepLines w:val="0"/>
                    <w:pageBreakBefore w:val="0"/>
                    <w:suppressLineNumbers w:val="0"/>
                    <w:wordWrap/>
                    <w:bidi w:val="0"/>
                    <w:spacing w:before="0" w:beforeAutospacing="0" w:after="0" w:afterAutospacing="0" w:line="360" w:lineRule="auto"/>
                    <w:ind w:left="0" w:leftChars="0" w:right="0" w:rightChars="0"/>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石油类</w:t>
                  </w:r>
                </w:p>
              </w:tc>
              <w:tc>
                <w:tcPr>
                  <w:tcW w:w="773" w:type="pct"/>
                  <w:vAlign w:val="center"/>
                </w:tcPr>
                <w:p w14:paraId="18697398">
                  <w:pPr>
                    <w:keepNext w:val="0"/>
                    <w:keepLines w:val="0"/>
                    <w:pageBreakBefore w:val="0"/>
                    <w:suppressLineNumbers w:val="0"/>
                    <w:wordWrap/>
                    <w:bidi w:val="0"/>
                    <w:spacing w:before="0" w:beforeAutospacing="0" w:after="0" w:afterAutospacing="0" w:line="360" w:lineRule="auto"/>
                    <w:ind w:left="0" w:leftChars="0" w:right="0" w:rightChars="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r>
          </w:tbl>
          <w:p w14:paraId="2ED87B68">
            <w:pPr>
              <w:pStyle w:val="6"/>
              <w:keepNext w:val="0"/>
              <w:keepLines w:val="0"/>
              <w:suppressLineNumbers w:val="0"/>
              <w:spacing w:before="0" w:beforeAutospacing="0" w:after="0" w:afterAutospacing="0" w:line="360" w:lineRule="auto"/>
              <w:ind w:left="0" w:right="0"/>
              <w:rPr>
                <w:rFonts w:hint="default" w:ascii="Times New Roman" w:hAnsi="Times New Roman" w:eastAsia="宋体" w:cs="Times New Roman"/>
                <w:smallCaps w:val="0"/>
                <w:color w:val="auto"/>
                <w:kern w:val="2"/>
                <w:sz w:val="24"/>
                <w:szCs w:val="24"/>
                <w:highlight w:val="none"/>
                <w:lang w:val="en-US" w:eastAsia="zh-CN" w:bidi="ar-SA"/>
              </w:rPr>
            </w:pPr>
            <w:r>
              <w:rPr>
                <w:rFonts w:hint="eastAsia" w:cs="Times New Roman"/>
                <w:smallCaps w:val="0"/>
                <w:color w:val="auto"/>
                <w:kern w:val="2"/>
                <w:sz w:val="24"/>
                <w:szCs w:val="24"/>
                <w:highlight w:val="none"/>
                <w:lang w:val="en-US" w:eastAsia="zh-CN" w:bidi="ar-SA"/>
              </w:rPr>
              <w:t>2</w:t>
            </w:r>
            <w:r>
              <w:rPr>
                <w:rFonts w:hint="eastAsia" w:ascii="Times New Roman" w:hAnsi="Times New Roman" w:eastAsia="宋体" w:cs="Times New Roman"/>
                <w:smallCaps w:val="0"/>
                <w:color w:val="auto"/>
                <w:kern w:val="2"/>
                <w:sz w:val="24"/>
                <w:szCs w:val="24"/>
                <w:highlight w:val="none"/>
                <w:lang w:val="en-US" w:eastAsia="zh-CN" w:bidi="ar-SA"/>
              </w:rPr>
              <w:t>、环境影响分析</w:t>
            </w:r>
          </w:p>
          <w:p w14:paraId="676DB834">
            <w:pPr>
              <w:keepNext w:val="0"/>
              <w:keepLines w:val="0"/>
              <w:pageBreakBefore w:val="0"/>
              <w:suppressLineNumbers w:val="0"/>
              <w:wordWrap/>
              <w:bidi w:val="0"/>
              <w:spacing w:before="0" w:beforeAutospacing="0" w:after="0" w:afterAutospacing="0" w:line="360" w:lineRule="auto"/>
              <w:ind w:left="0" w:leftChars="0" w:right="0" w:firstLine="600" w:firstLineChars="250"/>
              <w:rPr>
                <w:rFonts w:hint="eastAsia" w:ascii="Times New Roman" w:hAnsi="Times New Roman" w:eastAsia="宋体" w:cs="Times New Roman"/>
                <w:smallCaps w:val="0"/>
                <w:color w:val="auto"/>
                <w:kern w:val="2"/>
                <w:sz w:val="24"/>
                <w:szCs w:val="24"/>
                <w:highlight w:val="none"/>
                <w:lang w:val="en-US" w:eastAsia="zh-CN" w:bidi="ar-SA"/>
              </w:rPr>
            </w:pPr>
            <w:r>
              <w:rPr>
                <w:rFonts w:hint="eastAsia"/>
                <w:color w:val="auto"/>
                <w:kern w:val="0"/>
                <w:sz w:val="24"/>
                <w:szCs w:val="28"/>
                <w:lang w:eastAsia="zh-CN"/>
              </w:rPr>
              <w:t>本项目营运期间产生的</w:t>
            </w:r>
            <w:r>
              <w:rPr>
                <w:rFonts w:hint="eastAsia"/>
                <w:color w:val="auto"/>
                <w:kern w:val="0"/>
                <w:sz w:val="24"/>
                <w:szCs w:val="28"/>
                <w:lang w:val="en-US" w:eastAsia="zh-CN"/>
              </w:rPr>
              <w:t>废水总排</w:t>
            </w:r>
            <w:r>
              <w:rPr>
                <w:rFonts w:hint="eastAsia"/>
                <w:color w:val="auto"/>
                <w:kern w:val="0"/>
                <w:sz w:val="24"/>
                <w:lang w:val="en-US" w:eastAsia="zh-CN"/>
              </w:rPr>
              <w:t>放</w:t>
            </w:r>
            <w:r>
              <w:rPr>
                <w:rFonts w:hint="eastAsia"/>
                <w:color w:val="auto"/>
                <w:kern w:val="0"/>
                <w:sz w:val="24"/>
                <w:lang w:eastAsia="zh-CN"/>
              </w:rPr>
              <w:t>量</w:t>
            </w:r>
            <w:r>
              <w:rPr>
                <w:rFonts w:hint="eastAsia"/>
                <w:color w:val="auto"/>
                <w:kern w:val="0"/>
                <w:sz w:val="24"/>
                <w:lang w:val="en-US" w:eastAsia="zh-CN"/>
              </w:rPr>
              <w:t>为</w:t>
            </w:r>
            <w:r>
              <w:rPr>
                <w:rFonts w:hint="eastAsia"/>
                <w:color w:val="auto"/>
                <w:sz w:val="24"/>
                <w:lang w:val="en-US" w:eastAsia="zh-CN"/>
              </w:rPr>
              <w:t>1965.802</w:t>
            </w:r>
            <w:r>
              <w:rPr>
                <w:rFonts w:hint="eastAsia" w:cs="Times New Roman"/>
                <w:color w:val="auto"/>
                <w:sz w:val="24"/>
                <w:lang w:val="en-US" w:eastAsia="zh-CN"/>
              </w:rPr>
              <w:t>t/a</w:t>
            </w:r>
            <w:r>
              <w:rPr>
                <w:rFonts w:hint="eastAsia"/>
                <w:color w:val="auto"/>
                <w:kern w:val="0"/>
                <w:sz w:val="24"/>
                <w:lang w:eastAsia="zh-CN"/>
              </w:rPr>
              <w:t>，</w:t>
            </w:r>
            <w:r>
              <w:rPr>
                <w:rFonts w:hint="eastAsia"/>
                <w:color w:val="auto"/>
                <w:sz w:val="24"/>
                <w:lang w:val="en-US" w:eastAsia="zh-CN"/>
              </w:rPr>
              <w:t>本项目建成后初期雨水收集后经油水分离装置处理后，和锅炉排污水、软化水制备废水及生活污水一同排入市政管网。</w:t>
            </w:r>
            <w:r>
              <w:rPr>
                <w:rFonts w:hint="eastAsia"/>
                <w:color w:val="auto"/>
                <w:kern w:val="0"/>
                <w:sz w:val="24"/>
                <w:szCs w:val="28"/>
                <w:lang w:eastAsia="zh-CN"/>
              </w:rPr>
              <w:t>厂区污水排</w:t>
            </w:r>
            <w:r>
              <w:rPr>
                <w:rFonts w:hint="eastAsia"/>
                <w:color w:val="auto"/>
                <w:kern w:val="0"/>
                <w:sz w:val="24"/>
                <w:szCs w:val="28"/>
                <w:lang w:val="en-US" w:eastAsia="zh-CN"/>
              </w:rPr>
              <w:t>放满足</w:t>
            </w:r>
            <w:r>
              <w:rPr>
                <w:rFonts w:hint="eastAsia"/>
                <w:color w:val="auto"/>
                <w:spacing w:val="16"/>
                <w:sz w:val="24"/>
                <w:lang w:eastAsia="zh-CN"/>
              </w:rPr>
              <w:t>《污水综合排放标</w:t>
            </w:r>
            <w:r>
              <w:rPr>
                <w:rFonts w:hint="eastAsia"/>
                <w:color w:val="auto"/>
                <w:kern w:val="0"/>
                <w:sz w:val="24"/>
                <w:szCs w:val="28"/>
                <w:lang w:eastAsia="zh-CN"/>
              </w:rPr>
              <w:t>准》（GB8978-1996）中表</w:t>
            </w:r>
            <w:r>
              <w:rPr>
                <w:rFonts w:hint="eastAsia"/>
                <w:color w:val="auto"/>
                <w:kern w:val="0"/>
                <w:sz w:val="24"/>
                <w:szCs w:val="28"/>
                <w:lang w:val="en-US" w:eastAsia="zh-CN"/>
              </w:rPr>
              <w:t>4三级排放标准，</w:t>
            </w:r>
            <w:r>
              <w:rPr>
                <w:rFonts w:hint="eastAsia"/>
                <w:color w:val="auto"/>
                <w:sz w:val="24"/>
                <w:lang w:val="en-US" w:eastAsia="zh-CN"/>
              </w:rPr>
              <w:t>送入鸡西市鸡冠区污水处理厂，经处理后</w:t>
            </w:r>
            <w:r>
              <w:rPr>
                <w:rFonts w:hint="eastAsia"/>
                <w:color w:val="auto"/>
                <w:sz w:val="24"/>
              </w:rPr>
              <w:t>可以达到《城镇污水处理厂污染物排放标准》（GB 18918－2002）中一级A标准</w:t>
            </w:r>
            <w:r>
              <w:rPr>
                <w:rFonts w:hint="eastAsia"/>
                <w:color w:val="auto"/>
                <w:sz w:val="24"/>
                <w:lang w:eastAsia="zh-CN"/>
              </w:rPr>
              <w:t>。</w:t>
            </w:r>
            <w:r>
              <w:rPr>
                <w:rFonts w:hint="eastAsia"/>
                <w:color w:val="auto"/>
                <w:kern w:val="0"/>
                <w:sz w:val="24"/>
                <w:szCs w:val="28"/>
                <w:lang w:val="en-US" w:eastAsia="zh-CN"/>
              </w:rPr>
              <w:t>本项目废水</w:t>
            </w:r>
            <w:r>
              <w:rPr>
                <w:rFonts w:hint="default"/>
                <w:color w:val="auto"/>
                <w:kern w:val="0"/>
                <w:sz w:val="24"/>
                <w:szCs w:val="28"/>
                <w:lang w:val="en-US" w:eastAsia="zh-CN"/>
              </w:rPr>
              <w:t>不会对周边地表水环境产生较大影响，是能够</w:t>
            </w:r>
            <w:r>
              <w:rPr>
                <w:rFonts w:hint="default" w:ascii="Times New Roman" w:hAnsi="Times New Roman" w:eastAsia="宋体" w:cs="Times New Roman"/>
                <w:smallCaps w:val="0"/>
                <w:color w:val="auto"/>
                <w:kern w:val="2"/>
                <w:sz w:val="24"/>
                <w:szCs w:val="24"/>
                <w:highlight w:val="none"/>
                <w:lang w:val="en-US" w:eastAsia="zh-CN" w:bidi="ar-SA"/>
              </w:rPr>
              <w:t>长期稳定运行的，具有较高的环境依托可行性</w:t>
            </w:r>
            <w:r>
              <w:rPr>
                <w:rFonts w:hint="eastAsia" w:ascii="Times New Roman" w:hAnsi="Times New Roman" w:eastAsia="宋体" w:cs="Times New Roman"/>
                <w:smallCaps w:val="0"/>
                <w:color w:val="auto"/>
                <w:kern w:val="2"/>
                <w:sz w:val="24"/>
                <w:szCs w:val="24"/>
                <w:highlight w:val="none"/>
                <w:lang w:val="en-US" w:eastAsia="zh-CN" w:bidi="ar-SA"/>
              </w:rPr>
              <w:t>。</w:t>
            </w:r>
          </w:p>
          <w:p w14:paraId="17785BA6">
            <w:pPr>
              <w:pStyle w:val="26"/>
              <w:keepNext w:val="0"/>
              <w:keepLines w:val="0"/>
              <w:pageBreakBefore w:val="0"/>
              <w:suppressLineNumbers w:val="0"/>
              <w:wordWrap/>
              <w:bidi w:val="0"/>
              <w:spacing w:before="0" w:beforeAutospacing="0" w:after="0" w:afterAutospacing="0" w:line="360" w:lineRule="auto"/>
              <w:ind w:left="0" w:leftChars="0" w:right="0" w:firstLine="480"/>
              <w:rPr>
                <w:rFonts w:hint="eastAsia" w:ascii="Times New Roman" w:hAnsi="Times New Roman" w:eastAsia="宋体"/>
                <w:color w:val="auto"/>
                <w:szCs w:val="24"/>
                <w:highlight w:val="none"/>
                <w:lang w:val="en-US" w:eastAsia="zh-CN"/>
              </w:rPr>
            </w:pPr>
            <w:r>
              <w:rPr>
                <w:rFonts w:hint="eastAsia" w:ascii="Times New Roman" w:hAnsi="Times New Roman"/>
                <w:color w:val="auto"/>
                <w:szCs w:val="24"/>
                <w:highlight w:val="none"/>
                <w:lang w:val="en-US" w:eastAsia="zh-CN"/>
              </w:rPr>
              <w:t>3、</w:t>
            </w:r>
            <w:r>
              <w:rPr>
                <w:rFonts w:hint="eastAsia" w:ascii="Times New Roman" w:hAnsi="Times New Roman" w:eastAsia="宋体"/>
                <w:color w:val="auto"/>
                <w:szCs w:val="24"/>
                <w:highlight w:val="none"/>
                <w:lang w:val="en-US" w:eastAsia="zh-CN"/>
              </w:rPr>
              <w:t>监测计划</w:t>
            </w:r>
          </w:p>
          <w:p w14:paraId="3B60DD31">
            <w:pPr>
              <w:pStyle w:val="26"/>
              <w:keepNext w:val="0"/>
              <w:keepLines w:val="0"/>
              <w:pageBreakBefore w:val="0"/>
              <w:suppressLineNumbers w:val="0"/>
              <w:wordWrap/>
              <w:bidi w:val="0"/>
              <w:spacing w:before="0" w:beforeAutospacing="0" w:after="0" w:afterAutospacing="0" w:line="360" w:lineRule="auto"/>
              <w:ind w:left="0" w:leftChars="0" w:right="0" w:firstLine="480"/>
              <w:rPr>
                <w:rFonts w:hint="eastAsia" w:ascii="Times New Roman" w:hAnsi="Times New Roman" w:cs="Times New Roman"/>
                <w:bCs/>
                <w:color w:val="auto"/>
                <w:kern w:val="0"/>
                <w:sz w:val="24"/>
                <w:lang w:val="en-US" w:eastAsia="zh-CN"/>
              </w:rPr>
            </w:pPr>
            <w:r>
              <w:rPr>
                <w:rFonts w:hint="eastAsia" w:ascii="Times New Roman" w:hAnsi="Times New Roman" w:eastAsia="宋体"/>
                <w:color w:val="auto"/>
                <w:szCs w:val="24"/>
                <w:highlight w:val="none"/>
                <w:lang w:val="en-US" w:eastAsia="zh-CN"/>
              </w:rPr>
              <w:t>根据</w:t>
            </w:r>
            <w:r>
              <w:rPr>
                <w:rFonts w:hint="default" w:ascii="Times New Roman" w:hAnsi="Times New Roman" w:cs="Times New Roman"/>
                <w:bCs/>
                <w:color w:val="auto"/>
                <w:kern w:val="0"/>
                <w:sz w:val="24"/>
              </w:rPr>
              <w:t>《排污单位自行监测技术指南 总则》（HJ819-2017）</w:t>
            </w:r>
            <w:r>
              <w:rPr>
                <w:rFonts w:hint="eastAsia" w:ascii="Times New Roman" w:hAnsi="Times New Roman" w:cs="Times New Roman"/>
                <w:bCs/>
                <w:color w:val="auto"/>
                <w:kern w:val="0"/>
                <w:sz w:val="24"/>
                <w:lang w:eastAsia="zh-CN"/>
              </w:rPr>
              <w:t>、</w:t>
            </w:r>
            <w:r>
              <w:rPr>
                <w:rFonts w:hint="default" w:ascii="Times New Roman" w:hAnsi="Times New Roman" w:cs="Times New Roman"/>
                <w:bCs/>
                <w:color w:val="auto"/>
                <w:kern w:val="0"/>
                <w:sz w:val="24"/>
              </w:rPr>
              <w:t>《排污许可证申请与核发技术规范 废弃资源加工工业》（HJ1034-2019）</w:t>
            </w:r>
            <w:r>
              <w:rPr>
                <w:rFonts w:hint="eastAsia" w:ascii="Times New Roman" w:hAnsi="Times New Roman" w:cs="Times New Roman"/>
                <w:bCs/>
                <w:color w:val="auto"/>
                <w:kern w:val="0"/>
                <w:sz w:val="24"/>
                <w:lang w:val="en-US" w:eastAsia="zh-CN"/>
              </w:rPr>
              <w:t>结合项目特点，环境监测应包括对废水例行监测。监测的实施可以根据实际情况由厂方自测或委托有资质的环境监测单位监测。</w:t>
            </w:r>
          </w:p>
          <w:p w14:paraId="0A193C7E">
            <w:pPr>
              <w:widowControl/>
              <w:adjustRightInd w:val="0"/>
              <w:snapToGrid w:val="0"/>
              <w:spacing w:before="120" w:beforeLines="50" w:line="240" w:lineRule="exact"/>
              <w:jc w:val="center"/>
              <w:rPr>
                <w:rFonts w:hint="default" w:ascii="Times New Roman" w:hAnsi="Times New Roman" w:eastAsia="宋体" w:cs="Times New Roman"/>
                <w:b/>
                <w:bCs/>
                <w:iCs/>
                <w:color w:val="auto"/>
                <w:kern w:val="0"/>
                <w:sz w:val="21"/>
                <w:szCs w:val="21"/>
                <w:highlight w:val="none"/>
                <w:lang w:val="en-US" w:eastAsia="zh-CN" w:bidi="ar-SA"/>
              </w:rPr>
            </w:pPr>
            <w:r>
              <w:rPr>
                <w:rFonts w:hint="default" w:ascii="Times New Roman" w:hAnsi="Times New Roman" w:eastAsia="宋体" w:cs="Times New Roman"/>
                <w:b/>
                <w:bCs/>
                <w:iCs/>
                <w:color w:val="auto"/>
                <w:kern w:val="0"/>
                <w:sz w:val="21"/>
                <w:szCs w:val="21"/>
                <w:highlight w:val="none"/>
                <w:lang w:val="en-US" w:eastAsia="zh-CN" w:bidi="ar-SA"/>
              </w:rPr>
              <w:t>表</w:t>
            </w:r>
            <w:r>
              <w:rPr>
                <w:rFonts w:hint="eastAsia" w:ascii="Times New Roman" w:hAnsi="Times New Roman" w:eastAsia="宋体" w:cs="Times New Roman"/>
                <w:b/>
                <w:bCs/>
                <w:iCs/>
                <w:color w:val="auto"/>
                <w:kern w:val="0"/>
                <w:sz w:val="21"/>
                <w:szCs w:val="21"/>
                <w:highlight w:val="none"/>
                <w:lang w:val="en-US" w:eastAsia="zh-CN" w:bidi="ar-SA"/>
              </w:rPr>
              <w:t>4-</w:t>
            </w:r>
            <w:r>
              <w:rPr>
                <w:rFonts w:hint="default" w:ascii="Times New Roman" w:hAnsi="Times New Roman" w:eastAsia="宋体" w:cs="Times New Roman"/>
                <w:b/>
                <w:bCs/>
                <w:iCs/>
                <w:color w:val="auto"/>
                <w:kern w:val="0"/>
                <w:sz w:val="21"/>
                <w:szCs w:val="21"/>
                <w:highlight w:val="none"/>
                <w:lang w:val="en-US" w:eastAsia="zh-CN" w:bidi="ar-SA"/>
              </w:rPr>
              <w:t>1</w:t>
            </w:r>
            <w:r>
              <w:rPr>
                <w:rFonts w:hint="eastAsia" w:cs="Times New Roman"/>
                <w:b/>
                <w:bCs/>
                <w:iCs/>
                <w:color w:val="auto"/>
                <w:kern w:val="0"/>
                <w:sz w:val="21"/>
                <w:szCs w:val="21"/>
                <w:highlight w:val="none"/>
                <w:lang w:val="en-US" w:eastAsia="zh-CN" w:bidi="ar-SA"/>
              </w:rPr>
              <w:t>3</w:t>
            </w:r>
            <w:r>
              <w:rPr>
                <w:rFonts w:hint="eastAsia" w:ascii="Times New Roman" w:hAnsi="Times New Roman" w:eastAsia="宋体" w:cs="Times New Roman"/>
                <w:b/>
                <w:bCs/>
                <w:iCs/>
                <w:color w:val="auto"/>
                <w:kern w:val="0"/>
                <w:sz w:val="21"/>
                <w:szCs w:val="21"/>
                <w:highlight w:val="none"/>
                <w:lang w:val="en-US" w:eastAsia="zh-CN" w:bidi="ar-SA"/>
              </w:rPr>
              <w:t xml:space="preserve">  </w:t>
            </w:r>
            <w:r>
              <w:rPr>
                <w:rFonts w:hint="default" w:ascii="Times New Roman" w:hAnsi="Times New Roman" w:eastAsia="宋体" w:cs="Times New Roman"/>
                <w:b/>
                <w:bCs/>
                <w:iCs/>
                <w:color w:val="auto"/>
                <w:kern w:val="0"/>
                <w:sz w:val="21"/>
                <w:szCs w:val="21"/>
                <w:highlight w:val="none"/>
                <w:lang w:val="en-US" w:eastAsia="zh-CN" w:bidi="ar-SA"/>
              </w:rPr>
              <w:t>项目</w:t>
            </w:r>
            <w:r>
              <w:rPr>
                <w:rFonts w:hint="eastAsia" w:ascii="Times New Roman" w:hAnsi="Times New Roman" w:eastAsia="宋体" w:cs="Times New Roman"/>
                <w:b/>
                <w:bCs/>
                <w:iCs/>
                <w:color w:val="auto"/>
                <w:kern w:val="0"/>
                <w:sz w:val="21"/>
                <w:szCs w:val="21"/>
                <w:highlight w:val="none"/>
                <w:lang w:val="en-US" w:eastAsia="zh-CN" w:bidi="ar-SA"/>
              </w:rPr>
              <w:t>废水</w:t>
            </w:r>
            <w:r>
              <w:rPr>
                <w:rFonts w:hint="default" w:ascii="Times New Roman" w:hAnsi="Times New Roman" w:eastAsia="宋体" w:cs="Times New Roman"/>
                <w:b/>
                <w:bCs/>
                <w:iCs/>
                <w:color w:val="auto"/>
                <w:kern w:val="0"/>
                <w:sz w:val="21"/>
                <w:szCs w:val="21"/>
                <w:highlight w:val="none"/>
                <w:lang w:val="en-US" w:eastAsia="zh-CN" w:bidi="ar-SA"/>
              </w:rPr>
              <w:t>监测方案</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Layout w:type="fixed"/>
              <w:tblCellMar>
                <w:top w:w="0" w:type="dxa"/>
                <w:left w:w="108" w:type="dxa"/>
                <w:bottom w:w="0" w:type="dxa"/>
                <w:right w:w="108" w:type="dxa"/>
              </w:tblCellMar>
            </w:tblPr>
            <w:tblGrid>
              <w:gridCol w:w="2040"/>
              <w:gridCol w:w="2571"/>
              <w:gridCol w:w="1320"/>
              <w:gridCol w:w="2219"/>
            </w:tblGrid>
            <w:tr w14:paraId="5AF81B98">
              <w:tblPrEx>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CellMar>
                  <w:top w:w="0" w:type="dxa"/>
                  <w:left w:w="108" w:type="dxa"/>
                  <w:bottom w:w="0" w:type="dxa"/>
                  <w:right w:w="108" w:type="dxa"/>
                </w:tblCellMar>
              </w:tblPrEx>
              <w:trPr>
                <w:trHeight w:val="340" w:hRule="atLeast"/>
                <w:jc w:val="center"/>
              </w:trPr>
              <w:tc>
                <w:tcPr>
                  <w:tcW w:w="1251" w:type="pct"/>
                  <w:vAlign w:val="center"/>
                </w:tcPr>
                <w:p w14:paraId="14644B1B">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监测点位</w:t>
                  </w:r>
                </w:p>
              </w:tc>
              <w:tc>
                <w:tcPr>
                  <w:tcW w:w="1577" w:type="pct"/>
                  <w:vAlign w:val="center"/>
                </w:tcPr>
                <w:p w14:paraId="1B2AE6BD">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监测指标</w:t>
                  </w:r>
                </w:p>
              </w:tc>
              <w:tc>
                <w:tcPr>
                  <w:tcW w:w="809" w:type="pct"/>
                  <w:vAlign w:val="center"/>
                </w:tcPr>
                <w:p w14:paraId="24069347">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监测频次</w:t>
                  </w:r>
                </w:p>
              </w:tc>
              <w:tc>
                <w:tcPr>
                  <w:tcW w:w="1361" w:type="pct"/>
                  <w:vAlign w:val="center"/>
                </w:tcPr>
                <w:p w14:paraId="0C2B88AC">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执行排放标准</w:t>
                  </w:r>
                </w:p>
              </w:tc>
            </w:tr>
            <w:tr w14:paraId="5B5805BF">
              <w:tblPrEx>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CellMar>
                  <w:top w:w="0" w:type="dxa"/>
                  <w:left w:w="108" w:type="dxa"/>
                  <w:bottom w:w="0" w:type="dxa"/>
                  <w:right w:w="108" w:type="dxa"/>
                </w:tblCellMar>
              </w:tblPrEx>
              <w:trPr>
                <w:trHeight w:val="340" w:hRule="atLeast"/>
                <w:jc w:val="center"/>
              </w:trPr>
              <w:tc>
                <w:tcPr>
                  <w:tcW w:w="1251" w:type="pct"/>
                  <w:vAlign w:val="center"/>
                </w:tcPr>
                <w:p w14:paraId="473C6FFE">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color w:val="auto"/>
                      <w:sz w:val="21"/>
                      <w:szCs w:val="21"/>
                      <w:highlight w:val="none"/>
                      <w:lang w:val="en-US" w:eastAsia="zh-CN"/>
                    </w:rPr>
                  </w:pPr>
                  <w:r>
                    <w:rPr>
                      <w:rFonts w:hint="eastAsia"/>
                      <w:color w:val="auto"/>
                      <w:szCs w:val="21"/>
                      <w:lang w:val="en-US" w:eastAsia="zh-CN"/>
                    </w:rPr>
                    <w:t>厂区总排口</w:t>
                  </w:r>
                </w:p>
              </w:tc>
              <w:tc>
                <w:tcPr>
                  <w:tcW w:w="1577" w:type="pct"/>
                  <w:vAlign w:val="center"/>
                </w:tcPr>
                <w:p w14:paraId="1363F143">
                  <w:pPr>
                    <w:contextualSpacing/>
                    <w:jc w:val="center"/>
                    <w:rPr>
                      <w:rFonts w:hint="default" w:ascii="Times New Roman" w:hAnsi="Times New Roman" w:eastAsia="宋体" w:cs="Times New Roman"/>
                      <w:color w:val="auto"/>
                      <w:sz w:val="21"/>
                      <w:szCs w:val="21"/>
                      <w:highlight w:val="none"/>
                      <w:lang w:val="en-US" w:eastAsia="zh-CN"/>
                    </w:rPr>
                  </w:pPr>
                  <w:r>
                    <w:rPr>
                      <w:rFonts w:hint="eastAsia"/>
                      <w:color w:val="auto"/>
                      <w:szCs w:val="21"/>
                    </w:rPr>
                    <w:t>pH值、化学需氧量</w:t>
                  </w:r>
                  <w:r>
                    <w:rPr>
                      <w:rFonts w:hint="eastAsia"/>
                      <w:color w:val="auto"/>
                      <w:szCs w:val="21"/>
                      <w:lang w:eastAsia="zh-CN"/>
                    </w:rPr>
                    <w:t>、</w:t>
                  </w:r>
                  <w:r>
                    <w:rPr>
                      <w:rFonts w:hint="eastAsia"/>
                      <w:color w:val="auto"/>
                      <w:szCs w:val="21"/>
                    </w:rPr>
                    <w:t>石油类、氨氮、悬浮物、总磷、五日生化需氧量</w:t>
                  </w:r>
                </w:p>
              </w:tc>
              <w:tc>
                <w:tcPr>
                  <w:tcW w:w="809" w:type="pct"/>
                  <w:vAlign w:val="center"/>
                </w:tcPr>
                <w:p w14:paraId="34AC976E">
                  <w:pPr>
                    <w:contextualSpacing/>
                    <w:jc w:val="center"/>
                    <w:rPr>
                      <w:rFonts w:hint="default" w:ascii="Times New Roman" w:hAnsi="Times New Roman" w:eastAsia="宋体" w:cs="Times New Roman"/>
                      <w:i w:val="0"/>
                      <w:iCs w:val="0"/>
                      <w:caps w:val="0"/>
                      <w:color w:val="auto"/>
                      <w:spacing w:val="0"/>
                      <w:sz w:val="21"/>
                      <w:szCs w:val="21"/>
                      <w:lang w:val="en-US" w:eastAsia="zh-CN"/>
                    </w:rPr>
                  </w:pPr>
                  <w:r>
                    <w:rPr>
                      <w:rFonts w:hint="eastAsia" w:cs="Times New Roman"/>
                      <w:i w:val="0"/>
                      <w:iCs w:val="0"/>
                      <w:caps w:val="0"/>
                      <w:color w:val="auto"/>
                      <w:spacing w:val="0"/>
                      <w:sz w:val="21"/>
                      <w:szCs w:val="21"/>
                      <w:lang w:val="en-US" w:eastAsia="zh-CN"/>
                    </w:rPr>
                    <w:t>1次/年</w:t>
                  </w:r>
                </w:p>
              </w:tc>
              <w:tc>
                <w:tcPr>
                  <w:tcW w:w="1361" w:type="pct"/>
                  <w:vMerge w:val="restart"/>
                  <w:vAlign w:val="center"/>
                </w:tcPr>
                <w:p w14:paraId="2757D4DC">
                  <w:pPr>
                    <w:contextualSpacing/>
                    <w:jc w:val="center"/>
                    <w:rPr>
                      <w:color w:val="auto"/>
                      <w:szCs w:val="21"/>
                    </w:rPr>
                  </w:pPr>
                  <w:r>
                    <w:rPr>
                      <w:color w:val="auto"/>
                      <w:szCs w:val="21"/>
                    </w:rPr>
                    <w:t>《污水综合排放标准》（GB8978-1996）表4中三级标准</w:t>
                  </w:r>
                </w:p>
              </w:tc>
            </w:tr>
            <w:tr w14:paraId="00D71199">
              <w:tblPrEx>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CellMar>
                  <w:top w:w="0" w:type="dxa"/>
                  <w:left w:w="108" w:type="dxa"/>
                  <w:bottom w:w="0" w:type="dxa"/>
                  <w:right w:w="108" w:type="dxa"/>
                </w:tblCellMar>
              </w:tblPrEx>
              <w:trPr>
                <w:trHeight w:val="340" w:hRule="atLeast"/>
                <w:jc w:val="center"/>
              </w:trPr>
              <w:tc>
                <w:tcPr>
                  <w:tcW w:w="1251" w:type="pct"/>
                  <w:vAlign w:val="center"/>
                </w:tcPr>
                <w:p w14:paraId="6BE22D75">
                  <w:pPr>
                    <w:keepNext w:val="0"/>
                    <w:keepLines w:val="0"/>
                    <w:pageBreakBefore w:val="0"/>
                    <w:suppressLineNumbers w:val="0"/>
                    <w:wordWrap/>
                    <w:bidi w:val="0"/>
                    <w:spacing w:before="0" w:beforeAutospacing="0" w:after="0" w:afterAutospacing="0" w:line="360" w:lineRule="auto"/>
                    <w:ind w:left="0" w:leftChars="0" w:right="0"/>
                    <w:jc w:val="center"/>
                    <w:rPr>
                      <w:rFonts w:hint="default"/>
                      <w:color w:val="auto"/>
                      <w:szCs w:val="21"/>
                      <w:lang w:val="en-US" w:eastAsia="zh-CN"/>
                    </w:rPr>
                  </w:pPr>
                  <w:r>
                    <w:rPr>
                      <w:rFonts w:hint="eastAsia"/>
                      <w:color w:val="auto"/>
                      <w:szCs w:val="21"/>
                      <w:lang w:val="en-US" w:eastAsia="zh-CN"/>
                    </w:rPr>
                    <w:t>雨水排放口</w:t>
                  </w:r>
                </w:p>
              </w:tc>
              <w:tc>
                <w:tcPr>
                  <w:tcW w:w="1577" w:type="pct"/>
                  <w:vAlign w:val="center"/>
                </w:tcPr>
                <w:p w14:paraId="23912D6A">
                  <w:pPr>
                    <w:contextualSpacing/>
                    <w:jc w:val="center"/>
                    <w:rPr>
                      <w:rFonts w:hint="eastAsia"/>
                      <w:color w:val="auto"/>
                      <w:szCs w:val="21"/>
                    </w:rPr>
                  </w:pPr>
                  <w:r>
                    <w:rPr>
                      <w:rFonts w:hint="eastAsia"/>
                      <w:color w:val="auto"/>
                      <w:szCs w:val="21"/>
                    </w:rPr>
                    <w:t>悬浮物、化学需氧量、石油类</w:t>
                  </w:r>
                </w:p>
              </w:tc>
              <w:tc>
                <w:tcPr>
                  <w:tcW w:w="809" w:type="pct"/>
                  <w:vAlign w:val="center"/>
                </w:tcPr>
                <w:p w14:paraId="7B2354C6">
                  <w:pPr>
                    <w:contextualSpacing/>
                    <w:jc w:val="center"/>
                    <w:rPr>
                      <w:rFonts w:hint="eastAsia" w:cs="Times New Roman"/>
                      <w:i w:val="0"/>
                      <w:iCs w:val="0"/>
                      <w:caps w:val="0"/>
                      <w:color w:val="auto"/>
                      <w:spacing w:val="0"/>
                      <w:sz w:val="21"/>
                      <w:szCs w:val="21"/>
                      <w:lang w:val="en-US" w:eastAsia="zh-CN"/>
                    </w:rPr>
                  </w:pPr>
                  <w:r>
                    <w:rPr>
                      <w:rFonts w:hint="eastAsia" w:cs="Times New Roman"/>
                      <w:i w:val="0"/>
                      <w:iCs w:val="0"/>
                      <w:caps w:val="0"/>
                      <w:color w:val="auto"/>
                      <w:spacing w:val="0"/>
                      <w:sz w:val="21"/>
                      <w:szCs w:val="21"/>
                      <w:lang w:val="en-US" w:eastAsia="zh-CN"/>
                    </w:rPr>
                    <w:t>1次/年</w:t>
                  </w:r>
                </w:p>
              </w:tc>
              <w:tc>
                <w:tcPr>
                  <w:tcW w:w="1361" w:type="pct"/>
                  <w:vMerge w:val="continue"/>
                  <w:vAlign w:val="center"/>
                </w:tcPr>
                <w:p w14:paraId="56BED216">
                  <w:pPr>
                    <w:contextualSpacing/>
                    <w:jc w:val="center"/>
                    <w:rPr>
                      <w:color w:val="auto"/>
                      <w:szCs w:val="21"/>
                    </w:rPr>
                  </w:pPr>
                </w:p>
              </w:tc>
            </w:tr>
          </w:tbl>
          <w:p w14:paraId="0ADB2E0B">
            <w:pPr>
              <w:pStyle w:val="26"/>
              <w:keepNext w:val="0"/>
              <w:keepLines w:val="0"/>
              <w:pageBreakBefore w:val="0"/>
              <w:suppressLineNumbers w:val="0"/>
              <w:wordWrap/>
              <w:bidi w:val="0"/>
              <w:spacing w:before="0" w:beforeAutospacing="0" w:after="0" w:afterAutospacing="0" w:line="360" w:lineRule="auto"/>
              <w:ind w:left="0" w:leftChars="0" w:right="0" w:firstLine="480"/>
              <w:rPr>
                <w:color w:val="auto"/>
                <w:sz w:val="24"/>
              </w:rPr>
            </w:pPr>
            <w:r>
              <w:rPr>
                <w:rFonts w:hint="eastAsia" w:ascii="Times New Roman" w:hAnsi="Times New Roman"/>
                <w:color w:val="auto"/>
                <w:szCs w:val="24"/>
                <w:highlight w:val="none"/>
                <w:lang w:val="en-US" w:eastAsia="zh-CN"/>
              </w:rPr>
              <w:t>4、</w:t>
            </w:r>
            <w:r>
              <w:rPr>
                <w:rFonts w:hint="eastAsia" w:ascii="Times New Roman" w:hAnsi="Times New Roman" w:eastAsia="宋体"/>
                <w:color w:val="auto"/>
                <w:szCs w:val="24"/>
                <w:highlight w:val="none"/>
                <w:lang w:val="en-US" w:eastAsia="zh-CN"/>
              </w:rPr>
              <w:t>依托污水处理设施的环境可行性分析</w:t>
            </w:r>
          </w:p>
          <w:p w14:paraId="464EE5D5">
            <w:pPr>
              <w:keepNext w:val="0"/>
              <w:keepLines w:val="0"/>
              <w:pageBreakBefore w:val="0"/>
              <w:widowControl w:val="0"/>
              <w:kinsoku/>
              <w:wordWrap w:val="0"/>
              <w:overflowPunct/>
              <w:topLinePunct w:val="0"/>
              <w:autoSpaceDE/>
              <w:autoSpaceDN/>
              <w:bidi w:val="0"/>
              <w:adjustRightInd w:val="0"/>
              <w:snapToGrid w:val="0"/>
              <w:spacing w:line="360" w:lineRule="auto"/>
              <w:ind w:firstLine="480" w:firstLineChars="200"/>
              <w:textAlignment w:val="auto"/>
              <w:rPr>
                <w:color w:val="auto"/>
                <w:sz w:val="24"/>
              </w:rPr>
            </w:pPr>
            <w:r>
              <w:rPr>
                <w:rFonts w:hint="eastAsia"/>
                <w:color w:val="auto"/>
                <w:sz w:val="24"/>
              </w:rPr>
              <w:t>鸡西市鸡冠区污水处理厂于2010年建设，鸡西市鸡冠区污水处理厂用较为先进的污水处理工艺CAST，其设计规模为16万立方米/日，日处理规模达到16万立方米/日，项目投资近32714.4万元，鸡西市鸡冠区污水处理厂，建设地点：项目位于黑龙江省鸡西市鸡冠区水利职工综合楼-4-4-3，占地83120平方米。处理工艺：预处理-CASS（利用微生物去除污水的有机物和含氮含磷化合物）-深度处理（截留污水中的悬浮物）-紫外消毒。出水指标可以达到《城镇污水处理厂污染物排放标准》（GB18918－2002）中一级A标准，本项目排放废水主要为初期雨水</w:t>
            </w:r>
            <w:r>
              <w:rPr>
                <w:rFonts w:hint="eastAsia"/>
                <w:color w:val="auto"/>
                <w:sz w:val="24"/>
                <w:lang w:eastAsia="zh-CN"/>
              </w:rPr>
              <w:t>、</w:t>
            </w:r>
            <w:r>
              <w:rPr>
                <w:rFonts w:hint="eastAsia"/>
                <w:color w:val="auto"/>
                <w:sz w:val="24"/>
                <w:lang w:val="en-US" w:eastAsia="zh-CN"/>
              </w:rPr>
              <w:t>锅炉排污水、软化水制备废水</w:t>
            </w:r>
            <w:r>
              <w:rPr>
                <w:rFonts w:hint="eastAsia"/>
                <w:color w:val="auto"/>
                <w:sz w:val="24"/>
              </w:rPr>
              <w:t>和生活污水，项目废水排放量为</w:t>
            </w:r>
            <w:r>
              <w:rPr>
                <w:rFonts w:hint="eastAsia"/>
                <w:color w:val="auto"/>
                <w:sz w:val="24"/>
                <w:lang w:val="en-US" w:eastAsia="zh-CN"/>
              </w:rPr>
              <w:t>1965.802t</w:t>
            </w:r>
            <w:r>
              <w:rPr>
                <w:rFonts w:hint="eastAsia"/>
                <w:color w:val="auto"/>
                <w:sz w:val="24"/>
              </w:rPr>
              <w:t>/a</w:t>
            </w:r>
            <w:r>
              <w:rPr>
                <w:rFonts w:hint="eastAsia"/>
                <w:color w:val="auto"/>
                <w:sz w:val="24"/>
              </w:rPr>
              <w:t>，并</w:t>
            </w:r>
            <w:r>
              <w:rPr>
                <w:rFonts w:hint="eastAsia"/>
                <w:color w:val="auto"/>
                <w:sz w:val="24"/>
                <w:lang w:val="en-US" w:eastAsia="zh-CN"/>
              </w:rPr>
              <w:t>满足</w:t>
            </w:r>
            <w:r>
              <w:rPr>
                <w:rFonts w:hint="eastAsia"/>
                <w:color w:val="auto"/>
                <w:sz w:val="24"/>
              </w:rPr>
              <w:t>《污水综合排放标准》（GB8978-1996）表4中三级标准。因此，鸡西市鸡冠区污水处理厂能满足本项目要求。</w:t>
            </w:r>
            <w:r>
              <w:rPr>
                <w:color w:val="auto"/>
                <w:sz w:val="24"/>
              </w:rPr>
              <w:t>因此，</w:t>
            </w:r>
            <w:r>
              <w:rPr>
                <w:rFonts w:hint="eastAsia"/>
                <w:color w:val="auto"/>
                <w:sz w:val="24"/>
              </w:rPr>
              <w:t>鸡西市鸡冠区污水处理厂能满足本项目要求</w:t>
            </w:r>
            <w:r>
              <w:rPr>
                <w:color w:val="auto"/>
                <w:sz w:val="24"/>
              </w:rPr>
              <w:t>。本项目污水</w:t>
            </w:r>
            <w:r>
              <w:rPr>
                <w:rFonts w:hint="eastAsia"/>
                <w:color w:val="auto"/>
                <w:sz w:val="24"/>
              </w:rPr>
              <w:t>依托</w:t>
            </w:r>
            <w:r>
              <w:rPr>
                <w:rFonts w:hint="eastAsia"/>
                <w:color w:val="auto"/>
                <w:sz w:val="24"/>
                <w:shd w:val="clear" w:color="auto" w:fill="FFFFFF"/>
              </w:rPr>
              <w:t>鸡西市鸡冠区污水处理厂</w:t>
            </w:r>
            <w:r>
              <w:rPr>
                <w:rFonts w:hint="eastAsia"/>
                <w:color w:val="auto"/>
                <w:sz w:val="24"/>
              </w:rPr>
              <w:t>可行</w:t>
            </w:r>
            <w:r>
              <w:rPr>
                <w:color w:val="auto"/>
                <w:sz w:val="24"/>
              </w:rPr>
              <w:t>。</w:t>
            </w:r>
          </w:p>
          <w:p w14:paraId="4F545580">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360" w:lineRule="auto"/>
              <w:ind w:left="0" w:leftChars="0" w:right="0" w:firstLine="480" w:firstLineChars="200"/>
              <w:jc w:val="left"/>
              <w:textAlignment w:val="auto"/>
              <w:rPr>
                <w:rFonts w:hint="eastAsia" w:ascii="Times New Roman" w:hAnsi="Times New Roman" w:eastAsia="宋体" w:cs="Times New Roman"/>
                <w:color w:val="auto"/>
                <w:sz w:val="24"/>
                <w:highlight w:val="none"/>
                <w:lang w:val="en-US" w:eastAsia="zh-CN" w:bidi="ar"/>
              </w:rPr>
            </w:pPr>
            <w:r>
              <w:rPr>
                <w:color w:val="auto"/>
                <w:sz w:val="24"/>
              </w:rPr>
              <w:t>综上所述，</w:t>
            </w:r>
            <w:r>
              <w:rPr>
                <w:rFonts w:hint="eastAsia"/>
                <w:color w:val="auto"/>
                <w:sz w:val="24"/>
                <w:lang w:val="en-US" w:eastAsia="zh-CN"/>
              </w:rPr>
              <w:t>本项目建成后初期雨水收集后经油水分离装置处理后，和锅炉排污水、软化水制备废水及生活污水一同排入市政管网，</w:t>
            </w:r>
            <w:r>
              <w:rPr>
                <w:rFonts w:hint="eastAsia"/>
                <w:color w:val="auto"/>
                <w:kern w:val="0"/>
                <w:sz w:val="24"/>
                <w:szCs w:val="28"/>
                <w:lang w:eastAsia="zh-CN"/>
              </w:rPr>
              <w:t>厂区污水排</w:t>
            </w:r>
            <w:r>
              <w:rPr>
                <w:rFonts w:hint="eastAsia"/>
                <w:color w:val="auto"/>
                <w:kern w:val="0"/>
                <w:sz w:val="24"/>
                <w:szCs w:val="28"/>
                <w:lang w:val="en-US" w:eastAsia="zh-CN"/>
              </w:rPr>
              <w:t>放满足</w:t>
            </w:r>
            <w:r>
              <w:rPr>
                <w:rFonts w:hint="eastAsia"/>
                <w:color w:val="auto"/>
                <w:spacing w:val="16"/>
                <w:sz w:val="24"/>
                <w:lang w:eastAsia="zh-CN"/>
              </w:rPr>
              <w:t>《污水综合排放标</w:t>
            </w:r>
            <w:r>
              <w:rPr>
                <w:rFonts w:hint="eastAsia"/>
                <w:color w:val="auto"/>
                <w:kern w:val="0"/>
                <w:sz w:val="24"/>
                <w:szCs w:val="28"/>
                <w:lang w:eastAsia="zh-CN"/>
              </w:rPr>
              <w:t>准》（GB8978-1996）中表</w:t>
            </w:r>
            <w:r>
              <w:rPr>
                <w:rFonts w:hint="eastAsia"/>
                <w:color w:val="auto"/>
                <w:kern w:val="0"/>
                <w:sz w:val="24"/>
                <w:szCs w:val="28"/>
                <w:lang w:val="en-US" w:eastAsia="zh-CN"/>
              </w:rPr>
              <w:t>4三级排放标准，</w:t>
            </w:r>
            <w:r>
              <w:rPr>
                <w:color w:val="auto"/>
                <w:sz w:val="24"/>
              </w:rPr>
              <w:t>所依托</w:t>
            </w:r>
            <w:r>
              <w:rPr>
                <w:rFonts w:hint="eastAsia"/>
                <w:color w:val="auto"/>
                <w:sz w:val="24"/>
              </w:rPr>
              <w:t>鸡西市鸡冠区污水处理厂</w:t>
            </w:r>
            <w:r>
              <w:rPr>
                <w:color w:val="auto"/>
                <w:sz w:val="24"/>
              </w:rPr>
              <w:t>有足够的处理余量收纳</w:t>
            </w:r>
            <w:r>
              <w:rPr>
                <w:rFonts w:hint="eastAsia"/>
                <w:color w:val="auto"/>
                <w:sz w:val="24"/>
                <w:lang w:val="en-US" w:eastAsia="zh-CN"/>
              </w:rPr>
              <w:t>本</w:t>
            </w:r>
            <w:r>
              <w:rPr>
                <w:rFonts w:hint="eastAsia"/>
                <w:color w:val="auto"/>
                <w:sz w:val="24"/>
              </w:rPr>
              <w:t>项目</w:t>
            </w:r>
            <w:r>
              <w:rPr>
                <w:color w:val="auto"/>
                <w:sz w:val="24"/>
              </w:rPr>
              <w:t>废水，采用</w:t>
            </w:r>
            <w:r>
              <w:rPr>
                <w:rFonts w:hint="eastAsia"/>
                <w:color w:val="auto"/>
                <w:kern w:val="0"/>
                <w:sz w:val="24"/>
                <w:lang w:val="en-US" w:eastAsia="zh-CN"/>
              </w:rPr>
              <w:t>污水处理工艺为：</w:t>
            </w:r>
            <w:r>
              <w:rPr>
                <w:rFonts w:hint="eastAsia"/>
                <w:color w:val="auto"/>
                <w:sz w:val="24"/>
              </w:rPr>
              <w:t>预处理-CASS（利用微生物去除污水的有机物和含氮含磷化合物）-深度处理（截留污水中的悬浮物）-紫外消毒</w:t>
            </w:r>
            <w:r>
              <w:rPr>
                <w:rFonts w:hint="eastAsia"/>
                <w:color w:val="auto"/>
                <w:kern w:val="0"/>
                <w:sz w:val="24"/>
                <w:lang w:val="en-US" w:eastAsia="zh-CN"/>
              </w:rPr>
              <w:t>工艺</w:t>
            </w:r>
            <w:r>
              <w:rPr>
                <w:color w:val="auto"/>
                <w:sz w:val="24"/>
              </w:rPr>
              <w:t>能够处理建设项目废水，</w:t>
            </w:r>
            <w:r>
              <w:rPr>
                <w:rFonts w:hint="eastAsia"/>
                <w:color w:val="auto"/>
                <w:sz w:val="24"/>
                <w:lang w:val="en-US" w:eastAsia="zh-CN"/>
              </w:rPr>
              <w:t>处理后</w:t>
            </w:r>
            <w:r>
              <w:rPr>
                <w:color w:val="auto"/>
                <w:spacing w:val="16"/>
                <w:sz w:val="24"/>
              </w:rPr>
              <w:t>出水满足</w:t>
            </w:r>
            <w:r>
              <w:rPr>
                <w:rFonts w:hint="eastAsia"/>
                <w:color w:val="auto"/>
                <w:sz w:val="24"/>
              </w:rPr>
              <w:t>《城镇污水处理厂污染物排放标准》</w:t>
            </w:r>
            <w:r>
              <w:rPr>
                <w:rFonts w:hint="eastAsia"/>
                <w:color w:val="auto"/>
                <w:sz w:val="24"/>
                <w:lang w:eastAsia="zh-CN"/>
              </w:rPr>
              <w:t>（</w:t>
            </w:r>
            <w:r>
              <w:rPr>
                <w:rFonts w:hint="eastAsia"/>
                <w:color w:val="auto"/>
                <w:sz w:val="24"/>
              </w:rPr>
              <w:t>GB18918-2002</w:t>
            </w:r>
            <w:r>
              <w:rPr>
                <w:rFonts w:hint="eastAsia"/>
                <w:color w:val="auto"/>
                <w:sz w:val="24"/>
                <w:lang w:eastAsia="zh-CN"/>
              </w:rPr>
              <w:t>）</w:t>
            </w:r>
            <w:r>
              <w:rPr>
                <w:rFonts w:hint="eastAsia"/>
                <w:color w:val="auto"/>
                <w:sz w:val="24"/>
              </w:rPr>
              <w:t>一级A标准</w:t>
            </w:r>
            <w:r>
              <w:rPr>
                <w:color w:val="auto"/>
                <w:sz w:val="24"/>
              </w:rPr>
              <w:t>，具有环境可行性。</w:t>
            </w:r>
          </w:p>
          <w:p w14:paraId="7521B41E">
            <w:pPr>
              <w:pStyle w:val="26"/>
              <w:keepNext w:val="0"/>
              <w:keepLines w:val="0"/>
              <w:pageBreakBefore w:val="0"/>
              <w:suppressLineNumbers w:val="0"/>
              <w:wordWrap/>
              <w:bidi w:val="0"/>
              <w:spacing w:before="0" w:beforeAutospacing="0" w:after="0" w:afterAutospacing="0" w:line="360" w:lineRule="auto"/>
              <w:ind w:left="0" w:leftChars="0" w:right="0" w:firstLine="482" w:firstLineChars="200"/>
              <w:rPr>
                <w:rFonts w:hint="default" w:ascii="Times New Roman" w:hAnsi="Times New Roman" w:eastAsia="宋体"/>
                <w:b/>
                <w:bCs/>
                <w:color w:val="auto"/>
                <w:szCs w:val="24"/>
                <w:highlight w:val="none"/>
              </w:rPr>
            </w:pPr>
            <w:r>
              <w:rPr>
                <w:rFonts w:hint="eastAsia" w:ascii="Times New Roman" w:hAnsi="Times New Roman" w:eastAsia="宋体"/>
                <w:b/>
                <w:bCs/>
                <w:color w:val="auto"/>
                <w:szCs w:val="24"/>
                <w:highlight w:val="none"/>
                <w:lang w:eastAsia="zh-CN"/>
              </w:rPr>
              <w:t>三</w:t>
            </w:r>
            <w:r>
              <w:rPr>
                <w:rFonts w:hint="eastAsia" w:ascii="Times New Roman" w:hAnsi="Times New Roman" w:eastAsia="宋体"/>
                <w:b/>
                <w:bCs/>
                <w:color w:val="auto"/>
                <w:szCs w:val="24"/>
                <w:highlight w:val="none"/>
              </w:rPr>
              <w:t>、</w:t>
            </w:r>
            <w:r>
              <w:rPr>
                <w:rFonts w:hint="default" w:ascii="Times New Roman" w:hAnsi="Times New Roman" w:eastAsia="宋体"/>
                <w:b/>
                <w:bCs/>
                <w:color w:val="auto"/>
                <w:szCs w:val="24"/>
                <w:highlight w:val="none"/>
              </w:rPr>
              <w:t>噪声</w:t>
            </w:r>
          </w:p>
          <w:p w14:paraId="12F75603">
            <w:pPr>
              <w:pStyle w:val="2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olor w:val="auto"/>
                <w:szCs w:val="24"/>
                <w:highlight w:val="none"/>
              </w:rPr>
            </w:pPr>
            <w:r>
              <w:rPr>
                <w:rFonts w:hint="eastAsia" w:ascii="Times New Roman" w:hAnsi="Times New Roman" w:eastAsia="宋体"/>
                <w:color w:val="auto"/>
                <w:szCs w:val="24"/>
                <w:highlight w:val="none"/>
                <w:lang w:val="en-US" w:eastAsia="zh-CN"/>
              </w:rPr>
              <w:t>1、</w:t>
            </w:r>
            <w:r>
              <w:rPr>
                <w:rFonts w:hint="eastAsia" w:ascii="Times New Roman" w:hAnsi="Times New Roman" w:eastAsia="宋体"/>
                <w:color w:val="auto"/>
                <w:szCs w:val="24"/>
                <w:highlight w:val="none"/>
              </w:rPr>
              <w:t>源强核算及达标排放情况</w:t>
            </w:r>
          </w:p>
          <w:p w14:paraId="76170759">
            <w:pPr>
              <w:pStyle w:val="2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color w:val="auto"/>
                <w:highlight w:val="none"/>
              </w:rPr>
              <w:t>本项目投产后</w:t>
            </w:r>
            <w:r>
              <w:rPr>
                <w:rFonts w:hint="default"/>
                <w:color w:val="auto"/>
                <w:szCs w:val="24"/>
                <w:highlight w:val="none"/>
              </w:rPr>
              <w:t>噪声</w:t>
            </w:r>
            <w:r>
              <w:rPr>
                <w:rFonts w:hint="default" w:ascii="Times New Roman" w:hAnsi="Times New Roman" w:eastAsia="宋体" w:cs="Times New Roman"/>
                <w:color w:val="auto"/>
                <w:kern w:val="2"/>
                <w:sz w:val="24"/>
                <w:szCs w:val="24"/>
                <w:lang w:val="en-US" w:eastAsia="zh-CN" w:bidi="ar-SA"/>
              </w:rPr>
              <w:t>源主要由各种运转设备产生，主要来自</w:t>
            </w:r>
            <w:r>
              <w:rPr>
                <w:rFonts w:hint="eastAsia" w:ascii="Times New Roman" w:hAnsi="Times New Roman" w:cs="Times New Roman"/>
                <w:color w:val="auto"/>
                <w:kern w:val="2"/>
                <w:sz w:val="24"/>
                <w:szCs w:val="24"/>
                <w:lang w:val="en-US" w:eastAsia="zh-CN" w:bidi="ar-SA"/>
              </w:rPr>
              <w:t>钩机、叉车、铲车、打包机、压块机、剪切机、等离子切割机、乙炔-氧切割机、放油机、充放电机、翻转机、燃生物质锅炉、引风机、鼓风机</w:t>
            </w:r>
            <w:r>
              <w:rPr>
                <w:rFonts w:hint="default" w:ascii="Times New Roman" w:hAnsi="Times New Roman" w:eastAsia="宋体" w:cs="Times New Roman"/>
                <w:color w:val="auto"/>
                <w:kern w:val="2"/>
                <w:sz w:val="24"/>
                <w:szCs w:val="24"/>
                <w:lang w:val="en-US" w:eastAsia="zh-CN" w:bidi="ar-SA"/>
              </w:rPr>
              <w:t>等设备产生的噪声。根据同类型</w:t>
            </w:r>
            <w:r>
              <w:rPr>
                <w:rFonts w:hint="eastAsia" w:ascii="Times New Roman" w:hAnsi="Times New Roman" w:eastAsia="宋体" w:cs="Times New Roman"/>
                <w:color w:val="auto"/>
                <w:kern w:val="2"/>
                <w:sz w:val="24"/>
                <w:szCs w:val="24"/>
                <w:lang w:val="en-US" w:eastAsia="zh-CN" w:bidi="ar-SA"/>
              </w:rPr>
              <w:t>机械加工生产线</w:t>
            </w:r>
            <w:r>
              <w:rPr>
                <w:rFonts w:hint="default" w:ascii="Times New Roman" w:hAnsi="Times New Roman" w:eastAsia="宋体" w:cs="Times New Roman"/>
                <w:color w:val="auto"/>
                <w:kern w:val="2"/>
                <w:sz w:val="24"/>
                <w:szCs w:val="24"/>
                <w:lang w:val="en-US" w:eastAsia="zh-CN" w:bidi="ar-SA"/>
              </w:rPr>
              <w:t>的调查，主要设备噪声声压级见表4-</w:t>
            </w:r>
            <w:r>
              <w:rPr>
                <w:rFonts w:hint="eastAsia" w:ascii="Times New Roman" w:hAnsi="Times New Roman" w:eastAsia="宋体" w:cs="Times New Roman"/>
                <w:color w:val="auto"/>
                <w:kern w:val="2"/>
                <w:sz w:val="24"/>
                <w:szCs w:val="24"/>
                <w:lang w:val="en-US" w:eastAsia="zh-CN" w:bidi="ar-SA"/>
              </w:rPr>
              <w:t>1</w:t>
            </w:r>
            <w:r>
              <w:rPr>
                <w:rFonts w:hint="eastAsia" w:ascii="Times New Roman" w:hAnsi="Times New Roman" w:cs="Times New Roman"/>
                <w:color w:val="auto"/>
                <w:kern w:val="2"/>
                <w:sz w:val="24"/>
                <w:szCs w:val="24"/>
                <w:lang w:val="en-US" w:eastAsia="zh-CN" w:bidi="ar-SA"/>
              </w:rPr>
              <w:t>4、表4-15</w:t>
            </w:r>
            <w:r>
              <w:rPr>
                <w:rFonts w:hint="default" w:ascii="Times New Roman" w:hAnsi="Times New Roman" w:eastAsia="宋体" w:cs="Times New Roman"/>
                <w:color w:val="auto"/>
                <w:kern w:val="2"/>
                <w:sz w:val="24"/>
                <w:szCs w:val="24"/>
                <w:lang w:val="en-US" w:eastAsia="zh-CN" w:bidi="ar-SA"/>
              </w:rPr>
              <w:t>。</w:t>
            </w:r>
          </w:p>
          <w:p w14:paraId="0D39BEA1">
            <w:pPr>
              <w:keepNext w:val="0"/>
              <w:keepLines w:val="0"/>
              <w:pageBreakBefore w:val="0"/>
              <w:suppressLineNumbers w:val="0"/>
              <w:wordWrap/>
              <w:bidi w:val="0"/>
              <w:spacing w:before="0" w:beforeAutospacing="0" w:after="0" w:afterAutospacing="0" w:line="240" w:lineRule="auto"/>
              <w:ind w:left="0" w:leftChars="0" w:right="0"/>
              <w:jc w:val="center"/>
              <w:rPr>
                <w:rFonts w:hint="eastAsia" w:ascii="Times New Roman" w:hAnsi="Times New Roman" w:eastAsia="宋体" w:cs="Times New Roman"/>
                <w:b/>
                <w:bCs/>
                <w:iCs/>
                <w:color w:val="auto"/>
                <w:kern w:val="0"/>
                <w:sz w:val="21"/>
                <w:szCs w:val="21"/>
                <w:highlight w:val="none"/>
                <w:lang w:val="en-US" w:eastAsia="zh-CN" w:bidi="ar-SA"/>
              </w:rPr>
            </w:pPr>
            <w:r>
              <w:rPr>
                <w:rFonts w:hint="default" w:ascii="Times New Roman" w:hAnsi="Times New Roman" w:eastAsia="宋体" w:cs="Times New Roman"/>
                <w:b/>
                <w:bCs/>
                <w:iCs/>
                <w:color w:val="auto"/>
                <w:kern w:val="0"/>
                <w:sz w:val="21"/>
                <w:szCs w:val="21"/>
                <w:highlight w:val="none"/>
                <w:lang w:val="en-US" w:eastAsia="zh-CN" w:bidi="ar-SA"/>
              </w:rPr>
              <w:t>表</w:t>
            </w:r>
            <w:r>
              <w:rPr>
                <w:rFonts w:hint="eastAsia" w:ascii="Times New Roman" w:hAnsi="Times New Roman" w:eastAsia="宋体" w:cs="Times New Roman"/>
                <w:b/>
                <w:bCs/>
                <w:iCs/>
                <w:color w:val="auto"/>
                <w:kern w:val="0"/>
                <w:sz w:val="21"/>
                <w:szCs w:val="21"/>
                <w:highlight w:val="none"/>
                <w:lang w:val="en-US" w:eastAsia="zh-CN" w:bidi="ar-SA"/>
              </w:rPr>
              <w:t>4-</w:t>
            </w:r>
            <w:r>
              <w:rPr>
                <w:rFonts w:hint="eastAsia" w:cs="Times New Roman"/>
                <w:b/>
                <w:bCs/>
                <w:iCs/>
                <w:color w:val="auto"/>
                <w:kern w:val="0"/>
                <w:sz w:val="21"/>
                <w:szCs w:val="21"/>
                <w:highlight w:val="none"/>
                <w:lang w:val="en-US" w:eastAsia="zh-CN" w:bidi="ar-SA"/>
              </w:rPr>
              <w:t xml:space="preserve">14 </w:t>
            </w:r>
            <w:r>
              <w:rPr>
                <w:rFonts w:hint="default" w:ascii="Times New Roman" w:hAnsi="Times New Roman" w:eastAsia="宋体" w:cs="Times New Roman"/>
                <w:b/>
                <w:bCs/>
                <w:iCs/>
                <w:color w:val="auto"/>
                <w:kern w:val="0"/>
                <w:sz w:val="21"/>
                <w:szCs w:val="21"/>
                <w:highlight w:val="none"/>
                <w:lang w:val="en-US" w:eastAsia="zh-CN" w:bidi="ar-SA"/>
              </w:rPr>
              <w:t xml:space="preserve"> 噪声污染源源强核算结果及相关参数一览表</w:t>
            </w:r>
            <w:r>
              <w:rPr>
                <w:rFonts w:hint="eastAsia" w:ascii="Times New Roman" w:hAnsi="Times New Roman" w:eastAsia="宋体" w:cs="Times New Roman"/>
                <w:b/>
                <w:bCs/>
                <w:iCs/>
                <w:color w:val="auto"/>
                <w:kern w:val="0"/>
                <w:sz w:val="21"/>
                <w:szCs w:val="21"/>
                <w:highlight w:val="none"/>
                <w:lang w:val="en-US" w:eastAsia="zh-CN" w:bidi="ar-SA"/>
              </w:rPr>
              <w:t>（室内声源）</w:t>
            </w:r>
          </w:p>
          <w:tbl>
            <w:tblPr>
              <w:tblStyle w:val="32"/>
              <w:tblW w:w="80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3"/>
              <w:gridCol w:w="371"/>
              <w:gridCol w:w="1231"/>
              <w:gridCol w:w="420"/>
              <w:gridCol w:w="465"/>
              <w:gridCol w:w="498"/>
              <w:gridCol w:w="510"/>
              <w:gridCol w:w="510"/>
              <w:gridCol w:w="510"/>
              <w:gridCol w:w="510"/>
              <w:gridCol w:w="510"/>
              <w:gridCol w:w="510"/>
              <w:gridCol w:w="510"/>
              <w:gridCol w:w="510"/>
              <w:gridCol w:w="516"/>
            </w:tblGrid>
            <w:tr w14:paraId="76EEDA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vMerge w:val="restart"/>
                  <w:tcBorders>
                    <w:tl2br w:val="nil"/>
                    <w:tr2bl w:val="nil"/>
                  </w:tcBorders>
                  <w:noWrap w:val="0"/>
                  <w:vAlign w:val="center"/>
                </w:tcPr>
                <w:p w14:paraId="66F755F5">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eastAsia="zh-CN"/>
                    </w:rPr>
                  </w:pPr>
                  <w:r>
                    <w:rPr>
                      <w:rFonts w:hint="default" w:ascii="Times New Roman" w:hAnsi="Times New Roman" w:eastAsia="宋体" w:cs="Times New Roman"/>
                      <w:b w:val="0"/>
                      <w:bCs/>
                      <w:color w:val="auto"/>
                      <w:kern w:val="0"/>
                      <w:sz w:val="18"/>
                      <w:szCs w:val="18"/>
                      <w:highlight w:val="none"/>
                      <w:vertAlign w:val="baseline"/>
                      <w:lang w:eastAsia="zh-CN"/>
                    </w:rPr>
                    <w:t>序号</w:t>
                  </w:r>
                </w:p>
              </w:tc>
              <w:tc>
                <w:tcPr>
                  <w:tcW w:w="371" w:type="dxa"/>
                  <w:vMerge w:val="restart"/>
                  <w:tcBorders>
                    <w:tl2br w:val="nil"/>
                    <w:tr2bl w:val="nil"/>
                  </w:tcBorders>
                  <w:noWrap w:val="0"/>
                  <w:vAlign w:val="center"/>
                </w:tcPr>
                <w:p w14:paraId="70691567">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eastAsia="zh-CN"/>
                    </w:rPr>
                  </w:pPr>
                  <w:r>
                    <w:rPr>
                      <w:rFonts w:hint="default" w:ascii="Times New Roman" w:hAnsi="Times New Roman" w:eastAsia="宋体" w:cs="Times New Roman"/>
                      <w:b w:val="0"/>
                      <w:bCs/>
                      <w:color w:val="auto"/>
                      <w:kern w:val="0"/>
                      <w:sz w:val="18"/>
                      <w:szCs w:val="18"/>
                      <w:highlight w:val="none"/>
                      <w:vertAlign w:val="baseline"/>
                      <w:lang w:eastAsia="zh-CN"/>
                    </w:rPr>
                    <w:t>建筑物名称</w:t>
                  </w:r>
                </w:p>
              </w:tc>
              <w:tc>
                <w:tcPr>
                  <w:tcW w:w="1231" w:type="dxa"/>
                  <w:vMerge w:val="restart"/>
                  <w:tcBorders>
                    <w:tl2br w:val="nil"/>
                    <w:tr2bl w:val="nil"/>
                  </w:tcBorders>
                  <w:noWrap w:val="0"/>
                  <w:vAlign w:val="center"/>
                </w:tcPr>
                <w:p w14:paraId="2FD48DED">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eastAsia="zh-CN"/>
                    </w:rPr>
                  </w:pPr>
                  <w:r>
                    <w:rPr>
                      <w:rFonts w:hint="default" w:ascii="Times New Roman" w:hAnsi="Times New Roman" w:eastAsia="宋体" w:cs="Times New Roman"/>
                      <w:b w:val="0"/>
                      <w:bCs/>
                      <w:color w:val="auto"/>
                      <w:kern w:val="0"/>
                      <w:sz w:val="18"/>
                      <w:szCs w:val="18"/>
                      <w:highlight w:val="none"/>
                      <w:vertAlign w:val="baseline"/>
                      <w:lang w:eastAsia="zh-CN"/>
                    </w:rPr>
                    <w:t>声源名称</w:t>
                  </w:r>
                </w:p>
              </w:tc>
              <w:tc>
                <w:tcPr>
                  <w:tcW w:w="885" w:type="dxa"/>
                  <w:gridSpan w:val="2"/>
                  <w:tcBorders>
                    <w:tl2br w:val="nil"/>
                    <w:tr2bl w:val="nil"/>
                  </w:tcBorders>
                  <w:noWrap w:val="0"/>
                  <w:vAlign w:val="center"/>
                </w:tcPr>
                <w:p w14:paraId="0F2125FE">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default" w:ascii="Times New Roman" w:hAnsi="Times New Roman" w:eastAsia="宋体" w:cs="Times New Roman"/>
                      <w:b w:val="0"/>
                      <w:bCs/>
                      <w:color w:val="auto"/>
                      <w:kern w:val="0"/>
                      <w:sz w:val="18"/>
                      <w:szCs w:val="18"/>
                      <w:highlight w:val="none"/>
                      <w:vertAlign w:val="baseline"/>
                      <w:lang w:eastAsia="zh-CN"/>
                    </w:rPr>
                    <w:t>声源源强</w:t>
                  </w:r>
                </w:p>
              </w:tc>
              <w:tc>
                <w:tcPr>
                  <w:tcW w:w="498" w:type="dxa"/>
                  <w:vMerge w:val="restart"/>
                  <w:tcBorders>
                    <w:tl2br w:val="nil"/>
                    <w:tr2bl w:val="nil"/>
                  </w:tcBorders>
                  <w:noWrap w:val="0"/>
                  <w:vAlign w:val="center"/>
                </w:tcPr>
                <w:p w14:paraId="4AEB566E">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eastAsia="zh-CN"/>
                    </w:rPr>
                  </w:pPr>
                  <w:r>
                    <w:rPr>
                      <w:rFonts w:hint="default" w:ascii="Times New Roman" w:hAnsi="Times New Roman" w:eastAsia="宋体" w:cs="Times New Roman"/>
                      <w:b w:val="0"/>
                      <w:bCs/>
                      <w:color w:val="auto"/>
                      <w:kern w:val="0"/>
                      <w:sz w:val="18"/>
                      <w:szCs w:val="18"/>
                      <w:highlight w:val="none"/>
                      <w:vertAlign w:val="baseline"/>
                      <w:lang w:eastAsia="zh-CN"/>
                    </w:rPr>
                    <w:t>声源控制措施</w:t>
                  </w:r>
                </w:p>
              </w:tc>
              <w:tc>
                <w:tcPr>
                  <w:tcW w:w="1530" w:type="dxa"/>
                  <w:gridSpan w:val="3"/>
                  <w:tcBorders>
                    <w:tl2br w:val="nil"/>
                    <w:tr2bl w:val="nil"/>
                  </w:tcBorders>
                  <w:noWrap w:val="0"/>
                  <w:vAlign w:val="center"/>
                </w:tcPr>
                <w:p w14:paraId="34E9FE42">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default" w:ascii="Times New Roman" w:hAnsi="Times New Roman" w:eastAsia="宋体" w:cs="Times New Roman"/>
                      <w:b w:val="0"/>
                      <w:bCs/>
                      <w:color w:val="auto"/>
                      <w:kern w:val="0"/>
                      <w:sz w:val="18"/>
                      <w:szCs w:val="18"/>
                      <w:highlight w:val="none"/>
                      <w:vertAlign w:val="baseline"/>
                      <w:lang w:eastAsia="zh-CN"/>
                    </w:rPr>
                    <w:t>空间相对位置</w:t>
                  </w:r>
                  <w:r>
                    <w:rPr>
                      <w:rFonts w:hint="default" w:ascii="Times New Roman" w:hAnsi="Times New Roman" w:eastAsia="宋体" w:cs="Times New Roman"/>
                      <w:b w:val="0"/>
                      <w:bCs/>
                      <w:color w:val="auto"/>
                      <w:kern w:val="0"/>
                      <w:sz w:val="18"/>
                      <w:szCs w:val="18"/>
                      <w:highlight w:val="none"/>
                      <w:vertAlign w:val="baseline"/>
                      <w:lang w:val="en-US" w:eastAsia="zh-CN"/>
                    </w:rPr>
                    <w:t>/m</w:t>
                  </w:r>
                </w:p>
              </w:tc>
              <w:tc>
                <w:tcPr>
                  <w:tcW w:w="510" w:type="dxa"/>
                  <w:vMerge w:val="restart"/>
                  <w:tcBorders>
                    <w:tl2br w:val="nil"/>
                    <w:tr2bl w:val="nil"/>
                  </w:tcBorders>
                  <w:noWrap w:val="0"/>
                  <w:vAlign w:val="center"/>
                </w:tcPr>
                <w:p w14:paraId="6AA0A07A">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default" w:ascii="Times New Roman" w:hAnsi="Times New Roman" w:eastAsia="宋体" w:cs="Times New Roman"/>
                      <w:b w:val="0"/>
                      <w:bCs/>
                      <w:color w:val="auto"/>
                      <w:kern w:val="0"/>
                      <w:sz w:val="18"/>
                      <w:szCs w:val="18"/>
                      <w:highlight w:val="none"/>
                      <w:vertAlign w:val="baseline"/>
                      <w:lang w:val="en-US" w:eastAsia="zh-CN"/>
                    </w:rPr>
                    <w:t>距室内边界距离</w:t>
                  </w:r>
                </w:p>
              </w:tc>
              <w:tc>
                <w:tcPr>
                  <w:tcW w:w="510" w:type="dxa"/>
                  <w:vMerge w:val="restart"/>
                  <w:tcBorders>
                    <w:tl2br w:val="nil"/>
                    <w:tr2bl w:val="nil"/>
                  </w:tcBorders>
                  <w:noWrap w:val="0"/>
                  <w:vAlign w:val="center"/>
                </w:tcPr>
                <w:p w14:paraId="552C3A65">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eastAsia="zh-CN"/>
                    </w:rPr>
                  </w:pPr>
                  <w:r>
                    <w:rPr>
                      <w:rFonts w:hint="default" w:ascii="Times New Roman" w:hAnsi="Times New Roman" w:eastAsia="宋体" w:cs="Times New Roman"/>
                      <w:b w:val="0"/>
                      <w:bCs/>
                      <w:color w:val="auto"/>
                      <w:kern w:val="0"/>
                      <w:sz w:val="18"/>
                      <w:szCs w:val="18"/>
                      <w:highlight w:val="none"/>
                      <w:vertAlign w:val="baseline"/>
                      <w:lang w:eastAsia="zh-CN"/>
                    </w:rPr>
                    <w:t>室内边界声级</w:t>
                  </w:r>
                  <w:r>
                    <w:rPr>
                      <w:rFonts w:hint="default" w:ascii="Times New Roman" w:hAnsi="Times New Roman" w:eastAsia="宋体" w:cs="Times New Roman"/>
                      <w:b w:val="0"/>
                      <w:bCs/>
                      <w:color w:val="auto"/>
                      <w:kern w:val="0"/>
                      <w:sz w:val="18"/>
                      <w:szCs w:val="18"/>
                      <w:highlight w:val="none"/>
                      <w:vertAlign w:val="baseline"/>
                      <w:lang w:val="en-US" w:eastAsia="zh-CN"/>
                    </w:rPr>
                    <w:t>/dB</w:t>
                  </w:r>
                  <w:r>
                    <w:rPr>
                      <w:rFonts w:hint="eastAsia" w:ascii="Times New Roman" w:hAnsi="Times New Roman" w:cs="Times New Roman"/>
                      <w:b w:val="0"/>
                      <w:bCs/>
                      <w:color w:val="auto"/>
                      <w:kern w:val="0"/>
                      <w:sz w:val="18"/>
                      <w:szCs w:val="18"/>
                      <w:highlight w:val="none"/>
                      <w:vertAlign w:val="baseline"/>
                      <w:lang w:val="en-US" w:eastAsia="zh-CN"/>
                    </w:rPr>
                    <w:t>（</w:t>
                  </w:r>
                  <w:r>
                    <w:rPr>
                      <w:rFonts w:hint="default" w:ascii="Times New Roman" w:hAnsi="Times New Roman" w:eastAsia="宋体" w:cs="Times New Roman"/>
                      <w:b w:val="0"/>
                      <w:bCs/>
                      <w:color w:val="auto"/>
                      <w:kern w:val="0"/>
                      <w:sz w:val="18"/>
                      <w:szCs w:val="18"/>
                      <w:highlight w:val="none"/>
                      <w:vertAlign w:val="baseline"/>
                      <w:lang w:val="en-US" w:eastAsia="zh-CN"/>
                    </w:rPr>
                    <w:t>A</w:t>
                  </w:r>
                  <w:r>
                    <w:rPr>
                      <w:rFonts w:hint="eastAsia" w:ascii="Times New Roman" w:hAnsi="Times New Roman" w:cs="Times New Roman"/>
                      <w:b w:val="0"/>
                      <w:bCs/>
                      <w:color w:val="auto"/>
                      <w:kern w:val="0"/>
                      <w:sz w:val="18"/>
                      <w:szCs w:val="18"/>
                      <w:highlight w:val="none"/>
                      <w:vertAlign w:val="baseline"/>
                      <w:lang w:val="en-US" w:eastAsia="zh-CN"/>
                    </w:rPr>
                    <w:t>）</w:t>
                  </w:r>
                </w:p>
              </w:tc>
              <w:tc>
                <w:tcPr>
                  <w:tcW w:w="510" w:type="dxa"/>
                  <w:vMerge w:val="restart"/>
                  <w:tcBorders>
                    <w:tl2br w:val="nil"/>
                    <w:tr2bl w:val="nil"/>
                  </w:tcBorders>
                  <w:noWrap w:val="0"/>
                  <w:vAlign w:val="center"/>
                </w:tcPr>
                <w:p w14:paraId="6326628E">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default" w:ascii="Times New Roman" w:hAnsi="Times New Roman" w:eastAsia="宋体" w:cs="Times New Roman"/>
                      <w:b w:val="0"/>
                      <w:bCs/>
                      <w:color w:val="auto"/>
                      <w:kern w:val="0"/>
                      <w:sz w:val="18"/>
                      <w:szCs w:val="18"/>
                      <w:highlight w:val="none"/>
                      <w:vertAlign w:val="baseline"/>
                      <w:lang w:val="en-US" w:eastAsia="zh-CN"/>
                    </w:rPr>
                    <w:t>运行时段</w:t>
                  </w:r>
                </w:p>
              </w:tc>
              <w:tc>
                <w:tcPr>
                  <w:tcW w:w="510" w:type="dxa"/>
                  <w:vMerge w:val="restart"/>
                  <w:tcBorders>
                    <w:tl2br w:val="nil"/>
                    <w:tr2bl w:val="nil"/>
                  </w:tcBorders>
                  <w:noWrap w:val="0"/>
                  <w:vAlign w:val="center"/>
                </w:tcPr>
                <w:p w14:paraId="24D2D047">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eastAsia="zh-CN"/>
                    </w:rPr>
                  </w:pPr>
                  <w:r>
                    <w:rPr>
                      <w:rFonts w:hint="default" w:ascii="Times New Roman" w:hAnsi="Times New Roman" w:eastAsia="宋体" w:cs="Times New Roman"/>
                      <w:b w:val="0"/>
                      <w:bCs/>
                      <w:color w:val="auto"/>
                      <w:kern w:val="0"/>
                      <w:sz w:val="18"/>
                      <w:szCs w:val="18"/>
                      <w:highlight w:val="none"/>
                      <w:vertAlign w:val="baseline"/>
                      <w:lang w:eastAsia="zh-CN"/>
                    </w:rPr>
                    <w:t>建筑物插入损失</w:t>
                  </w:r>
                  <w:r>
                    <w:rPr>
                      <w:rFonts w:hint="default" w:ascii="Times New Roman" w:hAnsi="Times New Roman" w:eastAsia="宋体" w:cs="Times New Roman"/>
                      <w:b w:val="0"/>
                      <w:bCs/>
                      <w:color w:val="auto"/>
                      <w:kern w:val="0"/>
                      <w:sz w:val="18"/>
                      <w:szCs w:val="18"/>
                      <w:highlight w:val="none"/>
                      <w:vertAlign w:val="baseline"/>
                      <w:lang w:val="en-US" w:eastAsia="zh-CN"/>
                    </w:rPr>
                    <w:t>/dB</w:t>
                  </w:r>
                  <w:r>
                    <w:rPr>
                      <w:rFonts w:hint="eastAsia" w:ascii="Times New Roman" w:hAnsi="Times New Roman" w:cs="Times New Roman"/>
                      <w:b w:val="0"/>
                      <w:bCs/>
                      <w:color w:val="auto"/>
                      <w:kern w:val="0"/>
                      <w:sz w:val="18"/>
                      <w:szCs w:val="18"/>
                      <w:highlight w:val="none"/>
                      <w:vertAlign w:val="baseline"/>
                      <w:lang w:val="en-US" w:eastAsia="zh-CN"/>
                    </w:rPr>
                    <w:t>（</w:t>
                  </w:r>
                  <w:r>
                    <w:rPr>
                      <w:rFonts w:hint="default" w:ascii="Times New Roman" w:hAnsi="Times New Roman" w:eastAsia="宋体" w:cs="Times New Roman"/>
                      <w:b w:val="0"/>
                      <w:bCs/>
                      <w:color w:val="auto"/>
                      <w:kern w:val="0"/>
                      <w:sz w:val="18"/>
                      <w:szCs w:val="18"/>
                      <w:highlight w:val="none"/>
                      <w:vertAlign w:val="baseline"/>
                      <w:lang w:val="en-US" w:eastAsia="zh-CN"/>
                    </w:rPr>
                    <w:t>A</w:t>
                  </w:r>
                  <w:r>
                    <w:rPr>
                      <w:rFonts w:hint="eastAsia" w:ascii="Times New Roman" w:hAnsi="Times New Roman" w:cs="Times New Roman"/>
                      <w:b w:val="0"/>
                      <w:bCs/>
                      <w:color w:val="auto"/>
                      <w:kern w:val="0"/>
                      <w:sz w:val="18"/>
                      <w:szCs w:val="18"/>
                      <w:highlight w:val="none"/>
                      <w:vertAlign w:val="baseline"/>
                      <w:lang w:val="en-US" w:eastAsia="zh-CN"/>
                    </w:rPr>
                    <w:t>）</w:t>
                  </w:r>
                </w:p>
              </w:tc>
              <w:tc>
                <w:tcPr>
                  <w:tcW w:w="1026" w:type="dxa"/>
                  <w:gridSpan w:val="2"/>
                  <w:tcBorders>
                    <w:tl2br w:val="nil"/>
                    <w:tr2bl w:val="nil"/>
                  </w:tcBorders>
                  <w:noWrap w:val="0"/>
                  <w:vAlign w:val="center"/>
                </w:tcPr>
                <w:p w14:paraId="7D19FBC3">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eastAsia="zh-CN"/>
                    </w:rPr>
                  </w:pPr>
                  <w:r>
                    <w:rPr>
                      <w:rFonts w:hint="default" w:ascii="Times New Roman" w:hAnsi="Times New Roman" w:eastAsia="宋体" w:cs="Times New Roman"/>
                      <w:b w:val="0"/>
                      <w:bCs/>
                      <w:color w:val="auto"/>
                      <w:kern w:val="0"/>
                      <w:sz w:val="18"/>
                      <w:szCs w:val="18"/>
                      <w:highlight w:val="none"/>
                      <w:vertAlign w:val="baseline"/>
                      <w:lang w:eastAsia="zh-CN"/>
                    </w:rPr>
                    <w:t>建筑物外噪声</w:t>
                  </w:r>
                </w:p>
              </w:tc>
            </w:tr>
            <w:tr w14:paraId="551BBE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vMerge w:val="continue"/>
                  <w:tcBorders>
                    <w:tl2br w:val="nil"/>
                    <w:tr2bl w:val="nil"/>
                  </w:tcBorders>
                  <w:noWrap w:val="0"/>
                  <w:vAlign w:val="center"/>
                </w:tcPr>
                <w:p w14:paraId="13D4BB46">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p>
              </w:tc>
              <w:tc>
                <w:tcPr>
                  <w:tcW w:w="371" w:type="dxa"/>
                  <w:vMerge w:val="continue"/>
                  <w:tcBorders>
                    <w:tl2br w:val="nil"/>
                    <w:tr2bl w:val="nil"/>
                  </w:tcBorders>
                  <w:noWrap w:val="0"/>
                  <w:vAlign w:val="center"/>
                </w:tcPr>
                <w:p w14:paraId="625F5FE9">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p>
              </w:tc>
              <w:tc>
                <w:tcPr>
                  <w:tcW w:w="1231" w:type="dxa"/>
                  <w:vMerge w:val="continue"/>
                  <w:tcBorders>
                    <w:tl2br w:val="nil"/>
                    <w:tr2bl w:val="nil"/>
                  </w:tcBorders>
                  <w:noWrap w:val="0"/>
                  <w:vAlign w:val="center"/>
                </w:tcPr>
                <w:p w14:paraId="527CEC9B">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p>
              </w:tc>
              <w:tc>
                <w:tcPr>
                  <w:tcW w:w="420" w:type="dxa"/>
                  <w:tcBorders>
                    <w:tl2br w:val="nil"/>
                    <w:tr2bl w:val="nil"/>
                  </w:tcBorders>
                  <w:noWrap w:val="0"/>
                  <w:vAlign w:val="center"/>
                </w:tcPr>
                <w:p w14:paraId="1E5D28BC">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r>
                    <w:rPr>
                      <w:rFonts w:hint="default" w:ascii="Times New Roman" w:hAnsi="Times New Roman" w:eastAsia="宋体" w:cs="Times New Roman"/>
                      <w:b w:val="0"/>
                      <w:bCs/>
                      <w:color w:val="auto"/>
                      <w:kern w:val="0"/>
                      <w:sz w:val="18"/>
                      <w:szCs w:val="18"/>
                      <w:highlight w:val="none"/>
                      <w:vertAlign w:val="baseline"/>
                      <w:lang w:val="en-US" w:eastAsia="zh-CN"/>
                    </w:rPr>
                    <w:t>声压级/dB</w:t>
                  </w:r>
                  <w:r>
                    <w:rPr>
                      <w:rFonts w:hint="eastAsia" w:ascii="Times New Roman" w:hAnsi="Times New Roman" w:cs="Times New Roman"/>
                      <w:b w:val="0"/>
                      <w:bCs/>
                      <w:color w:val="auto"/>
                      <w:kern w:val="0"/>
                      <w:sz w:val="18"/>
                      <w:szCs w:val="18"/>
                      <w:highlight w:val="none"/>
                      <w:vertAlign w:val="baseline"/>
                      <w:lang w:val="en-US" w:eastAsia="zh-CN"/>
                    </w:rPr>
                    <w:t>（</w:t>
                  </w:r>
                  <w:r>
                    <w:rPr>
                      <w:rFonts w:hint="default" w:ascii="Times New Roman" w:hAnsi="Times New Roman" w:eastAsia="宋体" w:cs="Times New Roman"/>
                      <w:b w:val="0"/>
                      <w:bCs/>
                      <w:color w:val="auto"/>
                      <w:kern w:val="0"/>
                      <w:sz w:val="18"/>
                      <w:szCs w:val="18"/>
                      <w:highlight w:val="none"/>
                      <w:vertAlign w:val="baseline"/>
                      <w:lang w:val="en-US" w:eastAsia="zh-CN"/>
                    </w:rPr>
                    <w:t>A</w:t>
                  </w:r>
                  <w:r>
                    <w:rPr>
                      <w:rFonts w:hint="eastAsia" w:ascii="Times New Roman" w:hAnsi="Times New Roman" w:cs="Times New Roman"/>
                      <w:b w:val="0"/>
                      <w:bCs/>
                      <w:color w:val="auto"/>
                      <w:kern w:val="0"/>
                      <w:sz w:val="18"/>
                      <w:szCs w:val="18"/>
                      <w:highlight w:val="none"/>
                      <w:vertAlign w:val="baseline"/>
                      <w:lang w:val="en-US" w:eastAsia="zh-CN"/>
                    </w:rPr>
                    <w:t>）</w:t>
                  </w:r>
                </w:p>
              </w:tc>
              <w:tc>
                <w:tcPr>
                  <w:tcW w:w="465" w:type="dxa"/>
                  <w:tcBorders>
                    <w:tl2br w:val="nil"/>
                    <w:tr2bl w:val="nil"/>
                  </w:tcBorders>
                  <w:noWrap w:val="0"/>
                  <w:vAlign w:val="center"/>
                </w:tcPr>
                <w:p w14:paraId="01A531B0">
                  <w:pPr>
                    <w:keepNext w:val="0"/>
                    <w:keepLines w:val="0"/>
                    <w:pageBreakBefore w:val="0"/>
                    <w:widowControl/>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default" w:ascii="Times New Roman" w:hAnsi="Times New Roman" w:eastAsia="宋体" w:cs="Times New Roman"/>
                      <w:b w:val="0"/>
                      <w:bCs/>
                      <w:color w:val="auto"/>
                      <w:kern w:val="0"/>
                      <w:sz w:val="18"/>
                      <w:szCs w:val="18"/>
                      <w:highlight w:val="none"/>
                      <w:vertAlign w:val="baseline"/>
                      <w:lang w:val="en-US" w:eastAsia="zh-CN" w:bidi="ar-SA"/>
                    </w:rPr>
                    <w:t>距声源</w:t>
                  </w:r>
                </w:p>
                <w:p w14:paraId="18ADF92D">
                  <w:pPr>
                    <w:keepNext w:val="0"/>
                    <w:keepLines w:val="0"/>
                    <w:pageBreakBefore w:val="0"/>
                    <w:widowControl/>
                    <w:suppressLineNumbers w:val="0"/>
                    <w:wordWrap/>
                    <w:bidi w:val="0"/>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r>
                    <w:rPr>
                      <w:rFonts w:hint="default" w:ascii="Times New Roman" w:hAnsi="Times New Roman" w:eastAsia="宋体" w:cs="Times New Roman"/>
                      <w:b w:val="0"/>
                      <w:bCs/>
                      <w:color w:val="auto"/>
                      <w:kern w:val="0"/>
                      <w:sz w:val="18"/>
                      <w:szCs w:val="18"/>
                      <w:highlight w:val="none"/>
                      <w:vertAlign w:val="baseline"/>
                      <w:lang w:val="en-US" w:eastAsia="zh-CN" w:bidi="ar-SA"/>
                    </w:rPr>
                    <w:t>距离/m</w:t>
                  </w:r>
                </w:p>
              </w:tc>
              <w:tc>
                <w:tcPr>
                  <w:tcW w:w="498" w:type="dxa"/>
                  <w:vMerge w:val="continue"/>
                  <w:tcBorders>
                    <w:tl2br w:val="nil"/>
                    <w:tr2bl w:val="nil"/>
                  </w:tcBorders>
                  <w:noWrap w:val="0"/>
                  <w:vAlign w:val="center"/>
                </w:tcPr>
                <w:p w14:paraId="15456BE2">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p>
              </w:tc>
              <w:tc>
                <w:tcPr>
                  <w:tcW w:w="510" w:type="dxa"/>
                  <w:tcBorders>
                    <w:tl2br w:val="nil"/>
                    <w:tr2bl w:val="nil"/>
                  </w:tcBorders>
                  <w:noWrap w:val="0"/>
                  <w:vAlign w:val="center"/>
                </w:tcPr>
                <w:p w14:paraId="308E0CD9">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default" w:ascii="Times New Roman" w:hAnsi="Times New Roman" w:eastAsia="宋体" w:cs="Times New Roman"/>
                      <w:b w:val="0"/>
                      <w:bCs/>
                      <w:color w:val="auto"/>
                      <w:kern w:val="0"/>
                      <w:sz w:val="18"/>
                      <w:szCs w:val="18"/>
                      <w:highlight w:val="none"/>
                      <w:vertAlign w:val="baseline"/>
                      <w:lang w:val="en-US" w:eastAsia="zh-CN"/>
                    </w:rPr>
                    <w:t>X</w:t>
                  </w:r>
                </w:p>
              </w:tc>
              <w:tc>
                <w:tcPr>
                  <w:tcW w:w="510" w:type="dxa"/>
                  <w:tcBorders>
                    <w:tl2br w:val="nil"/>
                    <w:tr2bl w:val="nil"/>
                  </w:tcBorders>
                  <w:noWrap w:val="0"/>
                  <w:vAlign w:val="center"/>
                </w:tcPr>
                <w:p w14:paraId="42A2E78C">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default" w:ascii="Times New Roman" w:hAnsi="Times New Roman" w:eastAsia="宋体" w:cs="Times New Roman"/>
                      <w:b w:val="0"/>
                      <w:bCs/>
                      <w:color w:val="auto"/>
                      <w:kern w:val="0"/>
                      <w:sz w:val="18"/>
                      <w:szCs w:val="18"/>
                      <w:highlight w:val="none"/>
                      <w:vertAlign w:val="baseline"/>
                      <w:lang w:val="en-US" w:eastAsia="zh-CN"/>
                    </w:rPr>
                    <w:t>Y</w:t>
                  </w:r>
                </w:p>
              </w:tc>
              <w:tc>
                <w:tcPr>
                  <w:tcW w:w="510" w:type="dxa"/>
                  <w:tcBorders>
                    <w:tl2br w:val="nil"/>
                    <w:tr2bl w:val="nil"/>
                  </w:tcBorders>
                  <w:noWrap w:val="0"/>
                  <w:vAlign w:val="center"/>
                </w:tcPr>
                <w:p w14:paraId="60A81BFC">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default" w:ascii="Times New Roman" w:hAnsi="Times New Roman" w:eastAsia="宋体" w:cs="Times New Roman"/>
                      <w:b w:val="0"/>
                      <w:bCs/>
                      <w:color w:val="auto"/>
                      <w:kern w:val="0"/>
                      <w:sz w:val="18"/>
                      <w:szCs w:val="18"/>
                      <w:highlight w:val="none"/>
                      <w:vertAlign w:val="baseline"/>
                      <w:lang w:val="en-US" w:eastAsia="zh-CN"/>
                    </w:rPr>
                    <w:t>Z</w:t>
                  </w:r>
                </w:p>
              </w:tc>
              <w:tc>
                <w:tcPr>
                  <w:tcW w:w="510" w:type="dxa"/>
                  <w:vMerge w:val="continue"/>
                  <w:tcBorders>
                    <w:tl2br w:val="nil"/>
                    <w:tr2bl w:val="nil"/>
                  </w:tcBorders>
                  <w:noWrap w:val="0"/>
                  <w:vAlign w:val="center"/>
                </w:tcPr>
                <w:p w14:paraId="1AAF33CE">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p>
              </w:tc>
              <w:tc>
                <w:tcPr>
                  <w:tcW w:w="510" w:type="dxa"/>
                  <w:vMerge w:val="continue"/>
                  <w:tcBorders>
                    <w:tl2br w:val="nil"/>
                    <w:tr2bl w:val="nil"/>
                  </w:tcBorders>
                  <w:noWrap w:val="0"/>
                  <w:vAlign w:val="center"/>
                </w:tcPr>
                <w:p w14:paraId="01CF14B4">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p>
              </w:tc>
              <w:tc>
                <w:tcPr>
                  <w:tcW w:w="510" w:type="dxa"/>
                  <w:vMerge w:val="continue"/>
                  <w:tcBorders>
                    <w:tl2br w:val="nil"/>
                    <w:tr2bl w:val="nil"/>
                  </w:tcBorders>
                  <w:noWrap w:val="0"/>
                  <w:vAlign w:val="center"/>
                </w:tcPr>
                <w:p w14:paraId="6906CEAC">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p>
              </w:tc>
              <w:tc>
                <w:tcPr>
                  <w:tcW w:w="510" w:type="dxa"/>
                  <w:vMerge w:val="continue"/>
                  <w:tcBorders>
                    <w:tl2br w:val="nil"/>
                    <w:tr2bl w:val="nil"/>
                  </w:tcBorders>
                  <w:noWrap w:val="0"/>
                  <w:vAlign w:val="center"/>
                </w:tcPr>
                <w:p w14:paraId="4425A4F9">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p>
              </w:tc>
              <w:tc>
                <w:tcPr>
                  <w:tcW w:w="510" w:type="dxa"/>
                  <w:tcBorders>
                    <w:tl2br w:val="nil"/>
                    <w:tr2bl w:val="nil"/>
                  </w:tcBorders>
                  <w:noWrap w:val="0"/>
                  <w:vAlign w:val="center"/>
                </w:tcPr>
                <w:p w14:paraId="5673374A">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r>
                    <w:rPr>
                      <w:rFonts w:hint="default" w:ascii="Times New Roman" w:hAnsi="Times New Roman" w:eastAsia="宋体" w:cs="Times New Roman"/>
                      <w:b w:val="0"/>
                      <w:bCs/>
                      <w:color w:val="auto"/>
                      <w:kern w:val="0"/>
                      <w:sz w:val="18"/>
                      <w:szCs w:val="18"/>
                      <w:highlight w:val="none"/>
                      <w:vertAlign w:val="baseline"/>
                      <w:lang w:val="en-US" w:eastAsia="zh-CN"/>
                    </w:rPr>
                    <w:t>声压级/dB</w:t>
                  </w:r>
                  <w:r>
                    <w:rPr>
                      <w:rFonts w:hint="eastAsia" w:ascii="Times New Roman" w:hAnsi="Times New Roman" w:cs="Times New Roman"/>
                      <w:b w:val="0"/>
                      <w:bCs/>
                      <w:color w:val="auto"/>
                      <w:kern w:val="0"/>
                      <w:sz w:val="18"/>
                      <w:szCs w:val="18"/>
                      <w:highlight w:val="none"/>
                      <w:vertAlign w:val="baseline"/>
                      <w:lang w:val="en-US" w:eastAsia="zh-CN"/>
                    </w:rPr>
                    <w:t>（</w:t>
                  </w:r>
                  <w:r>
                    <w:rPr>
                      <w:rFonts w:hint="default" w:ascii="Times New Roman" w:hAnsi="Times New Roman" w:eastAsia="宋体" w:cs="Times New Roman"/>
                      <w:b w:val="0"/>
                      <w:bCs/>
                      <w:color w:val="auto"/>
                      <w:kern w:val="0"/>
                      <w:sz w:val="18"/>
                      <w:szCs w:val="18"/>
                      <w:highlight w:val="none"/>
                      <w:vertAlign w:val="baseline"/>
                      <w:lang w:val="en-US" w:eastAsia="zh-CN"/>
                    </w:rPr>
                    <w:t>A</w:t>
                  </w:r>
                  <w:r>
                    <w:rPr>
                      <w:rFonts w:hint="eastAsia" w:ascii="Times New Roman" w:hAnsi="Times New Roman" w:cs="Times New Roman"/>
                      <w:b w:val="0"/>
                      <w:bCs/>
                      <w:color w:val="auto"/>
                      <w:kern w:val="0"/>
                      <w:sz w:val="18"/>
                      <w:szCs w:val="18"/>
                      <w:highlight w:val="none"/>
                      <w:vertAlign w:val="baseline"/>
                      <w:lang w:val="en-US" w:eastAsia="zh-CN"/>
                    </w:rPr>
                    <w:t>）</w:t>
                  </w:r>
                </w:p>
              </w:tc>
              <w:tc>
                <w:tcPr>
                  <w:tcW w:w="516" w:type="dxa"/>
                  <w:tcBorders>
                    <w:tl2br w:val="nil"/>
                    <w:tr2bl w:val="nil"/>
                  </w:tcBorders>
                  <w:noWrap w:val="0"/>
                  <w:vAlign w:val="center"/>
                </w:tcPr>
                <w:p w14:paraId="1FEFC822">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eastAsia="zh-CN"/>
                    </w:rPr>
                  </w:pPr>
                  <w:r>
                    <w:rPr>
                      <w:rFonts w:hint="default" w:ascii="Times New Roman" w:hAnsi="Times New Roman" w:eastAsia="宋体" w:cs="Times New Roman"/>
                      <w:b w:val="0"/>
                      <w:bCs/>
                      <w:color w:val="auto"/>
                      <w:kern w:val="0"/>
                      <w:sz w:val="18"/>
                      <w:szCs w:val="18"/>
                      <w:highlight w:val="none"/>
                      <w:vertAlign w:val="baseline"/>
                      <w:lang w:eastAsia="zh-CN"/>
                    </w:rPr>
                    <w:t>建筑物外距离</w:t>
                  </w:r>
                </w:p>
              </w:tc>
            </w:tr>
            <w:tr w14:paraId="249924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tcBorders>
                    <w:tl2br w:val="nil"/>
                    <w:tr2bl w:val="nil"/>
                  </w:tcBorders>
                  <w:noWrap w:val="0"/>
                  <w:vAlign w:val="center"/>
                </w:tcPr>
                <w:p w14:paraId="475E0A09">
                  <w:pPr>
                    <w:pStyle w:val="13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kern w:val="2"/>
                      <w:sz w:val="21"/>
                      <w:szCs w:val="21"/>
                      <w:highlight w:val="none"/>
                      <w:lang w:val="en-US" w:eastAsia="zh-CN" w:bidi="ar-SA"/>
                    </w:rPr>
                    <w:t>1</w:t>
                  </w:r>
                </w:p>
              </w:tc>
              <w:tc>
                <w:tcPr>
                  <w:tcW w:w="371" w:type="dxa"/>
                  <w:vMerge w:val="restart"/>
                  <w:tcBorders>
                    <w:tl2br w:val="nil"/>
                    <w:tr2bl w:val="nil"/>
                  </w:tcBorders>
                  <w:noWrap w:val="0"/>
                  <w:vAlign w:val="center"/>
                </w:tcPr>
                <w:p w14:paraId="4950EB65">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拆解车间</w:t>
                  </w:r>
                </w:p>
              </w:tc>
              <w:tc>
                <w:tcPr>
                  <w:tcW w:w="1231" w:type="dxa"/>
                  <w:tcBorders>
                    <w:tl2br w:val="nil"/>
                    <w:tr2bl w:val="nil"/>
                  </w:tcBorders>
                  <w:noWrap w:val="0"/>
                  <w:vAlign w:val="center"/>
                </w:tcPr>
                <w:p w14:paraId="7EA8CD90">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钩机</w:t>
                  </w:r>
                </w:p>
              </w:tc>
              <w:tc>
                <w:tcPr>
                  <w:tcW w:w="420" w:type="dxa"/>
                  <w:tcBorders>
                    <w:tl2br w:val="nil"/>
                    <w:tr2bl w:val="nil"/>
                  </w:tcBorders>
                  <w:noWrap w:val="0"/>
                  <w:vAlign w:val="center"/>
                </w:tcPr>
                <w:p w14:paraId="20A223D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ascii="Times New Roman" w:hAnsi="Times New Roman"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85</w:t>
                  </w:r>
                </w:p>
              </w:tc>
              <w:tc>
                <w:tcPr>
                  <w:tcW w:w="465" w:type="dxa"/>
                  <w:tcBorders>
                    <w:tl2br w:val="nil"/>
                    <w:tr2bl w:val="nil"/>
                  </w:tcBorders>
                  <w:noWrap w:val="0"/>
                  <w:vAlign w:val="center"/>
                </w:tcPr>
                <w:p w14:paraId="58D2A062">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eastAsia"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1</w:t>
                  </w:r>
                </w:p>
              </w:tc>
              <w:tc>
                <w:tcPr>
                  <w:tcW w:w="498" w:type="dxa"/>
                  <w:vMerge w:val="restart"/>
                  <w:tcBorders>
                    <w:tl2br w:val="nil"/>
                    <w:tr2bl w:val="nil"/>
                  </w:tcBorders>
                  <w:noWrap w:val="0"/>
                  <w:vAlign w:val="center"/>
                </w:tcPr>
                <w:p w14:paraId="1372F288">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已选用低噪声设备，加装减震、隔声设施</w:t>
                  </w:r>
                </w:p>
              </w:tc>
              <w:tc>
                <w:tcPr>
                  <w:tcW w:w="510" w:type="dxa"/>
                  <w:tcBorders>
                    <w:tl2br w:val="nil"/>
                    <w:tr2bl w:val="nil"/>
                  </w:tcBorders>
                  <w:noWrap w:val="0"/>
                  <w:vAlign w:val="center"/>
                </w:tcPr>
                <w:p w14:paraId="41C08A46">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-7</w:t>
                  </w:r>
                </w:p>
              </w:tc>
              <w:tc>
                <w:tcPr>
                  <w:tcW w:w="510" w:type="dxa"/>
                  <w:tcBorders>
                    <w:tl2br w:val="nil"/>
                    <w:tr2bl w:val="nil"/>
                  </w:tcBorders>
                  <w:noWrap w:val="0"/>
                  <w:vAlign w:val="center"/>
                </w:tcPr>
                <w:p w14:paraId="12E25667">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11</w:t>
                  </w:r>
                </w:p>
              </w:tc>
              <w:tc>
                <w:tcPr>
                  <w:tcW w:w="510" w:type="dxa"/>
                  <w:tcBorders>
                    <w:tl2br w:val="nil"/>
                    <w:tr2bl w:val="nil"/>
                  </w:tcBorders>
                  <w:noWrap w:val="0"/>
                  <w:vAlign w:val="center"/>
                </w:tcPr>
                <w:p w14:paraId="7E2BB52B">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6</w:t>
                  </w:r>
                </w:p>
              </w:tc>
              <w:tc>
                <w:tcPr>
                  <w:tcW w:w="510" w:type="dxa"/>
                  <w:tcBorders>
                    <w:tl2br w:val="nil"/>
                    <w:tr2bl w:val="nil"/>
                  </w:tcBorders>
                  <w:noWrap w:val="0"/>
                  <w:vAlign w:val="center"/>
                </w:tcPr>
                <w:p w14:paraId="4CB44E34">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8</w:t>
                  </w:r>
                </w:p>
              </w:tc>
              <w:tc>
                <w:tcPr>
                  <w:tcW w:w="510" w:type="dxa"/>
                  <w:tcBorders>
                    <w:tl2br w:val="nil"/>
                    <w:tr2bl w:val="nil"/>
                  </w:tcBorders>
                  <w:noWrap w:val="0"/>
                  <w:vAlign w:val="center"/>
                </w:tcPr>
                <w:p w14:paraId="226A1C72">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61</w:t>
                  </w:r>
                </w:p>
              </w:tc>
              <w:tc>
                <w:tcPr>
                  <w:tcW w:w="510" w:type="dxa"/>
                  <w:vMerge w:val="restart"/>
                  <w:tcBorders>
                    <w:tl2br w:val="nil"/>
                    <w:tr2bl w:val="nil"/>
                  </w:tcBorders>
                  <w:noWrap w:val="0"/>
                  <w:vAlign w:val="center"/>
                </w:tcPr>
                <w:p w14:paraId="35D14492">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2000</w:t>
                  </w:r>
                </w:p>
              </w:tc>
              <w:tc>
                <w:tcPr>
                  <w:tcW w:w="510" w:type="dxa"/>
                  <w:tcBorders>
                    <w:tl2br w:val="nil"/>
                    <w:tr2bl w:val="nil"/>
                  </w:tcBorders>
                  <w:noWrap w:val="0"/>
                  <w:vAlign w:val="center"/>
                </w:tcPr>
                <w:p w14:paraId="67E3B611">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eastAsia" w:ascii="Times New Roman" w:hAnsi="Times New Roman" w:eastAsia="宋体" w:cs="Times New Roman"/>
                      <w:b w:val="0"/>
                      <w:bCs/>
                      <w:color w:val="auto"/>
                      <w:kern w:val="0"/>
                      <w:sz w:val="18"/>
                      <w:szCs w:val="18"/>
                      <w:highlight w:val="none"/>
                      <w:vertAlign w:val="baseline"/>
                      <w:lang w:val="en-US" w:eastAsia="zh-CN"/>
                    </w:rPr>
                    <w:t>20</w:t>
                  </w:r>
                </w:p>
              </w:tc>
              <w:tc>
                <w:tcPr>
                  <w:tcW w:w="510" w:type="dxa"/>
                  <w:tcBorders>
                    <w:tl2br w:val="nil"/>
                    <w:tr2bl w:val="nil"/>
                  </w:tcBorders>
                  <w:noWrap w:val="0"/>
                  <w:vAlign w:val="center"/>
                </w:tcPr>
                <w:p w14:paraId="3EACC3F6">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41</w:t>
                  </w:r>
                </w:p>
              </w:tc>
              <w:tc>
                <w:tcPr>
                  <w:tcW w:w="516" w:type="dxa"/>
                  <w:tcBorders>
                    <w:tl2br w:val="nil"/>
                    <w:tr2bl w:val="nil"/>
                  </w:tcBorders>
                  <w:noWrap w:val="0"/>
                  <w:vAlign w:val="center"/>
                </w:tcPr>
                <w:p w14:paraId="1C4D70EF">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1</w:t>
                  </w:r>
                </w:p>
              </w:tc>
            </w:tr>
            <w:tr w14:paraId="303A77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tcBorders>
                    <w:tl2br w:val="nil"/>
                    <w:tr2bl w:val="nil"/>
                  </w:tcBorders>
                  <w:noWrap w:val="0"/>
                  <w:vAlign w:val="center"/>
                </w:tcPr>
                <w:p w14:paraId="1047D079">
                  <w:pPr>
                    <w:pStyle w:val="13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kern w:val="2"/>
                      <w:sz w:val="21"/>
                      <w:szCs w:val="21"/>
                      <w:highlight w:val="none"/>
                      <w:lang w:val="en-US" w:eastAsia="zh-CN" w:bidi="ar-SA"/>
                    </w:rPr>
                    <w:t>2</w:t>
                  </w:r>
                </w:p>
              </w:tc>
              <w:tc>
                <w:tcPr>
                  <w:tcW w:w="371" w:type="dxa"/>
                  <w:vMerge w:val="continue"/>
                  <w:tcBorders>
                    <w:tl2br w:val="nil"/>
                    <w:tr2bl w:val="nil"/>
                  </w:tcBorders>
                  <w:noWrap w:val="0"/>
                  <w:vAlign w:val="center"/>
                </w:tcPr>
                <w:p w14:paraId="4AA25108">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eastAsia="宋体" w:cs="Times New Roman"/>
                      <w:b w:val="0"/>
                      <w:bCs/>
                      <w:color w:val="auto"/>
                      <w:kern w:val="0"/>
                      <w:sz w:val="18"/>
                      <w:szCs w:val="18"/>
                      <w:highlight w:val="none"/>
                      <w:vertAlign w:val="baseline"/>
                      <w:lang w:eastAsia="zh-CN"/>
                    </w:rPr>
                  </w:pPr>
                </w:p>
              </w:tc>
              <w:tc>
                <w:tcPr>
                  <w:tcW w:w="1231" w:type="dxa"/>
                  <w:tcBorders>
                    <w:tl2br w:val="nil"/>
                    <w:tr2bl w:val="nil"/>
                  </w:tcBorders>
                  <w:noWrap w:val="0"/>
                  <w:vAlign w:val="center"/>
                </w:tcPr>
                <w:p w14:paraId="7B292D03">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打包机</w:t>
                  </w:r>
                </w:p>
              </w:tc>
              <w:tc>
                <w:tcPr>
                  <w:tcW w:w="420" w:type="dxa"/>
                  <w:tcBorders>
                    <w:tl2br w:val="nil"/>
                    <w:tr2bl w:val="nil"/>
                  </w:tcBorders>
                  <w:noWrap w:val="0"/>
                  <w:vAlign w:val="center"/>
                </w:tcPr>
                <w:p w14:paraId="68F0D232">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eastAsia" w:cs="Times New Roman"/>
                      <w:snapToGrid w:val="0"/>
                      <w:color w:val="auto"/>
                      <w:kern w:val="2"/>
                      <w:sz w:val="18"/>
                      <w:szCs w:val="18"/>
                      <w:highlight w:val="none"/>
                      <w:lang w:val="en-US" w:eastAsia="zh-CN" w:bidi="ar-SA"/>
                    </w:rPr>
                    <w:t>80</w:t>
                  </w:r>
                </w:p>
              </w:tc>
              <w:tc>
                <w:tcPr>
                  <w:tcW w:w="465" w:type="dxa"/>
                  <w:tcBorders>
                    <w:tl2br w:val="nil"/>
                    <w:tr2bl w:val="nil"/>
                  </w:tcBorders>
                  <w:noWrap w:val="0"/>
                  <w:vAlign w:val="center"/>
                </w:tcPr>
                <w:p w14:paraId="0AB1498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eastAsia"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1</w:t>
                  </w:r>
                </w:p>
              </w:tc>
              <w:tc>
                <w:tcPr>
                  <w:tcW w:w="498" w:type="dxa"/>
                  <w:vMerge w:val="continue"/>
                  <w:tcBorders>
                    <w:tl2br w:val="nil"/>
                    <w:tr2bl w:val="nil"/>
                  </w:tcBorders>
                  <w:noWrap w:val="0"/>
                  <w:vAlign w:val="center"/>
                </w:tcPr>
                <w:p w14:paraId="415799C6">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510" w:type="dxa"/>
                  <w:tcBorders>
                    <w:tl2br w:val="nil"/>
                    <w:tr2bl w:val="nil"/>
                  </w:tcBorders>
                  <w:noWrap w:val="0"/>
                  <w:vAlign w:val="center"/>
                </w:tcPr>
                <w:p w14:paraId="3F62BDE7">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cs="Times New Roman"/>
                      <w:b w:val="0"/>
                      <w:bCs/>
                      <w:color w:val="auto"/>
                      <w:kern w:val="0"/>
                      <w:sz w:val="18"/>
                      <w:szCs w:val="18"/>
                      <w:highlight w:val="none"/>
                      <w:vertAlign w:val="baseline"/>
                      <w:lang w:val="en-US" w:eastAsia="zh-CN" w:bidi="ar-SA"/>
                    </w:rPr>
                    <w:t>0</w:t>
                  </w:r>
                </w:p>
              </w:tc>
              <w:tc>
                <w:tcPr>
                  <w:tcW w:w="510" w:type="dxa"/>
                  <w:tcBorders>
                    <w:tl2br w:val="nil"/>
                    <w:tr2bl w:val="nil"/>
                  </w:tcBorders>
                  <w:noWrap w:val="0"/>
                  <w:vAlign w:val="center"/>
                </w:tcPr>
                <w:p w14:paraId="3D338981">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cs="Times New Roman"/>
                      <w:b w:val="0"/>
                      <w:bCs/>
                      <w:color w:val="auto"/>
                      <w:kern w:val="0"/>
                      <w:sz w:val="18"/>
                      <w:szCs w:val="18"/>
                      <w:highlight w:val="none"/>
                      <w:vertAlign w:val="baseline"/>
                      <w:lang w:val="en-US" w:eastAsia="zh-CN" w:bidi="ar-SA"/>
                    </w:rPr>
                    <w:t>13</w:t>
                  </w:r>
                </w:p>
              </w:tc>
              <w:tc>
                <w:tcPr>
                  <w:tcW w:w="510" w:type="dxa"/>
                  <w:tcBorders>
                    <w:tl2br w:val="nil"/>
                    <w:tr2bl w:val="nil"/>
                  </w:tcBorders>
                  <w:noWrap w:val="0"/>
                  <w:vAlign w:val="center"/>
                </w:tcPr>
                <w:p w14:paraId="2D9BBCD7">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cs="Times New Roman"/>
                      <w:b w:val="0"/>
                      <w:bCs/>
                      <w:color w:val="auto"/>
                      <w:kern w:val="0"/>
                      <w:sz w:val="18"/>
                      <w:szCs w:val="18"/>
                      <w:highlight w:val="none"/>
                      <w:vertAlign w:val="baseline"/>
                      <w:lang w:val="en-US" w:eastAsia="zh-CN" w:bidi="ar-SA"/>
                    </w:rPr>
                    <w:t>2.5</w:t>
                  </w:r>
                </w:p>
              </w:tc>
              <w:tc>
                <w:tcPr>
                  <w:tcW w:w="510" w:type="dxa"/>
                  <w:tcBorders>
                    <w:tl2br w:val="nil"/>
                    <w:tr2bl w:val="nil"/>
                  </w:tcBorders>
                  <w:noWrap w:val="0"/>
                  <w:vAlign w:val="center"/>
                </w:tcPr>
                <w:p w14:paraId="32BC4160">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cs="Times New Roman"/>
                      <w:b w:val="0"/>
                      <w:bCs/>
                      <w:color w:val="auto"/>
                      <w:kern w:val="0"/>
                      <w:sz w:val="18"/>
                      <w:szCs w:val="18"/>
                      <w:highlight w:val="none"/>
                      <w:vertAlign w:val="baseline"/>
                      <w:lang w:val="en-US" w:eastAsia="zh-CN" w:bidi="ar-SA"/>
                    </w:rPr>
                    <w:t>3</w:t>
                  </w:r>
                </w:p>
              </w:tc>
              <w:tc>
                <w:tcPr>
                  <w:tcW w:w="510" w:type="dxa"/>
                  <w:tcBorders>
                    <w:tl2br w:val="nil"/>
                    <w:tr2bl w:val="nil"/>
                  </w:tcBorders>
                  <w:noWrap w:val="0"/>
                  <w:vAlign w:val="center"/>
                </w:tcPr>
                <w:p w14:paraId="50F11295">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75</w:t>
                  </w:r>
                </w:p>
              </w:tc>
              <w:tc>
                <w:tcPr>
                  <w:tcW w:w="510" w:type="dxa"/>
                  <w:vMerge w:val="continue"/>
                  <w:tcBorders>
                    <w:tl2br w:val="nil"/>
                    <w:tr2bl w:val="nil"/>
                  </w:tcBorders>
                  <w:noWrap w:val="0"/>
                  <w:vAlign w:val="center"/>
                </w:tcPr>
                <w:p w14:paraId="5BC7E5A3">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510" w:type="dxa"/>
                  <w:tcBorders>
                    <w:tl2br w:val="nil"/>
                    <w:tr2bl w:val="nil"/>
                  </w:tcBorders>
                  <w:noWrap w:val="0"/>
                  <w:vAlign w:val="center"/>
                </w:tcPr>
                <w:p w14:paraId="61B87D5C">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rPr>
                    <w:t>20</w:t>
                  </w:r>
                </w:p>
              </w:tc>
              <w:tc>
                <w:tcPr>
                  <w:tcW w:w="510" w:type="dxa"/>
                  <w:tcBorders>
                    <w:tl2br w:val="nil"/>
                    <w:tr2bl w:val="nil"/>
                  </w:tcBorders>
                  <w:noWrap w:val="0"/>
                  <w:vAlign w:val="center"/>
                </w:tcPr>
                <w:p w14:paraId="79EA0820">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cs="Times New Roman"/>
                      <w:b w:val="0"/>
                      <w:bCs/>
                      <w:color w:val="auto"/>
                      <w:kern w:val="0"/>
                      <w:sz w:val="18"/>
                      <w:szCs w:val="18"/>
                      <w:highlight w:val="none"/>
                      <w:vertAlign w:val="baseline"/>
                      <w:lang w:val="en-US" w:eastAsia="zh-CN" w:bidi="ar-SA"/>
                    </w:rPr>
                    <w:t>55</w:t>
                  </w:r>
                </w:p>
              </w:tc>
              <w:tc>
                <w:tcPr>
                  <w:tcW w:w="516" w:type="dxa"/>
                  <w:tcBorders>
                    <w:tl2br w:val="nil"/>
                    <w:tr2bl w:val="nil"/>
                  </w:tcBorders>
                  <w:noWrap w:val="0"/>
                  <w:vAlign w:val="center"/>
                </w:tcPr>
                <w:p w14:paraId="4EB3D3F6">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cs="Times New Roman"/>
                      <w:b w:val="0"/>
                      <w:bCs/>
                      <w:color w:val="auto"/>
                      <w:kern w:val="0"/>
                      <w:sz w:val="18"/>
                      <w:szCs w:val="18"/>
                      <w:highlight w:val="none"/>
                      <w:vertAlign w:val="baseline"/>
                      <w:lang w:val="en-US" w:eastAsia="zh-CN"/>
                    </w:rPr>
                    <w:t>1</w:t>
                  </w:r>
                </w:p>
              </w:tc>
            </w:tr>
            <w:tr w14:paraId="0AD878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tcBorders>
                    <w:tl2br w:val="nil"/>
                    <w:tr2bl w:val="nil"/>
                  </w:tcBorders>
                  <w:noWrap w:val="0"/>
                  <w:vAlign w:val="center"/>
                </w:tcPr>
                <w:p w14:paraId="40A4910E">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eastAsia="宋体" w:cs="Times New Roman"/>
                      <w:smallCaps w:val="0"/>
                      <w:color w:val="auto"/>
                      <w:kern w:val="2"/>
                      <w:sz w:val="21"/>
                      <w:szCs w:val="21"/>
                      <w:highlight w:val="none"/>
                      <w:lang w:val="en-US" w:eastAsia="zh-CN" w:bidi="ar-SA"/>
                    </w:rPr>
                  </w:pPr>
                  <w:r>
                    <w:rPr>
                      <w:rFonts w:hint="default" w:ascii="Times New Roman" w:hAnsi="Times New Roman" w:eastAsia="宋体" w:cs="Times New Roman"/>
                      <w:smallCaps w:val="0"/>
                      <w:color w:val="auto"/>
                      <w:kern w:val="2"/>
                      <w:sz w:val="21"/>
                      <w:szCs w:val="21"/>
                      <w:highlight w:val="none"/>
                      <w:lang w:val="en-US" w:eastAsia="zh-CN" w:bidi="ar-SA"/>
                    </w:rPr>
                    <w:t>3</w:t>
                  </w:r>
                </w:p>
              </w:tc>
              <w:tc>
                <w:tcPr>
                  <w:tcW w:w="371" w:type="dxa"/>
                  <w:vMerge w:val="continue"/>
                  <w:tcBorders>
                    <w:tl2br w:val="nil"/>
                    <w:tr2bl w:val="nil"/>
                  </w:tcBorders>
                  <w:noWrap w:val="0"/>
                  <w:vAlign w:val="center"/>
                </w:tcPr>
                <w:p w14:paraId="47B1704C">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eastAsia="宋体" w:cs="Times New Roman"/>
                      <w:b w:val="0"/>
                      <w:bCs/>
                      <w:color w:val="auto"/>
                      <w:kern w:val="0"/>
                      <w:sz w:val="18"/>
                      <w:szCs w:val="18"/>
                      <w:highlight w:val="none"/>
                      <w:vertAlign w:val="baseline"/>
                      <w:lang w:eastAsia="zh-CN"/>
                    </w:rPr>
                  </w:pPr>
                </w:p>
              </w:tc>
              <w:tc>
                <w:tcPr>
                  <w:tcW w:w="1231" w:type="dxa"/>
                  <w:tcBorders>
                    <w:tl2br w:val="nil"/>
                    <w:tr2bl w:val="nil"/>
                  </w:tcBorders>
                  <w:noWrap w:val="0"/>
                  <w:vAlign w:val="center"/>
                </w:tcPr>
                <w:p w14:paraId="665CB2ED">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压块机</w:t>
                  </w:r>
                </w:p>
              </w:tc>
              <w:tc>
                <w:tcPr>
                  <w:tcW w:w="420" w:type="dxa"/>
                  <w:tcBorders>
                    <w:tl2br w:val="nil"/>
                    <w:tr2bl w:val="nil"/>
                  </w:tcBorders>
                  <w:noWrap w:val="0"/>
                  <w:vAlign w:val="center"/>
                </w:tcPr>
                <w:p w14:paraId="00D71090">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85</w:t>
                  </w:r>
                </w:p>
              </w:tc>
              <w:tc>
                <w:tcPr>
                  <w:tcW w:w="465" w:type="dxa"/>
                  <w:tcBorders>
                    <w:tl2br w:val="nil"/>
                    <w:tr2bl w:val="nil"/>
                  </w:tcBorders>
                  <w:noWrap w:val="0"/>
                  <w:vAlign w:val="center"/>
                </w:tcPr>
                <w:p w14:paraId="76C5BFA2">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1</w:t>
                  </w:r>
                </w:p>
              </w:tc>
              <w:tc>
                <w:tcPr>
                  <w:tcW w:w="498" w:type="dxa"/>
                  <w:vMerge w:val="continue"/>
                  <w:tcBorders>
                    <w:tl2br w:val="nil"/>
                    <w:tr2bl w:val="nil"/>
                  </w:tcBorders>
                  <w:noWrap w:val="0"/>
                  <w:vAlign w:val="center"/>
                </w:tcPr>
                <w:p w14:paraId="18BCC5F7">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510" w:type="dxa"/>
                  <w:tcBorders>
                    <w:tl2br w:val="nil"/>
                    <w:tr2bl w:val="nil"/>
                  </w:tcBorders>
                  <w:noWrap w:val="0"/>
                  <w:vAlign w:val="center"/>
                </w:tcPr>
                <w:p w14:paraId="331352CA">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-3</w:t>
                  </w:r>
                </w:p>
              </w:tc>
              <w:tc>
                <w:tcPr>
                  <w:tcW w:w="510" w:type="dxa"/>
                  <w:tcBorders>
                    <w:tl2br w:val="nil"/>
                    <w:tr2bl w:val="nil"/>
                  </w:tcBorders>
                  <w:noWrap w:val="0"/>
                  <w:vAlign w:val="center"/>
                </w:tcPr>
                <w:p w14:paraId="1B86F5A1">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6</w:t>
                  </w:r>
                </w:p>
              </w:tc>
              <w:tc>
                <w:tcPr>
                  <w:tcW w:w="510" w:type="dxa"/>
                  <w:tcBorders>
                    <w:tl2br w:val="nil"/>
                    <w:tr2bl w:val="nil"/>
                  </w:tcBorders>
                  <w:shd w:val="clear" w:color="auto" w:fill="auto"/>
                  <w:noWrap w:val="0"/>
                  <w:vAlign w:val="center"/>
                </w:tcPr>
                <w:p w14:paraId="3362C948">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cs="Times New Roman"/>
                      <w:b w:val="0"/>
                      <w:bCs/>
                      <w:color w:val="auto"/>
                      <w:kern w:val="0"/>
                      <w:sz w:val="18"/>
                      <w:szCs w:val="18"/>
                      <w:highlight w:val="none"/>
                      <w:vertAlign w:val="baseline"/>
                      <w:lang w:val="en-US" w:eastAsia="zh-CN" w:bidi="ar-SA"/>
                    </w:rPr>
                    <w:t>2.5</w:t>
                  </w:r>
                </w:p>
              </w:tc>
              <w:tc>
                <w:tcPr>
                  <w:tcW w:w="510" w:type="dxa"/>
                  <w:tcBorders>
                    <w:tl2br w:val="nil"/>
                    <w:tr2bl w:val="nil"/>
                  </w:tcBorders>
                  <w:noWrap w:val="0"/>
                  <w:vAlign w:val="center"/>
                </w:tcPr>
                <w:p w14:paraId="5B473124">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3</w:t>
                  </w:r>
                </w:p>
              </w:tc>
              <w:tc>
                <w:tcPr>
                  <w:tcW w:w="510" w:type="dxa"/>
                  <w:tcBorders>
                    <w:tl2br w:val="nil"/>
                    <w:tr2bl w:val="nil"/>
                  </w:tcBorders>
                  <w:noWrap w:val="0"/>
                  <w:vAlign w:val="center"/>
                </w:tcPr>
                <w:p w14:paraId="1D21AD82">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81</w:t>
                  </w:r>
                </w:p>
              </w:tc>
              <w:tc>
                <w:tcPr>
                  <w:tcW w:w="510" w:type="dxa"/>
                  <w:vMerge w:val="continue"/>
                  <w:tcBorders>
                    <w:tl2br w:val="nil"/>
                    <w:tr2bl w:val="nil"/>
                  </w:tcBorders>
                  <w:noWrap w:val="0"/>
                  <w:vAlign w:val="center"/>
                </w:tcPr>
                <w:p w14:paraId="01D9A568">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510" w:type="dxa"/>
                  <w:tcBorders>
                    <w:tl2br w:val="nil"/>
                    <w:tr2bl w:val="nil"/>
                  </w:tcBorders>
                  <w:noWrap w:val="0"/>
                  <w:vAlign w:val="center"/>
                </w:tcPr>
                <w:p w14:paraId="37608507">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eastAsia="宋体" w:cs="Times New Roman"/>
                      <w:b w:val="0"/>
                      <w:bCs/>
                      <w:color w:val="auto"/>
                      <w:kern w:val="0"/>
                      <w:sz w:val="18"/>
                      <w:szCs w:val="18"/>
                      <w:highlight w:val="none"/>
                      <w:vertAlign w:val="baseline"/>
                      <w:lang w:val="en-US" w:eastAsia="zh-CN"/>
                    </w:rPr>
                  </w:pPr>
                  <w:r>
                    <w:rPr>
                      <w:rFonts w:hint="eastAsia" w:ascii="Times New Roman" w:hAnsi="Times New Roman" w:eastAsia="宋体" w:cs="Times New Roman"/>
                      <w:b w:val="0"/>
                      <w:bCs/>
                      <w:color w:val="auto"/>
                      <w:kern w:val="0"/>
                      <w:sz w:val="18"/>
                      <w:szCs w:val="18"/>
                      <w:highlight w:val="none"/>
                      <w:vertAlign w:val="baseline"/>
                      <w:lang w:val="en-US" w:eastAsia="zh-CN"/>
                    </w:rPr>
                    <w:t>20</w:t>
                  </w:r>
                </w:p>
              </w:tc>
              <w:tc>
                <w:tcPr>
                  <w:tcW w:w="510" w:type="dxa"/>
                  <w:tcBorders>
                    <w:tl2br w:val="nil"/>
                    <w:tr2bl w:val="nil"/>
                  </w:tcBorders>
                  <w:noWrap w:val="0"/>
                  <w:vAlign w:val="center"/>
                </w:tcPr>
                <w:p w14:paraId="0A504FB5">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61</w:t>
                  </w:r>
                </w:p>
              </w:tc>
              <w:tc>
                <w:tcPr>
                  <w:tcW w:w="516" w:type="dxa"/>
                  <w:tcBorders>
                    <w:tl2br w:val="nil"/>
                    <w:tr2bl w:val="nil"/>
                  </w:tcBorders>
                  <w:noWrap w:val="0"/>
                  <w:vAlign w:val="center"/>
                </w:tcPr>
                <w:p w14:paraId="3129B242">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eastAsia="宋体"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1</w:t>
                  </w:r>
                </w:p>
              </w:tc>
            </w:tr>
            <w:tr w14:paraId="74BF76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tcBorders>
                    <w:tl2br w:val="nil"/>
                    <w:tr2bl w:val="nil"/>
                  </w:tcBorders>
                  <w:noWrap w:val="0"/>
                  <w:vAlign w:val="center"/>
                </w:tcPr>
                <w:p w14:paraId="6F26D637">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kern w:val="2"/>
                      <w:sz w:val="21"/>
                      <w:szCs w:val="21"/>
                      <w:highlight w:val="none"/>
                      <w:lang w:val="en-US" w:eastAsia="zh-CN" w:bidi="ar-SA"/>
                    </w:rPr>
                    <w:t>4</w:t>
                  </w:r>
                </w:p>
              </w:tc>
              <w:tc>
                <w:tcPr>
                  <w:tcW w:w="371" w:type="dxa"/>
                  <w:vMerge w:val="continue"/>
                  <w:tcBorders>
                    <w:tl2br w:val="nil"/>
                    <w:tr2bl w:val="nil"/>
                  </w:tcBorders>
                  <w:noWrap w:val="0"/>
                  <w:vAlign w:val="center"/>
                </w:tcPr>
                <w:p w14:paraId="7E913380">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eastAsia="宋体" w:cs="Times New Roman"/>
                      <w:b w:val="0"/>
                      <w:bCs/>
                      <w:color w:val="auto"/>
                      <w:kern w:val="0"/>
                      <w:sz w:val="18"/>
                      <w:szCs w:val="18"/>
                      <w:highlight w:val="none"/>
                      <w:vertAlign w:val="baseline"/>
                      <w:lang w:eastAsia="zh-CN"/>
                    </w:rPr>
                  </w:pPr>
                </w:p>
              </w:tc>
              <w:tc>
                <w:tcPr>
                  <w:tcW w:w="1231" w:type="dxa"/>
                  <w:tcBorders>
                    <w:tl2br w:val="nil"/>
                    <w:tr2bl w:val="nil"/>
                  </w:tcBorders>
                  <w:noWrap w:val="0"/>
                  <w:vAlign w:val="center"/>
                </w:tcPr>
                <w:p w14:paraId="33DA720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剪切机</w:t>
                  </w:r>
                </w:p>
              </w:tc>
              <w:tc>
                <w:tcPr>
                  <w:tcW w:w="420" w:type="dxa"/>
                  <w:tcBorders>
                    <w:tl2br w:val="nil"/>
                    <w:tr2bl w:val="nil"/>
                  </w:tcBorders>
                  <w:noWrap w:val="0"/>
                  <w:vAlign w:val="center"/>
                </w:tcPr>
                <w:p w14:paraId="1E58D9E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85</w:t>
                  </w:r>
                </w:p>
              </w:tc>
              <w:tc>
                <w:tcPr>
                  <w:tcW w:w="465" w:type="dxa"/>
                  <w:tcBorders>
                    <w:tl2br w:val="nil"/>
                    <w:tr2bl w:val="nil"/>
                  </w:tcBorders>
                  <w:noWrap w:val="0"/>
                  <w:vAlign w:val="center"/>
                </w:tcPr>
                <w:p w14:paraId="448AA41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1</w:t>
                  </w:r>
                </w:p>
              </w:tc>
              <w:tc>
                <w:tcPr>
                  <w:tcW w:w="498" w:type="dxa"/>
                  <w:vMerge w:val="continue"/>
                  <w:tcBorders>
                    <w:tl2br w:val="nil"/>
                    <w:tr2bl w:val="nil"/>
                  </w:tcBorders>
                  <w:noWrap w:val="0"/>
                  <w:vAlign w:val="center"/>
                </w:tcPr>
                <w:p w14:paraId="4FD2ED7F">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510" w:type="dxa"/>
                  <w:tcBorders>
                    <w:tl2br w:val="nil"/>
                    <w:tr2bl w:val="nil"/>
                  </w:tcBorders>
                  <w:noWrap w:val="0"/>
                  <w:vAlign w:val="center"/>
                </w:tcPr>
                <w:p w14:paraId="67D6EEC7">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-13</w:t>
                  </w:r>
                </w:p>
              </w:tc>
              <w:tc>
                <w:tcPr>
                  <w:tcW w:w="510" w:type="dxa"/>
                  <w:tcBorders>
                    <w:tl2br w:val="nil"/>
                    <w:tr2bl w:val="nil"/>
                  </w:tcBorders>
                  <w:noWrap w:val="0"/>
                  <w:vAlign w:val="center"/>
                </w:tcPr>
                <w:p w14:paraId="1854B5DC">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6</w:t>
                  </w:r>
                </w:p>
              </w:tc>
              <w:tc>
                <w:tcPr>
                  <w:tcW w:w="510" w:type="dxa"/>
                  <w:tcBorders>
                    <w:tl2br w:val="nil"/>
                    <w:tr2bl w:val="nil"/>
                  </w:tcBorders>
                  <w:noWrap w:val="0"/>
                  <w:vAlign w:val="center"/>
                </w:tcPr>
                <w:p w14:paraId="08330552">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1.5</w:t>
                  </w:r>
                </w:p>
              </w:tc>
              <w:tc>
                <w:tcPr>
                  <w:tcW w:w="510" w:type="dxa"/>
                  <w:tcBorders>
                    <w:tl2br w:val="nil"/>
                    <w:tr2bl w:val="nil"/>
                  </w:tcBorders>
                  <w:noWrap w:val="0"/>
                  <w:vAlign w:val="center"/>
                </w:tcPr>
                <w:p w14:paraId="5B447A89">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2</w:t>
                  </w:r>
                </w:p>
              </w:tc>
              <w:tc>
                <w:tcPr>
                  <w:tcW w:w="510" w:type="dxa"/>
                  <w:tcBorders>
                    <w:tl2br w:val="nil"/>
                    <w:tr2bl w:val="nil"/>
                  </w:tcBorders>
                  <w:noWrap w:val="0"/>
                  <w:vAlign w:val="center"/>
                </w:tcPr>
                <w:p w14:paraId="73E929D6">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cs="Times New Roman"/>
                      <w:b w:val="0"/>
                      <w:bCs/>
                      <w:color w:val="auto"/>
                      <w:kern w:val="0"/>
                      <w:sz w:val="18"/>
                      <w:szCs w:val="18"/>
                      <w:highlight w:val="none"/>
                      <w:vertAlign w:val="baseline"/>
                      <w:lang w:val="en-US" w:eastAsia="zh-CN" w:bidi="ar-SA"/>
                    </w:rPr>
                    <w:t>84</w:t>
                  </w:r>
                </w:p>
              </w:tc>
              <w:tc>
                <w:tcPr>
                  <w:tcW w:w="510" w:type="dxa"/>
                  <w:vMerge w:val="continue"/>
                  <w:tcBorders>
                    <w:tl2br w:val="nil"/>
                    <w:tr2bl w:val="nil"/>
                  </w:tcBorders>
                  <w:noWrap w:val="0"/>
                  <w:vAlign w:val="center"/>
                </w:tcPr>
                <w:p w14:paraId="445D9B3C">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510" w:type="dxa"/>
                  <w:tcBorders>
                    <w:tl2br w:val="nil"/>
                    <w:tr2bl w:val="nil"/>
                  </w:tcBorders>
                  <w:noWrap w:val="0"/>
                  <w:vAlign w:val="center"/>
                </w:tcPr>
                <w:p w14:paraId="234C08F1">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20</w:t>
                  </w:r>
                </w:p>
              </w:tc>
              <w:tc>
                <w:tcPr>
                  <w:tcW w:w="510" w:type="dxa"/>
                  <w:tcBorders>
                    <w:tl2br w:val="nil"/>
                    <w:tr2bl w:val="nil"/>
                  </w:tcBorders>
                  <w:noWrap w:val="0"/>
                  <w:vAlign w:val="center"/>
                </w:tcPr>
                <w:p w14:paraId="0FEBEFEA">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64</w:t>
                  </w:r>
                </w:p>
              </w:tc>
              <w:tc>
                <w:tcPr>
                  <w:tcW w:w="516" w:type="dxa"/>
                  <w:tcBorders>
                    <w:tl2br w:val="nil"/>
                    <w:tr2bl w:val="nil"/>
                  </w:tcBorders>
                  <w:noWrap w:val="0"/>
                  <w:vAlign w:val="center"/>
                </w:tcPr>
                <w:p w14:paraId="2B5CE5F6">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w:t>
                  </w:r>
                </w:p>
              </w:tc>
            </w:tr>
            <w:tr w14:paraId="2EAB25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tcBorders>
                    <w:tl2br w:val="nil"/>
                    <w:tr2bl w:val="nil"/>
                  </w:tcBorders>
                  <w:noWrap w:val="0"/>
                  <w:vAlign w:val="center"/>
                </w:tcPr>
                <w:p w14:paraId="7A536A76">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kern w:val="2"/>
                      <w:sz w:val="21"/>
                      <w:szCs w:val="21"/>
                      <w:highlight w:val="none"/>
                      <w:lang w:val="en-US" w:eastAsia="zh-CN" w:bidi="ar-SA"/>
                    </w:rPr>
                    <w:t>5</w:t>
                  </w:r>
                </w:p>
              </w:tc>
              <w:tc>
                <w:tcPr>
                  <w:tcW w:w="371" w:type="dxa"/>
                  <w:vMerge w:val="continue"/>
                  <w:tcBorders>
                    <w:tl2br w:val="nil"/>
                    <w:tr2bl w:val="nil"/>
                  </w:tcBorders>
                  <w:noWrap w:val="0"/>
                  <w:vAlign w:val="center"/>
                </w:tcPr>
                <w:p w14:paraId="2E93D232">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eastAsia="宋体" w:cs="Times New Roman"/>
                      <w:b w:val="0"/>
                      <w:bCs/>
                      <w:color w:val="auto"/>
                      <w:kern w:val="0"/>
                      <w:sz w:val="18"/>
                      <w:szCs w:val="18"/>
                      <w:highlight w:val="none"/>
                      <w:vertAlign w:val="baseline"/>
                      <w:lang w:eastAsia="zh-CN"/>
                    </w:rPr>
                  </w:pPr>
                </w:p>
              </w:tc>
              <w:tc>
                <w:tcPr>
                  <w:tcW w:w="1231" w:type="dxa"/>
                  <w:tcBorders>
                    <w:tl2br w:val="nil"/>
                    <w:tr2bl w:val="nil"/>
                  </w:tcBorders>
                  <w:noWrap w:val="0"/>
                  <w:vAlign w:val="center"/>
                </w:tcPr>
                <w:p w14:paraId="5A1A5BE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剪切机</w:t>
                  </w:r>
                </w:p>
              </w:tc>
              <w:tc>
                <w:tcPr>
                  <w:tcW w:w="420" w:type="dxa"/>
                  <w:tcBorders>
                    <w:tl2br w:val="nil"/>
                    <w:tr2bl w:val="nil"/>
                  </w:tcBorders>
                  <w:noWrap w:val="0"/>
                  <w:vAlign w:val="center"/>
                </w:tcPr>
                <w:p w14:paraId="56045260">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85</w:t>
                  </w:r>
                </w:p>
              </w:tc>
              <w:tc>
                <w:tcPr>
                  <w:tcW w:w="465" w:type="dxa"/>
                  <w:tcBorders>
                    <w:tl2br w:val="nil"/>
                    <w:tr2bl w:val="nil"/>
                  </w:tcBorders>
                  <w:noWrap w:val="0"/>
                  <w:vAlign w:val="center"/>
                </w:tcPr>
                <w:p w14:paraId="49DDF10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1</w:t>
                  </w:r>
                </w:p>
              </w:tc>
              <w:tc>
                <w:tcPr>
                  <w:tcW w:w="498" w:type="dxa"/>
                  <w:vMerge w:val="continue"/>
                  <w:tcBorders>
                    <w:tl2br w:val="nil"/>
                    <w:tr2bl w:val="nil"/>
                  </w:tcBorders>
                  <w:noWrap w:val="0"/>
                  <w:vAlign w:val="center"/>
                </w:tcPr>
                <w:p w14:paraId="01C4DD98">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510" w:type="dxa"/>
                  <w:tcBorders>
                    <w:tl2br w:val="nil"/>
                    <w:tr2bl w:val="nil"/>
                  </w:tcBorders>
                  <w:noWrap w:val="0"/>
                  <w:vAlign w:val="center"/>
                </w:tcPr>
                <w:p w14:paraId="27C83DBB">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-13</w:t>
                  </w:r>
                </w:p>
              </w:tc>
              <w:tc>
                <w:tcPr>
                  <w:tcW w:w="510" w:type="dxa"/>
                  <w:tcBorders>
                    <w:tl2br w:val="nil"/>
                    <w:tr2bl w:val="nil"/>
                  </w:tcBorders>
                  <w:noWrap w:val="0"/>
                  <w:vAlign w:val="center"/>
                </w:tcPr>
                <w:p w14:paraId="06E329F4">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4</w:t>
                  </w:r>
                </w:p>
              </w:tc>
              <w:tc>
                <w:tcPr>
                  <w:tcW w:w="510" w:type="dxa"/>
                  <w:tcBorders>
                    <w:tl2br w:val="nil"/>
                    <w:tr2bl w:val="nil"/>
                  </w:tcBorders>
                  <w:noWrap w:val="0"/>
                  <w:vAlign w:val="center"/>
                </w:tcPr>
                <w:p w14:paraId="77AA249F">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1.5</w:t>
                  </w:r>
                </w:p>
              </w:tc>
              <w:tc>
                <w:tcPr>
                  <w:tcW w:w="510" w:type="dxa"/>
                  <w:tcBorders>
                    <w:tl2br w:val="nil"/>
                    <w:tr2bl w:val="nil"/>
                  </w:tcBorders>
                  <w:noWrap w:val="0"/>
                  <w:vAlign w:val="center"/>
                </w:tcPr>
                <w:p w14:paraId="57C30388">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2</w:t>
                  </w:r>
                </w:p>
              </w:tc>
              <w:tc>
                <w:tcPr>
                  <w:tcW w:w="510" w:type="dxa"/>
                  <w:tcBorders>
                    <w:tl2br w:val="nil"/>
                    <w:tr2bl w:val="nil"/>
                  </w:tcBorders>
                  <w:noWrap w:val="0"/>
                  <w:vAlign w:val="center"/>
                </w:tcPr>
                <w:p w14:paraId="4298D175">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cs="Times New Roman"/>
                      <w:b w:val="0"/>
                      <w:bCs/>
                      <w:color w:val="auto"/>
                      <w:kern w:val="0"/>
                      <w:sz w:val="18"/>
                      <w:szCs w:val="18"/>
                      <w:highlight w:val="none"/>
                      <w:vertAlign w:val="baseline"/>
                      <w:lang w:val="en-US" w:eastAsia="zh-CN" w:bidi="ar-SA"/>
                    </w:rPr>
                    <w:t>84</w:t>
                  </w:r>
                </w:p>
              </w:tc>
              <w:tc>
                <w:tcPr>
                  <w:tcW w:w="510" w:type="dxa"/>
                  <w:vMerge w:val="continue"/>
                  <w:tcBorders>
                    <w:tl2br w:val="nil"/>
                    <w:tr2bl w:val="nil"/>
                  </w:tcBorders>
                  <w:noWrap w:val="0"/>
                  <w:vAlign w:val="center"/>
                </w:tcPr>
                <w:p w14:paraId="087732D1">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510" w:type="dxa"/>
                  <w:tcBorders>
                    <w:tl2br w:val="nil"/>
                    <w:tr2bl w:val="nil"/>
                  </w:tcBorders>
                  <w:noWrap w:val="0"/>
                  <w:vAlign w:val="center"/>
                </w:tcPr>
                <w:p w14:paraId="6C93167C">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20</w:t>
                  </w:r>
                </w:p>
              </w:tc>
              <w:tc>
                <w:tcPr>
                  <w:tcW w:w="510" w:type="dxa"/>
                  <w:tcBorders>
                    <w:tl2br w:val="nil"/>
                    <w:tr2bl w:val="nil"/>
                  </w:tcBorders>
                  <w:noWrap w:val="0"/>
                  <w:vAlign w:val="center"/>
                </w:tcPr>
                <w:p w14:paraId="4859E49F">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64</w:t>
                  </w:r>
                </w:p>
              </w:tc>
              <w:tc>
                <w:tcPr>
                  <w:tcW w:w="516" w:type="dxa"/>
                  <w:tcBorders>
                    <w:tl2br w:val="nil"/>
                    <w:tr2bl w:val="nil"/>
                  </w:tcBorders>
                  <w:noWrap w:val="0"/>
                  <w:vAlign w:val="center"/>
                </w:tcPr>
                <w:p w14:paraId="5BDD65DB">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w:t>
                  </w:r>
                </w:p>
              </w:tc>
            </w:tr>
            <w:tr w14:paraId="27A71C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tcBorders>
                    <w:tl2br w:val="nil"/>
                    <w:tr2bl w:val="nil"/>
                  </w:tcBorders>
                  <w:noWrap w:val="0"/>
                  <w:vAlign w:val="center"/>
                </w:tcPr>
                <w:p w14:paraId="01222383">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kern w:val="2"/>
                      <w:sz w:val="21"/>
                      <w:szCs w:val="21"/>
                      <w:highlight w:val="none"/>
                      <w:lang w:val="en-US" w:eastAsia="zh-CN" w:bidi="ar-SA"/>
                    </w:rPr>
                    <w:t>6</w:t>
                  </w:r>
                </w:p>
              </w:tc>
              <w:tc>
                <w:tcPr>
                  <w:tcW w:w="371" w:type="dxa"/>
                  <w:vMerge w:val="continue"/>
                  <w:tcBorders>
                    <w:tl2br w:val="nil"/>
                    <w:tr2bl w:val="nil"/>
                  </w:tcBorders>
                  <w:noWrap w:val="0"/>
                  <w:vAlign w:val="center"/>
                </w:tcPr>
                <w:p w14:paraId="302A295B">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eastAsia="宋体" w:cs="Times New Roman"/>
                      <w:b w:val="0"/>
                      <w:bCs/>
                      <w:color w:val="auto"/>
                      <w:kern w:val="0"/>
                      <w:sz w:val="18"/>
                      <w:szCs w:val="18"/>
                      <w:highlight w:val="none"/>
                      <w:vertAlign w:val="baseline"/>
                      <w:lang w:eastAsia="zh-CN"/>
                    </w:rPr>
                  </w:pPr>
                </w:p>
              </w:tc>
              <w:tc>
                <w:tcPr>
                  <w:tcW w:w="1231" w:type="dxa"/>
                  <w:tcBorders>
                    <w:tl2br w:val="nil"/>
                    <w:tr2bl w:val="nil"/>
                  </w:tcBorders>
                  <w:noWrap w:val="0"/>
                  <w:vAlign w:val="center"/>
                </w:tcPr>
                <w:p w14:paraId="0D44329E">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剪切机</w:t>
                  </w:r>
                </w:p>
              </w:tc>
              <w:tc>
                <w:tcPr>
                  <w:tcW w:w="420" w:type="dxa"/>
                  <w:tcBorders>
                    <w:tl2br w:val="nil"/>
                    <w:tr2bl w:val="nil"/>
                  </w:tcBorders>
                  <w:noWrap w:val="0"/>
                  <w:vAlign w:val="center"/>
                </w:tcPr>
                <w:p w14:paraId="40AE759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eastAsia"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85</w:t>
                  </w:r>
                </w:p>
              </w:tc>
              <w:tc>
                <w:tcPr>
                  <w:tcW w:w="465" w:type="dxa"/>
                  <w:tcBorders>
                    <w:tl2br w:val="nil"/>
                    <w:tr2bl w:val="nil"/>
                  </w:tcBorders>
                  <w:noWrap w:val="0"/>
                  <w:vAlign w:val="center"/>
                </w:tcPr>
                <w:p w14:paraId="50302B0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eastAsia"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1</w:t>
                  </w:r>
                </w:p>
              </w:tc>
              <w:tc>
                <w:tcPr>
                  <w:tcW w:w="498" w:type="dxa"/>
                  <w:vMerge w:val="continue"/>
                  <w:tcBorders>
                    <w:tl2br w:val="nil"/>
                    <w:tr2bl w:val="nil"/>
                  </w:tcBorders>
                  <w:noWrap w:val="0"/>
                  <w:vAlign w:val="center"/>
                </w:tcPr>
                <w:p w14:paraId="5A7009DB">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510" w:type="dxa"/>
                  <w:tcBorders>
                    <w:tl2br w:val="nil"/>
                    <w:tr2bl w:val="nil"/>
                  </w:tcBorders>
                  <w:noWrap w:val="0"/>
                  <w:vAlign w:val="center"/>
                </w:tcPr>
                <w:p w14:paraId="10839880">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-11</w:t>
                  </w:r>
                </w:p>
              </w:tc>
              <w:tc>
                <w:tcPr>
                  <w:tcW w:w="510" w:type="dxa"/>
                  <w:tcBorders>
                    <w:tl2br w:val="nil"/>
                    <w:tr2bl w:val="nil"/>
                  </w:tcBorders>
                  <w:noWrap w:val="0"/>
                  <w:vAlign w:val="center"/>
                </w:tcPr>
                <w:p w14:paraId="6356EBDF">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6</w:t>
                  </w:r>
                </w:p>
              </w:tc>
              <w:tc>
                <w:tcPr>
                  <w:tcW w:w="510" w:type="dxa"/>
                  <w:tcBorders>
                    <w:tl2br w:val="nil"/>
                    <w:tr2bl w:val="nil"/>
                  </w:tcBorders>
                  <w:noWrap w:val="0"/>
                  <w:vAlign w:val="center"/>
                </w:tcPr>
                <w:p w14:paraId="7F0419D5">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1.5</w:t>
                  </w:r>
                </w:p>
              </w:tc>
              <w:tc>
                <w:tcPr>
                  <w:tcW w:w="510" w:type="dxa"/>
                  <w:tcBorders>
                    <w:tl2br w:val="nil"/>
                    <w:tr2bl w:val="nil"/>
                  </w:tcBorders>
                  <w:noWrap w:val="0"/>
                  <w:vAlign w:val="center"/>
                </w:tcPr>
                <w:p w14:paraId="27310327">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5</w:t>
                  </w:r>
                </w:p>
              </w:tc>
              <w:tc>
                <w:tcPr>
                  <w:tcW w:w="510" w:type="dxa"/>
                  <w:tcBorders>
                    <w:tl2br w:val="nil"/>
                    <w:tr2bl w:val="nil"/>
                  </w:tcBorders>
                  <w:noWrap w:val="0"/>
                  <w:vAlign w:val="center"/>
                </w:tcPr>
                <w:p w14:paraId="591E49B6">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77</w:t>
                  </w:r>
                </w:p>
              </w:tc>
              <w:tc>
                <w:tcPr>
                  <w:tcW w:w="510" w:type="dxa"/>
                  <w:vMerge w:val="continue"/>
                  <w:tcBorders>
                    <w:tl2br w:val="nil"/>
                    <w:tr2bl w:val="nil"/>
                  </w:tcBorders>
                  <w:noWrap w:val="0"/>
                  <w:vAlign w:val="center"/>
                </w:tcPr>
                <w:p w14:paraId="7BD6BCD5">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510" w:type="dxa"/>
                  <w:tcBorders>
                    <w:tl2br w:val="nil"/>
                    <w:tr2bl w:val="nil"/>
                  </w:tcBorders>
                  <w:noWrap w:val="0"/>
                  <w:vAlign w:val="center"/>
                </w:tcPr>
                <w:p w14:paraId="04E55979">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20</w:t>
                  </w:r>
                </w:p>
              </w:tc>
              <w:tc>
                <w:tcPr>
                  <w:tcW w:w="510" w:type="dxa"/>
                  <w:tcBorders>
                    <w:tl2br w:val="nil"/>
                    <w:tr2bl w:val="nil"/>
                  </w:tcBorders>
                  <w:noWrap w:val="0"/>
                  <w:vAlign w:val="center"/>
                </w:tcPr>
                <w:p w14:paraId="10E169D0">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57</w:t>
                  </w:r>
                </w:p>
              </w:tc>
              <w:tc>
                <w:tcPr>
                  <w:tcW w:w="516" w:type="dxa"/>
                  <w:tcBorders>
                    <w:tl2br w:val="nil"/>
                    <w:tr2bl w:val="nil"/>
                  </w:tcBorders>
                  <w:noWrap w:val="0"/>
                  <w:vAlign w:val="center"/>
                </w:tcPr>
                <w:p w14:paraId="6F050734">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w:t>
                  </w:r>
                </w:p>
              </w:tc>
            </w:tr>
            <w:tr w14:paraId="5A77A0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tcBorders>
                    <w:tl2br w:val="nil"/>
                    <w:tr2bl w:val="nil"/>
                  </w:tcBorders>
                  <w:noWrap w:val="0"/>
                  <w:vAlign w:val="center"/>
                </w:tcPr>
                <w:p w14:paraId="0A079FC2">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kern w:val="2"/>
                      <w:sz w:val="21"/>
                      <w:szCs w:val="21"/>
                      <w:highlight w:val="none"/>
                      <w:lang w:val="en-US" w:eastAsia="zh-CN" w:bidi="ar-SA"/>
                    </w:rPr>
                    <w:t>7</w:t>
                  </w:r>
                </w:p>
              </w:tc>
              <w:tc>
                <w:tcPr>
                  <w:tcW w:w="371" w:type="dxa"/>
                  <w:vMerge w:val="continue"/>
                  <w:tcBorders>
                    <w:tl2br w:val="nil"/>
                    <w:tr2bl w:val="nil"/>
                  </w:tcBorders>
                  <w:noWrap w:val="0"/>
                  <w:vAlign w:val="center"/>
                </w:tcPr>
                <w:p w14:paraId="3476B64E">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eastAsia="宋体" w:cs="Times New Roman"/>
                      <w:b w:val="0"/>
                      <w:bCs/>
                      <w:color w:val="auto"/>
                      <w:kern w:val="0"/>
                      <w:sz w:val="18"/>
                      <w:szCs w:val="18"/>
                      <w:highlight w:val="none"/>
                      <w:vertAlign w:val="baseline"/>
                      <w:lang w:eastAsia="zh-CN"/>
                    </w:rPr>
                  </w:pPr>
                </w:p>
              </w:tc>
              <w:tc>
                <w:tcPr>
                  <w:tcW w:w="1231" w:type="dxa"/>
                  <w:tcBorders>
                    <w:tl2br w:val="nil"/>
                    <w:tr2bl w:val="nil"/>
                  </w:tcBorders>
                  <w:noWrap w:val="0"/>
                  <w:vAlign w:val="center"/>
                </w:tcPr>
                <w:p w14:paraId="646A1E53">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剪切机</w:t>
                  </w:r>
                </w:p>
              </w:tc>
              <w:tc>
                <w:tcPr>
                  <w:tcW w:w="420" w:type="dxa"/>
                  <w:tcBorders>
                    <w:tl2br w:val="nil"/>
                    <w:tr2bl w:val="nil"/>
                  </w:tcBorders>
                  <w:noWrap w:val="0"/>
                  <w:vAlign w:val="center"/>
                </w:tcPr>
                <w:p w14:paraId="39C559F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eastAsia"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85</w:t>
                  </w:r>
                </w:p>
              </w:tc>
              <w:tc>
                <w:tcPr>
                  <w:tcW w:w="465" w:type="dxa"/>
                  <w:tcBorders>
                    <w:tl2br w:val="nil"/>
                    <w:tr2bl w:val="nil"/>
                  </w:tcBorders>
                  <w:noWrap w:val="0"/>
                  <w:vAlign w:val="center"/>
                </w:tcPr>
                <w:p w14:paraId="5099F24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eastAsia"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1</w:t>
                  </w:r>
                </w:p>
              </w:tc>
              <w:tc>
                <w:tcPr>
                  <w:tcW w:w="498" w:type="dxa"/>
                  <w:vMerge w:val="continue"/>
                  <w:tcBorders>
                    <w:tl2br w:val="nil"/>
                    <w:tr2bl w:val="nil"/>
                  </w:tcBorders>
                  <w:noWrap w:val="0"/>
                  <w:vAlign w:val="center"/>
                </w:tcPr>
                <w:p w14:paraId="4FE22325">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510" w:type="dxa"/>
                  <w:tcBorders>
                    <w:tl2br w:val="nil"/>
                    <w:tr2bl w:val="nil"/>
                  </w:tcBorders>
                  <w:noWrap w:val="0"/>
                  <w:vAlign w:val="center"/>
                </w:tcPr>
                <w:p w14:paraId="2BE68360">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-9</w:t>
                  </w:r>
                </w:p>
              </w:tc>
              <w:tc>
                <w:tcPr>
                  <w:tcW w:w="510" w:type="dxa"/>
                  <w:tcBorders>
                    <w:tl2br w:val="nil"/>
                    <w:tr2bl w:val="nil"/>
                  </w:tcBorders>
                  <w:noWrap w:val="0"/>
                  <w:vAlign w:val="center"/>
                </w:tcPr>
                <w:p w14:paraId="6A34C1CB">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8</w:t>
                  </w:r>
                </w:p>
              </w:tc>
              <w:tc>
                <w:tcPr>
                  <w:tcW w:w="510" w:type="dxa"/>
                  <w:tcBorders>
                    <w:tl2br w:val="nil"/>
                    <w:tr2bl w:val="nil"/>
                  </w:tcBorders>
                  <w:noWrap w:val="0"/>
                  <w:vAlign w:val="center"/>
                </w:tcPr>
                <w:p w14:paraId="55FB2183">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1.5</w:t>
                  </w:r>
                </w:p>
              </w:tc>
              <w:tc>
                <w:tcPr>
                  <w:tcW w:w="510" w:type="dxa"/>
                  <w:tcBorders>
                    <w:tl2br w:val="nil"/>
                    <w:tr2bl w:val="nil"/>
                  </w:tcBorders>
                  <w:noWrap w:val="0"/>
                  <w:vAlign w:val="center"/>
                </w:tcPr>
                <w:p w14:paraId="4BDA2B64">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3</w:t>
                  </w:r>
                </w:p>
              </w:tc>
              <w:tc>
                <w:tcPr>
                  <w:tcW w:w="510" w:type="dxa"/>
                  <w:tcBorders>
                    <w:tl2br w:val="nil"/>
                    <w:tr2bl w:val="nil"/>
                  </w:tcBorders>
                  <w:noWrap w:val="0"/>
                  <w:vAlign w:val="center"/>
                </w:tcPr>
                <w:p w14:paraId="65CEDFF7">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81</w:t>
                  </w:r>
                </w:p>
              </w:tc>
              <w:tc>
                <w:tcPr>
                  <w:tcW w:w="510" w:type="dxa"/>
                  <w:vMerge w:val="continue"/>
                  <w:tcBorders>
                    <w:tl2br w:val="nil"/>
                    <w:tr2bl w:val="nil"/>
                  </w:tcBorders>
                  <w:noWrap w:val="0"/>
                  <w:vAlign w:val="center"/>
                </w:tcPr>
                <w:p w14:paraId="09764DDD">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510" w:type="dxa"/>
                  <w:tcBorders>
                    <w:tl2br w:val="nil"/>
                    <w:tr2bl w:val="nil"/>
                  </w:tcBorders>
                  <w:noWrap w:val="0"/>
                  <w:vAlign w:val="center"/>
                </w:tcPr>
                <w:p w14:paraId="71C74125">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20</w:t>
                  </w:r>
                </w:p>
              </w:tc>
              <w:tc>
                <w:tcPr>
                  <w:tcW w:w="510" w:type="dxa"/>
                  <w:tcBorders>
                    <w:tl2br w:val="nil"/>
                    <w:tr2bl w:val="nil"/>
                  </w:tcBorders>
                  <w:noWrap w:val="0"/>
                  <w:vAlign w:val="center"/>
                </w:tcPr>
                <w:p w14:paraId="64E98B97">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61</w:t>
                  </w:r>
                </w:p>
              </w:tc>
              <w:tc>
                <w:tcPr>
                  <w:tcW w:w="516" w:type="dxa"/>
                  <w:tcBorders>
                    <w:tl2br w:val="nil"/>
                    <w:tr2bl w:val="nil"/>
                  </w:tcBorders>
                  <w:noWrap w:val="0"/>
                  <w:vAlign w:val="center"/>
                </w:tcPr>
                <w:p w14:paraId="7CFD41F0">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w:t>
                  </w:r>
                </w:p>
              </w:tc>
            </w:tr>
            <w:tr w14:paraId="702509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tcBorders>
                    <w:tl2br w:val="nil"/>
                    <w:tr2bl w:val="nil"/>
                  </w:tcBorders>
                  <w:noWrap w:val="0"/>
                  <w:vAlign w:val="center"/>
                </w:tcPr>
                <w:p w14:paraId="3D8B55B4">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宋体" w:eastAsia="宋体" w:cs="Times New Roman"/>
                      <w:b w:val="0"/>
                      <w:bCs/>
                      <w:color w:val="auto"/>
                      <w:kern w:val="0"/>
                      <w:sz w:val="18"/>
                      <w:szCs w:val="18"/>
                      <w:highlight w:val="none"/>
                      <w:vertAlign w:val="baseline"/>
                      <w:lang w:val="en-US" w:eastAsia="zh-CN" w:bidi="ar-SA"/>
                    </w:rPr>
                  </w:pPr>
                  <w:r>
                    <w:rPr>
                      <w:rFonts w:hint="eastAsia" w:ascii="Times New Roman" w:cs="Times New Roman"/>
                      <w:b w:val="0"/>
                      <w:bCs/>
                      <w:color w:val="auto"/>
                      <w:kern w:val="0"/>
                      <w:sz w:val="18"/>
                      <w:szCs w:val="18"/>
                      <w:highlight w:val="none"/>
                      <w:vertAlign w:val="baseline"/>
                      <w:lang w:val="en-US" w:eastAsia="zh-CN"/>
                    </w:rPr>
                    <w:t>8</w:t>
                  </w:r>
                </w:p>
              </w:tc>
              <w:tc>
                <w:tcPr>
                  <w:tcW w:w="371" w:type="dxa"/>
                  <w:vMerge w:val="continue"/>
                  <w:tcBorders>
                    <w:tl2br w:val="nil"/>
                    <w:tr2bl w:val="nil"/>
                  </w:tcBorders>
                  <w:noWrap w:val="0"/>
                  <w:vAlign w:val="center"/>
                </w:tcPr>
                <w:p w14:paraId="66420BD5">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eastAsia="宋体" w:cs="Times New Roman"/>
                      <w:b w:val="0"/>
                      <w:bCs/>
                      <w:color w:val="auto"/>
                      <w:kern w:val="0"/>
                      <w:sz w:val="18"/>
                      <w:szCs w:val="18"/>
                      <w:highlight w:val="none"/>
                      <w:vertAlign w:val="baseline"/>
                      <w:lang w:eastAsia="zh-CN"/>
                    </w:rPr>
                  </w:pPr>
                </w:p>
              </w:tc>
              <w:tc>
                <w:tcPr>
                  <w:tcW w:w="1231" w:type="dxa"/>
                  <w:tcBorders>
                    <w:tl2br w:val="nil"/>
                    <w:tr2bl w:val="nil"/>
                  </w:tcBorders>
                  <w:noWrap w:val="0"/>
                  <w:vAlign w:val="center"/>
                </w:tcPr>
                <w:p w14:paraId="488E0CC3">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剪切机</w:t>
                  </w:r>
                </w:p>
              </w:tc>
              <w:tc>
                <w:tcPr>
                  <w:tcW w:w="420" w:type="dxa"/>
                  <w:tcBorders>
                    <w:tl2br w:val="nil"/>
                    <w:tr2bl w:val="nil"/>
                  </w:tcBorders>
                  <w:noWrap w:val="0"/>
                  <w:vAlign w:val="center"/>
                </w:tcPr>
                <w:p w14:paraId="2346490D">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eastAsia"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85</w:t>
                  </w:r>
                </w:p>
              </w:tc>
              <w:tc>
                <w:tcPr>
                  <w:tcW w:w="465" w:type="dxa"/>
                  <w:tcBorders>
                    <w:tl2br w:val="nil"/>
                    <w:tr2bl w:val="nil"/>
                  </w:tcBorders>
                  <w:noWrap w:val="0"/>
                  <w:vAlign w:val="center"/>
                </w:tcPr>
                <w:p w14:paraId="5D7235B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eastAsia"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1</w:t>
                  </w:r>
                </w:p>
              </w:tc>
              <w:tc>
                <w:tcPr>
                  <w:tcW w:w="498" w:type="dxa"/>
                  <w:vMerge w:val="continue"/>
                  <w:tcBorders>
                    <w:tl2br w:val="nil"/>
                    <w:tr2bl w:val="nil"/>
                  </w:tcBorders>
                  <w:noWrap w:val="0"/>
                  <w:vAlign w:val="center"/>
                </w:tcPr>
                <w:p w14:paraId="080A6C04">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510" w:type="dxa"/>
                  <w:tcBorders>
                    <w:tl2br w:val="nil"/>
                    <w:tr2bl w:val="nil"/>
                  </w:tcBorders>
                  <w:noWrap w:val="0"/>
                  <w:vAlign w:val="center"/>
                </w:tcPr>
                <w:p w14:paraId="08EF51E2">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-9</w:t>
                  </w:r>
                </w:p>
              </w:tc>
              <w:tc>
                <w:tcPr>
                  <w:tcW w:w="510" w:type="dxa"/>
                  <w:tcBorders>
                    <w:tl2br w:val="nil"/>
                    <w:tr2bl w:val="nil"/>
                  </w:tcBorders>
                  <w:noWrap w:val="0"/>
                  <w:vAlign w:val="center"/>
                </w:tcPr>
                <w:p w14:paraId="727A4C49">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6</w:t>
                  </w:r>
                </w:p>
              </w:tc>
              <w:tc>
                <w:tcPr>
                  <w:tcW w:w="510" w:type="dxa"/>
                  <w:tcBorders>
                    <w:tl2br w:val="nil"/>
                    <w:tr2bl w:val="nil"/>
                  </w:tcBorders>
                  <w:noWrap w:val="0"/>
                  <w:vAlign w:val="center"/>
                </w:tcPr>
                <w:p w14:paraId="4BC5F026">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1.5</w:t>
                  </w:r>
                </w:p>
              </w:tc>
              <w:tc>
                <w:tcPr>
                  <w:tcW w:w="510" w:type="dxa"/>
                  <w:tcBorders>
                    <w:tl2br w:val="nil"/>
                    <w:tr2bl w:val="nil"/>
                  </w:tcBorders>
                  <w:noWrap w:val="0"/>
                  <w:vAlign w:val="center"/>
                </w:tcPr>
                <w:p w14:paraId="78E8B2F8">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6</w:t>
                  </w:r>
                </w:p>
              </w:tc>
              <w:tc>
                <w:tcPr>
                  <w:tcW w:w="510" w:type="dxa"/>
                  <w:tcBorders>
                    <w:tl2br w:val="nil"/>
                    <w:tr2bl w:val="nil"/>
                  </w:tcBorders>
                  <w:noWrap w:val="0"/>
                  <w:vAlign w:val="center"/>
                </w:tcPr>
                <w:p w14:paraId="6D905D8E">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65</w:t>
                  </w:r>
                </w:p>
              </w:tc>
              <w:tc>
                <w:tcPr>
                  <w:tcW w:w="510" w:type="dxa"/>
                  <w:vMerge w:val="continue"/>
                  <w:tcBorders>
                    <w:tl2br w:val="nil"/>
                    <w:tr2bl w:val="nil"/>
                  </w:tcBorders>
                  <w:noWrap w:val="0"/>
                  <w:vAlign w:val="center"/>
                </w:tcPr>
                <w:p w14:paraId="511B2538">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510" w:type="dxa"/>
                  <w:tcBorders>
                    <w:tl2br w:val="nil"/>
                    <w:tr2bl w:val="nil"/>
                  </w:tcBorders>
                  <w:noWrap w:val="0"/>
                  <w:vAlign w:val="center"/>
                </w:tcPr>
                <w:p w14:paraId="52401331">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20</w:t>
                  </w:r>
                </w:p>
              </w:tc>
              <w:tc>
                <w:tcPr>
                  <w:tcW w:w="510" w:type="dxa"/>
                  <w:tcBorders>
                    <w:tl2br w:val="nil"/>
                    <w:tr2bl w:val="nil"/>
                  </w:tcBorders>
                  <w:noWrap w:val="0"/>
                  <w:vAlign w:val="center"/>
                </w:tcPr>
                <w:p w14:paraId="05A13B2B">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45</w:t>
                  </w:r>
                </w:p>
              </w:tc>
              <w:tc>
                <w:tcPr>
                  <w:tcW w:w="516" w:type="dxa"/>
                  <w:tcBorders>
                    <w:tl2br w:val="nil"/>
                    <w:tr2bl w:val="nil"/>
                  </w:tcBorders>
                  <w:noWrap w:val="0"/>
                  <w:vAlign w:val="center"/>
                </w:tcPr>
                <w:p w14:paraId="5E1E6ECB">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w:t>
                  </w:r>
                </w:p>
              </w:tc>
            </w:tr>
            <w:tr w14:paraId="5A663C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tcBorders>
                    <w:tl2br w:val="nil"/>
                    <w:tr2bl w:val="nil"/>
                  </w:tcBorders>
                  <w:noWrap w:val="0"/>
                  <w:vAlign w:val="center"/>
                </w:tcPr>
                <w:p w14:paraId="5276D238">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宋体" w:eastAsia="宋体" w:cs="Times New Roman"/>
                      <w:b w:val="0"/>
                      <w:bCs/>
                      <w:color w:val="auto"/>
                      <w:kern w:val="0"/>
                      <w:sz w:val="18"/>
                      <w:szCs w:val="18"/>
                      <w:highlight w:val="none"/>
                      <w:vertAlign w:val="baseline"/>
                      <w:lang w:val="en-US" w:eastAsia="zh-CN" w:bidi="ar-SA"/>
                    </w:rPr>
                  </w:pPr>
                  <w:r>
                    <w:rPr>
                      <w:rFonts w:hint="eastAsia" w:ascii="Times New Roman" w:cs="Times New Roman"/>
                      <w:b w:val="0"/>
                      <w:bCs/>
                      <w:color w:val="auto"/>
                      <w:kern w:val="0"/>
                      <w:sz w:val="18"/>
                      <w:szCs w:val="18"/>
                      <w:highlight w:val="none"/>
                      <w:vertAlign w:val="baseline"/>
                      <w:lang w:val="en-US" w:eastAsia="zh-CN"/>
                    </w:rPr>
                    <w:t>9</w:t>
                  </w:r>
                </w:p>
              </w:tc>
              <w:tc>
                <w:tcPr>
                  <w:tcW w:w="371" w:type="dxa"/>
                  <w:vMerge w:val="continue"/>
                  <w:tcBorders>
                    <w:tl2br w:val="nil"/>
                    <w:tr2bl w:val="nil"/>
                  </w:tcBorders>
                  <w:noWrap w:val="0"/>
                  <w:vAlign w:val="center"/>
                </w:tcPr>
                <w:p w14:paraId="2BC396D8">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eastAsia="宋体" w:cs="Times New Roman"/>
                      <w:b w:val="0"/>
                      <w:bCs/>
                      <w:color w:val="auto"/>
                      <w:kern w:val="0"/>
                      <w:sz w:val="18"/>
                      <w:szCs w:val="18"/>
                      <w:highlight w:val="none"/>
                      <w:vertAlign w:val="baseline"/>
                      <w:lang w:eastAsia="zh-CN"/>
                    </w:rPr>
                  </w:pPr>
                </w:p>
              </w:tc>
              <w:tc>
                <w:tcPr>
                  <w:tcW w:w="1231" w:type="dxa"/>
                  <w:tcBorders>
                    <w:tl2br w:val="nil"/>
                    <w:tr2bl w:val="nil"/>
                  </w:tcBorders>
                  <w:noWrap w:val="0"/>
                  <w:vAlign w:val="center"/>
                </w:tcPr>
                <w:p w14:paraId="12F0DC63">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等离子切割机</w:t>
                  </w:r>
                </w:p>
              </w:tc>
              <w:tc>
                <w:tcPr>
                  <w:tcW w:w="420" w:type="dxa"/>
                  <w:tcBorders>
                    <w:tl2br w:val="nil"/>
                    <w:tr2bl w:val="nil"/>
                  </w:tcBorders>
                  <w:noWrap w:val="0"/>
                  <w:vAlign w:val="center"/>
                </w:tcPr>
                <w:p w14:paraId="18218C0A">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ascii="Times New Roman" w:hAnsi="Times New Roman"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85</w:t>
                  </w:r>
                </w:p>
              </w:tc>
              <w:tc>
                <w:tcPr>
                  <w:tcW w:w="465" w:type="dxa"/>
                  <w:tcBorders>
                    <w:tl2br w:val="nil"/>
                    <w:tr2bl w:val="nil"/>
                  </w:tcBorders>
                  <w:noWrap w:val="0"/>
                  <w:vAlign w:val="center"/>
                </w:tcPr>
                <w:p w14:paraId="29F7C6A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eastAsia" w:ascii="Times New Roman" w:hAnsi="Times New Roman"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1</w:t>
                  </w:r>
                </w:p>
              </w:tc>
              <w:tc>
                <w:tcPr>
                  <w:tcW w:w="498" w:type="dxa"/>
                  <w:vMerge w:val="continue"/>
                  <w:tcBorders>
                    <w:tl2br w:val="nil"/>
                    <w:tr2bl w:val="nil"/>
                  </w:tcBorders>
                  <w:noWrap w:val="0"/>
                  <w:vAlign w:val="center"/>
                </w:tcPr>
                <w:p w14:paraId="534BBCFB">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p>
              </w:tc>
              <w:tc>
                <w:tcPr>
                  <w:tcW w:w="510" w:type="dxa"/>
                  <w:tcBorders>
                    <w:tl2br w:val="nil"/>
                    <w:tr2bl w:val="nil"/>
                  </w:tcBorders>
                  <w:noWrap w:val="0"/>
                  <w:vAlign w:val="center"/>
                </w:tcPr>
                <w:p w14:paraId="412905C7">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-9</w:t>
                  </w:r>
                </w:p>
              </w:tc>
              <w:tc>
                <w:tcPr>
                  <w:tcW w:w="510" w:type="dxa"/>
                  <w:tcBorders>
                    <w:tl2br w:val="nil"/>
                    <w:tr2bl w:val="nil"/>
                  </w:tcBorders>
                  <w:noWrap w:val="0"/>
                  <w:vAlign w:val="center"/>
                </w:tcPr>
                <w:p w14:paraId="4FF41982">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4</w:t>
                  </w:r>
                </w:p>
              </w:tc>
              <w:tc>
                <w:tcPr>
                  <w:tcW w:w="510" w:type="dxa"/>
                  <w:tcBorders>
                    <w:tl2br w:val="nil"/>
                    <w:tr2bl w:val="nil"/>
                  </w:tcBorders>
                  <w:noWrap w:val="0"/>
                  <w:vAlign w:val="center"/>
                </w:tcPr>
                <w:p w14:paraId="769BB2E2">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1.5</w:t>
                  </w:r>
                </w:p>
              </w:tc>
              <w:tc>
                <w:tcPr>
                  <w:tcW w:w="510" w:type="dxa"/>
                  <w:tcBorders>
                    <w:tl2br w:val="nil"/>
                    <w:tr2bl w:val="nil"/>
                  </w:tcBorders>
                  <w:noWrap w:val="0"/>
                  <w:vAlign w:val="center"/>
                </w:tcPr>
                <w:p w14:paraId="14531A24">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3</w:t>
                  </w:r>
                </w:p>
              </w:tc>
              <w:tc>
                <w:tcPr>
                  <w:tcW w:w="510" w:type="dxa"/>
                  <w:tcBorders>
                    <w:tl2br w:val="nil"/>
                    <w:tr2bl w:val="nil"/>
                  </w:tcBorders>
                  <w:noWrap w:val="0"/>
                  <w:vAlign w:val="center"/>
                </w:tcPr>
                <w:p w14:paraId="65360A46">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81</w:t>
                  </w:r>
                </w:p>
              </w:tc>
              <w:tc>
                <w:tcPr>
                  <w:tcW w:w="510" w:type="dxa"/>
                  <w:vMerge w:val="continue"/>
                  <w:tcBorders>
                    <w:tl2br w:val="nil"/>
                    <w:tr2bl w:val="nil"/>
                  </w:tcBorders>
                  <w:noWrap w:val="0"/>
                  <w:vAlign w:val="center"/>
                </w:tcPr>
                <w:p w14:paraId="4AA5B7B9">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p>
              </w:tc>
              <w:tc>
                <w:tcPr>
                  <w:tcW w:w="510" w:type="dxa"/>
                  <w:tcBorders>
                    <w:tl2br w:val="nil"/>
                    <w:tr2bl w:val="nil"/>
                  </w:tcBorders>
                  <w:noWrap w:val="0"/>
                  <w:vAlign w:val="center"/>
                </w:tcPr>
                <w:p w14:paraId="1A36E097">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eastAsia" w:ascii="Times New Roman" w:hAnsi="Times New Roman" w:eastAsia="宋体" w:cs="Times New Roman"/>
                      <w:b w:val="0"/>
                      <w:bCs/>
                      <w:color w:val="auto"/>
                      <w:kern w:val="0"/>
                      <w:sz w:val="18"/>
                      <w:szCs w:val="18"/>
                      <w:highlight w:val="none"/>
                      <w:vertAlign w:val="baseline"/>
                      <w:lang w:val="en-US" w:eastAsia="zh-CN"/>
                    </w:rPr>
                    <w:t>20</w:t>
                  </w:r>
                </w:p>
              </w:tc>
              <w:tc>
                <w:tcPr>
                  <w:tcW w:w="510" w:type="dxa"/>
                  <w:tcBorders>
                    <w:tl2br w:val="nil"/>
                    <w:tr2bl w:val="nil"/>
                  </w:tcBorders>
                  <w:noWrap w:val="0"/>
                  <w:vAlign w:val="center"/>
                </w:tcPr>
                <w:p w14:paraId="50128FD8">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61</w:t>
                  </w:r>
                </w:p>
              </w:tc>
              <w:tc>
                <w:tcPr>
                  <w:tcW w:w="516" w:type="dxa"/>
                  <w:tcBorders>
                    <w:tl2br w:val="nil"/>
                    <w:tr2bl w:val="nil"/>
                  </w:tcBorders>
                  <w:noWrap w:val="0"/>
                  <w:vAlign w:val="center"/>
                </w:tcPr>
                <w:p w14:paraId="1E0C2369">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w:t>
                  </w:r>
                </w:p>
              </w:tc>
            </w:tr>
            <w:tr w14:paraId="632F66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tcBorders>
                    <w:tl2br w:val="nil"/>
                    <w:tr2bl w:val="nil"/>
                  </w:tcBorders>
                  <w:noWrap w:val="0"/>
                  <w:vAlign w:val="center"/>
                </w:tcPr>
                <w:p w14:paraId="7A1C7642">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宋体" w:eastAsia="宋体" w:cs="Times New Roman"/>
                      <w:b w:val="0"/>
                      <w:bCs/>
                      <w:color w:val="auto"/>
                      <w:kern w:val="0"/>
                      <w:sz w:val="18"/>
                      <w:szCs w:val="18"/>
                      <w:highlight w:val="none"/>
                      <w:vertAlign w:val="baseline"/>
                      <w:lang w:val="en-US" w:eastAsia="zh-CN" w:bidi="ar-SA"/>
                    </w:rPr>
                  </w:pPr>
                  <w:r>
                    <w:rPr>
                      <w:rFonts w:hint="eastAsia" w:ascii="Times New Roman" w:cs="Times New Roman"/>
                      <w:b w:val="0"/>
                      <w:bCs/>
                      <w:color w:val="auto"/>
                      <w:kern w:val="0"/>
                      <w:sz w:val="18"/>
                      <w:szCs w:val="18"/>
                      <w:highlight w:val="none"/>
                      <w:vertAlign w:val="baseline"/>
                      <w:lang w:val="en-US" w:eastAsia="zh-CN"/>
                    </w:rPr>
                    <w:t>10</w:t>
                  </w:r>
                </w:p>
              </w:tc>
              <w:tc>
                <w:tcPr>
                  <w:tcW w:w="371" w:type="dxa"/>
                  <w:vMerge w:val="continue"/>
                  <w:tcBorders>
                    <w:tl2br w:val="nil"/>
                    <w:tr2bl w:val="nil"/>
                  </w:tcBorders>
                  <w:noWrap w:val="0"/>
                  <w:vAlign w:val="center"/>
                </w:tcPr>
                <w:p w14:paraId="6360D46D">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eastAsia="宋体" w:cs="Times New Roman"/>
                      <w:b w:val="0"/>
                      <w:bCs/>
                      <w:color w:val="auto"/>
                      <w:kern w:val="0"/>
                      <w:sz w:val="18"/>
                      <w:szCs w:val="18"/>
                      <w:highlight w:val="none"/>
                      <w:vertAlign w:val="baseline"/>
                      <w:lang w:eastAsia="zh-CN"/>
                    </w:rPr>
                  </w:pPr>
                </w:p>
              </w:tc>
              <w:tc>
                <w:tcPr>
                  <w:tcW w:w="1231" w:type="dxa"/>
                  <w:tcBorders>
                    <w:tl2br w:val="nil"/>
                    <w:tr2bl w:val="nil"/>
                  </w:tcBorders>
                  <w:noWrap w:val="0"/>
                  <w:vAlign w:val="center"/>
                </w:tcPr>
                <w:p w14:paraId="74E9BA8E">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等离子切割机</w:t>
                  </w:r>
                </w:p>
              </w:tc>
              <w:tc>
                <w:tcPr>
                  <w:tcW w:w="420" w:type="dxa"/>
                  <w:tcBorders>
                    <w:tl2br w:val="nil"/>
                    <w:tr2bl w:val="nil"/>
                  </w:tcBorders>
                  <w:noWrap w:val="0"/>
                  <w:vAlign w:val="center"/>
                </w:tcPr>
                <w:p w14:paraId="0AFFDA0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ascii="Times New Roman" w:hAnsi="Times New Roman"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85</w:t>
                  </w:r>
                </w:p>
              </w:tc>
              <w:tc>
                <w:tcPr>
                  <w:tcW w:w="465" w:type="dxa"/>
                  <w:tcBorders>
                    <w:tl2br w:val="nil"/>
                    <w:tr2bl w:val="nil"/>
                  </w:tcBorders>
                  <w:noWrap w:val="0"/>
                  <w:vAlign w:val="center"/>
                </w:tcPr>
                <w:p w14:paraId="654234CD">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1</w:t>
                  </w:r>
                </w:p>
              </w:tc>
              <w:tc>
                <w:tcPr>
                  <w:tcW w:w="498" w:type="dxa"/>
                  <w:vMerge w:val="continue"/>
                  <w:tcBorders>
                    <w:tl2br w:val="nil"/>
                    <w:tr2bl w:val="nil"/>
                  </w:tcBorders>
                  <w:noWrap w:val="0"/>
                  <w:vAlign w:val="center"/>
                </w:tcPr>
                <w:p w14:paraId="14EBDCA3">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p>
              </w:tc>
              <w:tc>
                <w:tcPr>
                  <w:tcW w:w="510" w:type="dxa"/>
                  <w:tcBorders>
                    <w:tl2br w:val="nil"/>
                    <w:tr2bl w:val="nil"/>
                  </w:tcBorders>
                  <w:noWrap w:val="0"/>
                  <w:vAlign w:val="center"/>
                </w:tcPr>
                <w:p w14:paraId="264D1942">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-6</w:t>
                  </w:r>
                </w:p>
              </w:tc>
              <w:tc>
                <w:tcPr>
                  <w:tcW w:w="510" w:type="dxa"/>
                  <w:tcBorders>
                    <w:tl2br w:val="nil"/>
                    <w:tr2bl w:val="nil"/>
                  </w:tcBorders>
                  <w:noWrap w:val="0"/>
                  <w:vAlign w:val="center"/>
                </w:tcPr>
                <w:p w14:paraId="55272352">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6</w:t>
                  </w:r>
                </w:p>
              </w:tc>
              <w:tc>
                <w:tcPr>
                  <w:tcW w:w="510" w:type="dxa"/>
                  <w:tcBorders>
                    <w:tl2br w:val="nil"/>
                    <w:tr2bl w:val="nil"/>
                  </w:tcBorders>
                  <w:noWrap w:val="0"/>
                  <w:vAlign w:val="center"/>
                </w:tcPr>
                <w:p w14:paraId="2583F1C2">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1.5</w:t>
                  </w:r>
                </w:p>
              </w:tc>
              <w:tc>
                <w:tcPr>
                  <w:tcW w:w="510" w:type="dxa"/>
                  <w:tcBorders>
                    <w:tl2br w:val="nil"/>
                    <w:tr2bl w:val="nil"/>
                  </w:tcBorders>
                  <w:noWrap w:val="0"/>
                  <w:vAlign w:val="center"/>
                </w:tcPr>
                <w:p w14:paraId="2E00BD44">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4</w:t>
                  </w:r>
                </w:p>
              </w:tc>
              <w:tc>
                <w:tcPr>
                  <w:tcW w:w="510" w:type="dxa"/>
                  <w:tcBorders>
                    <w:tl2br w:val="nil"/>
                    <w:tr2bl w:val="nil"/>
                  </w:tcBorders>
                  <w:noWrap w:val="0"/>
                  <w:vAlign w:val="center"/>
                </w:tcPr>
                <w:p w14:paraId="67185079">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78</w:t>
                  </w:r>
                </w:p>
              </w:tc>
              <w:tc>
                <w:tcPr>
                  <w:tcW w:w="510" w:type="dxa"/>
                  <w:vMerge w:val="continue"/>
                  <w:tcBorders>
                    <w:tl2br w:val="nil"/>
                    <w:tr2bl w:val="nil"/>
                  </w:tcBorders>
                  <w:noWrap w:val="0"/>
                  <w:vAlign w:val="center"/>
                </w:tcPr>
                <w:p w14:paraId="25079BD4">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p>
              </w:tc>
              <w:tc>
                <w:tcPr>
                  <w:tcW w:w="510" w:type="dxa"/>
                  <w:tcBorders>
                    <w:tl2br w:val="nil"/>
                    <w:tr2bl w:val="nil"/>
                  </w:tcBorders>
                  <w:noWrap w:val="0"/>
                  <w:vAlign w:val="center"/>
                </w:tcPr>
                <w:p w14:paraId="1F9AE9F4">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eastAsia" w:ascii="Times New Roman" w:hAnsi="Times New Roman" w:eastAsia="宋体" w:cs="Times New Roman"/>
                      <w:b w:val="0"/>
                      <w:bCs/>
                      <w:color w:val="auto"/>
                      <w:kern w:val="0"/>
                      <w:sz w:val="18"/>
                      <w:szCs w:val="18"/>
                      <w:highlight w:val="none"/>
                      <w:vertAlign w:val="baseline"/>
                      <w:lang w:val="en-US" w:eastAsia="zh-CN"/>
                    </w:rPr>
                    <w:t>20</w:t>
                  </w:r>
                </w:p>
              </w:tc>
              <w:tc>
                <w:tcPr>
                  <w:tcW w:w="510" w:type="dxa"/>
                  <w:tcBorders>
                    <w:tl2br w:val="nil"/>
                    <w:tr2bl w:val="nil"/>
                  </w:tcBorders>
                  <w:noWrap w:val="0"/>
                  <w:vAlign w:val="center"/>
                </w:tcPr>
                <w:p w14:paraId="296333E5">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58</w:t>
                  </w:r>
                </w:p>
              </w:tc>
              <w:tc>
                <w:tcPr>
                  <w:tcW w:w="516" w:type="dxa"/>
                  <w:tcBorders>
                    <w:tl2br w:val="nil"/>
                    <w:tr2bl w:val="nil"/>
                  </w:tcBorders>
                  <w:noWrap w:val="0"/>
                  <w:vAlign w:val="center"/>
                </w:tcPr>
                <w:p w14:paraId="4931B562">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w:t>
                  </w:r>
                </w:p>
              </w:tc>
            </w:tr>
            <w:tr w14:paraId="6018C0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tcBorders>
                    <w:tl2br w:val="nil"/>
                    <w:tr2bl w:val="nil"/>
                  </w:tcBorders>
                  <w:shd w:val="clear" w:color="auto" w:fill="auto"/>
                  <w:noWrap w:val="0"/>
                  <w:vAlign w:val="center"/>
                </w:tcPr>
                <w:p w14:paraId="393B5103">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宋体" w:eastAsia="宋体" w:cs="Times New Roman"/>
                      <w:b w:val="0"/>
                      <w:bCs/>
                      <w:color w:val="auto"/>
                      <w:kern w:val="0"/>
                      <w:sz w:val="18"/>
                      <w:szCs w:val="18"/>
                      <w:highlight w:val="none"/>
                      <w:vertAlign w:val="baseline"/>
                      <w:lang w:val="en-US" w:eastAsia="zh-CN" w:bidi="ar-SA"/>
                    </w:rPr>
                  </w:pPr>
                  <w:r>
                    <w:rPr>
                      <w:rFonts w:hint="eastAsia" w:ascii="Times New Roman" w:cs="Times New Roman"/>
                      <w:b w:val="0"/>
                      <w:bCs/>
                      <w:color w:val="auto"/>
                      <w:kern w:val="0"/>
                      <w:sz w:val="18"/>
                      <w:szCs w:val="18"/>
                      <w:highlight w:val="none"/>
                      <w:vertAlign w:val="baseline"/>
                      <w:lang w:val="en-US" w:eastAsia="zh-CN"/>
                    </w:rPr>
                    <w:t>11</w:t>
                  </w:r>
                </w:p>
              </w:tc>
              <w:tc>
                <w:tcPr>
                  <w:tcW w:w="371" w:type="dxa"/>
                  <w:vMerge w:val="continue"/>
                  <w:tcBorders>
                    <w:tl2br w:val="nil"/>
                    <w:tr2bl w:val="nil"/>
                  </w:tcBorders>
                  <w:noWrap w:val="0"/>
                  <w:vAlign w:val="center"/>
                </w:tcPr>
                <w:p w14:paraId="3D97C9B8">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eastAsia="宋体" w:cs="Times New Roman"/>
                      <w:b w:val="0"/>
                      <w:bCs/>
                      <w:color w:val="auto"/>
                      <w:kern w:val="0"/>
                      <w:sz w:val="18"/>
                      <w:szCs w:val="18"/>
                      <w:highlight w:val="none"/>
                      <w:vertAlign w:val="baseline"/>
                      <w:lang w:eastAsia="zh-CN"/>
                    </w:rPr>
                  </w:pPr>
                </w:p>
              </w:tc>
              <w:tc>
                <w:tcPr>
                  <w:tcW w:w="1231" w:type="dxa"/>
                  <w:tcBorders>
                    <w:tl2br w:val="nil"/>
                    <w:tr2bl w:val="nil"/>
                  </w:tcBorders>
                  <w:noWrap w:val="0"/>
                  <w:vAlign w:val="center"/>
                </w:tcPr>
                <w:p w14:paraId="71F0706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cs="Times New Roman"/>
                      <w:b w:val="0"/>
                      <w:bCs/>
                      <w:color w:val="auto"/>
                      <w:kern w:val="0"/>
                      <w:sz w:val="18"/>
                      <w:szCs w:val="18"/>
                      <w:highlight w:val="none"/>
                      <w:vertAlign w:val="baseline"/>
                      <w:lang w:val="en-US" w:eastAsia="zh-CN" w:bidi="ar-SA"/>
                    </w:rPr>
                    <w:t>乙炔-氧切割机</w:t>
                  </w:r>
                </w:p>
              </w:tc>
              <w:tc>
                <w:tcPr>
                  <w:tcW w:w="420" w:type="dxa"/>
                  <w:tcBorders>
                    <w:tl2br w:val="nil"/>
                    <w:tr2bl w:val="nil"/>
                  </w:tcBorders>
                  <w:noWrap w:val="0"/>
                  <w:vAlign w:val="center"/>
                </w:tcPr>
                <w:p w14:paraId="588B491D">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85</w:t>
                  </w:r>
                </w:p>
              </w:tc>
              <w:tc>
                <w:tcPr>
                  <w:tcW w:w="465" w:type="dxa"/>
                  <w:tcBorders>
                    <w:tl2br w:val="nil"/>
                    <w:tr2bl w:val="nil"/>
                  </w:tcBorders>
                  <w:noWrap w:val="0"/>
                  <w:vAlign w:val="center"/>
                </w:tcPr>
                <w:p w14:paraId="0EEEDA0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1</w:t>
                  </w:r>
                </w:p>
              </w:tc>
              <w:tc>
                <w:tcPr>
                  <w:tcW w:w="498" w:type="dxa"/>
                  <w:vMerge w:val="continue"/>
                  <w:tcBorders>
                    <w:tl2br w:val="nil"/>
                    <w:tr2bl w:val="nil"/>
                  </w:tcBorders>
                  <w:noWrap w:val="0"/>
                  <w:vAlign w:val="center"/>
                </w:tcPr>
                <w:p w14:paraId="1752905E">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p>
              </w:tc>
              <w:tc>
                <w:tcPr>
                  <w:tcW w:w="510" w:type="dxa"/>
                  <w:tcBorders>
                    <w:tl2br w:val="nil"/>
                    <w:tr2bl w:val="nil"/>
                  </w:tcBorders>
                  <w:noWrap w:val="0"/>
                  <w:vAlign w:val="center"/>
                </w:tcPr>
                <w:p w14:paraId="7C08BE2B">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-6</w:t>
                  </w:r>
                </w:p>
              </w:tc>
              <w:tc>
                <w:tcPr>
                  <w:tcW w:w="510" w:type="dxa"/>
                  <w:tcBorders>
                    <w:tl2br w:val="nil"/>
                    <w:tr2bl w:val="nil"/>
                  </w:tcBorders>
                  <w:noWrap w:val="0"/>
                  <w:vAlign w:val="center"/>
                </w:tcPr>
                <w:p w14:paraId="355767C5">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11</w:t>
                  </w:r>
                </w:p>
              </w:tc>
              <w:tc>
                <w:tcPr>
                  <w:tcW w:w="510" w:type="dxa"/>
                  <w:tcBorders>
                    <w:tl2br w:val="nil"/>
                    <w:tr2bl w:val="nil"/>
                  </w:tcBorders>
                  <w:noWrap w:val="0"/>
                  <w:vAlign w:val="center"/>
                </w:tcPr>
                <w:p w14:paraId="7627F18C">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1.5</w:t>
                  </w:r>
                </w:p>
              </w:tc>
              <w:tc>
                <w:tcPr>
                  <w:tcW w:w="510" w:type="dxa"/>
                  <w:tcBorders>
                    <w:tl2br w:val="nil"/>
                    <w:tr2bl w:val="nil"/>
                  </w:tcBorders>
                  <w:noWrap w:val="0"/>
                  <w:vAlign w:val="center"/>
                </w:tcPr>
                <w:p w14:paraId="51AA5C4B">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3</w:t>
                  </w:r>
                </w:p>
              </w:tc>
              <w:tc>
                <w:tcPr>
                  <w:tcW w:w="510" w:type="dxa"/>
                  <w:tcBorders>
                    <w:tl2br w:val="nil"/>
                    <w:tr2bl w:val="nil"/>
                  </w:tcBorders>
                  <w:noWrap w:val="0"/>
                  <w:vAlign w:val="center"/>
                </w:tcPr>
                <w:p w14:paraId="5462AA2B">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81</w:t>
                  </w:r>
                </w:p>
              </w:tc>
              <w:tc>
                <w:tcPr>
                  <w:tcW w:w="510" w:type="dxa"/>
                  <w:vMerge w:val="continue"/>
                  <w:tcBorders>
                    <w:tl2br w:val="nil"/>
                    <w:tr2bl w:val="nil"/>
                  </w:tcBorders>
                  <w:noWrap w:val="0"/>
                  <w:vAlign w:val="center"/>
                </w:tcPr>
                <w:p w14:paraId="377165B5">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p>
              </w:tc>
              <w:tc>
                <w:tcPr>
                  <w:tcW w:w="510" w:type="dxa"/>
                  <w:tcBorders>
                    <w:tl2br w:val="nil"/>
                    <w:tr2bl w:val="nil"/>
                  </w:tcBorders>
                  <w:noWrap w:val="0"/>
                  <w:vAlign w:val="center"/>
                </w:tcPr>
                <w:p w14:paraId="437B9B1F">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eastAsia="宋体" w:cs="Times New Roman"/>
                      <w:b w:val="0"/>
                      <w:bCs/>
                      <w:color w:val="auto"/>
                      <w:kern w:val="0"/>
                      <w:sz w:val="18"/>
                      <w:szCs w:val="18"/>
                      <w:highlight w:val="none"/>
                      <w:vertAlign w:val="baseline"/>
                      <w:lang w:val="en-US" w:eastAsia="zh-CN"/>
                    </w:rPr>
                  </w:pPr>
                  <w:r>
                    <w:rPr>
                      <w:rFonts w:hint="eastAsia" w:ascii="Times New Roman" w:hAnsi="Times New Roman" w:eastAsia="宋体" w:cs="Times New Roman"/>
                      <w:b w:val="0"/>
                      <w:bCs/>
                      <w:color w:val="auto"/>
                      <w:kern w:val="0"/>
                      <w:sz w:val="18"/>
                      <w:szCs w:val="18"/>
                      <w:highlight w:val="none"/>
                      <w:vertAlign w:val="baseline"/>
                      <w:lang w:val="en-US" w:eastAsia="zh-CN"/>
                    </w:rPr>
                    <w:t>20</w:t>
                  </w:r>
                </w:p>
              </w:tc>
              <w:tc>
                <w:tcPr>
                  <w:tcW w:w="510" w:type="dxa"/>
                  <w:tcBorders>
                    <w:tl2br w:val="nil"/>
                    <w:tr2bl w:val="nil"/>
                  </w:tcBorders>
                  <w:noWrap w:val="0"/>
                  <w:vAlign w:val="center"/>
                </w:tcPr>
                <w:p w14:paraId="319DF33D">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61</w:t>
                  </w:r>
                </w:p>
              </w:tc>
              <w:tc>
                <w:tcPr>
                  <w:tcW w:w="516" w:type="dxa"/>
                  <w:tcBorders>
                    <w:tl2br w:val="nil"/>
                    <w:tr2bl w:val="nil"/>
                  </w:tcBorders>
                  <w:noWrap w:val="0"/>
                  <w:vAlign w:val="center"/>
                </w:tcPr>
                <w:p w14:paraId="124A32EC">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w:t>
                  </w:r>
                </w:p>
              </w:tc>
            </w:tr>
            <w:tr w14:paraId="0966D7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tcBorders>
                    <w:tl2br w:val="nil"/>
                    <w:tr2bl w:val="nil"/>
                  </w:tcBorders>
                  <w:shd w:val="clear" w:color="auto" w:fill="auto"/>
                  <w:noWrap w:val="0"/>
                  <w:vAlign w:val="center"/>
                </w:tcPr>
                <w:p w14:paraId="40DABB9E">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宋体" w:eastAsia="宋体" w:cs="Times New Roman"/>
                      <w:b w:val="0"/>
                      <w:bCs/>
                      <w:color w:val="auto"/>
                      <w:kern w:val="0"/>
                      <w:sz w:val="18"/>
                      <w:szCs w:val="18"/>
                      <w:highlight w:val="none"/>
                      <w:vertAlign w:val="baseline"/>
                      <w:lang w:val="en-US" w:eastAsia="zh-CN" w:bidi="ar-SA"/>
                    </w:rPr>
                  </w:pPr>
                  <w:r>
                    <w:rPr>
                      <w:rFonts w:hint="eastAsia" w:ascii="Times New Roman" w:cs="Times New Roman"/>
                      <w:b w:val="0"/>
                      <w:bCs/>
                      <w:color w:val="auto"/>
                      <w:kern w:val="0"/>
                      <w:sz w:val="18"/>
                      <w:szCs w:val="18"/>
                      <w:highlight w:val="none"/>
                      <w:vertAlign w:val="baseline"/>
                      <w:lang w:val="en-US" w:eastAsia="zh-CN"/>
                    </w:rPr>
                    <w:t>12</w:t>
                  </w:r>
                </w:p>
              </w:tc>
              <w:tc>
                <w:tcPr>
                  <w:tcW w:w="371" w:type="dxa"/>
                  <w:vMerge w:val="continue"/>
                  <w:tcBorders>
                    <w:tl2br w:val="nil"/>
                    <w:tr2bl w:val="nil"/>
                  </w:tcBorders>
                  <w:noWrap w:val="0"/>
                  <w:vAlign w:val="center"/>
                </w:tcPr>
                <w:p w14:paraId="5DB8F851">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eastAsia="宋体" w:cs="Times New Roman"/>
                      <w:b w:val="0"/>
                      <w:bCs/>
                      <w:color w:val="auto"/>
                      <w:kern w:val="0"/>
                      <w:sz w:val="18"/>
                      <w:szCs w:val="18"/>
                      <w:highlight w:val="none"/>
                      <w:vertAlign w:val="baseline"/>
                      <w:lang w:eastAsia="zh-CN"/>
                    </w:rPr>
                  </w:pPr>
                </w:p>
              </w:tc>
              <w:tc>
                <w:tcPr>
                  <w:tcW w:w="1231" w:type="dxa"/>
                  <w:tcBorders>
                    <w:tl2br w:val="nil"/>
                    <w:tr2bl w:val="nil"/>
                  </w:tcBorders>
                  <w:noWrap w:val="0"/>
                  <w:vAlign w:val="center"/>
                </w:tcPr>
                <w:p w14:paraId="6D3DC2E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cs="Times New Roman"/>
                      <w:b w:val="0"/>
                      <w:bCs/>
                      <w:color w:val="auto"/>
                      <w:kern w:val="0"/>
                      <w:sz w:val="18"/>
                      <w:szCs w:val="18"/>
                      <w:highlight w:val="none"/>
                      <w:vertAlign w:val="baseline"/>
                      <w:lang w:val="en-US" w:eastAsia="zh-CN" w:bidi="ar-SA"/>
                    </w:rPr>
                    <w:t>放油机</w:t>
                  </w:r>
                </w:p>
              </w:tc>
              <w:tc>
                <w:tcPr>
                  <w:tcW w:w="420" w:type="dxa"/>
                  <w:tcBorders>
                    <w:tl2br w:val="nil"/>
                    <w:tr2bl w:val="nil"/>
                  </w:tcBorders>
                  <w:noWrap w:val="0"/>
                  <w:vAlign w:val="center"/>
                </w:tcPr>
                <w:p w14:paraId="1A8360B6">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75</w:t>
                  </w:r>
                </w:p>
              </w:tc>
              <w:tc>
                <w:tcPr>
                  <w:tcW w:w="465" w:type="dxa"/>
                  <w:tcBorders>
                    <w:tl2br w:val="nil"/>
                    <w:tr2bl w:val="nil"/>
                  </w:tcBorders>
                  <w:noWrap w:val="0"/>
                  <w:vAlign w:val="center"/>
                </w:tcPr>
                <w:p w14:paraId="04A0F7F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1</w:t>
                  </w:r>
                </w:p>
              </w:tc>
              <w:tc>
                <w:tcPr>
                  <w:tcW w:w="498" w:type="dxa"/>
                  <w:vMerge w:val="continue"/>
                  <w:tcBorders>
                    <w:tl2br w:val="nil"/>
                    <w:tr2bl w:val="nil"/>
                  </w:tcBorders>
                  <w:noWrap w:val="0"/>
                  <w:vAlign w:val="center"/>
                </w:tcPr>
                <w:p w14:paraId="0A556BC3">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p>
              </w:tc>
              <w:tc>
                <w:tcPr>
                  <w:tcW w:w="510" w:type="dxa"/>
                  <w:tcBorders>
                    <w:tl2br w:val="nil"/>
                    <w:tr2bl w:val="nil"/>
                  </w:tcBorders>
                  <w:noWrap w:val="0"/>
                  <w:vAlign w:val="center"/>
                </w:tcPr>
                <w:p w14:paraId="5B3F010C">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-4</w:t>
                  </w:r>
                </w:p>
              </w:tc>
              <w:tc>
                <w:tcPr>
                  <w:tcW w:w="510" w:type="dxa"/>
                  <w:tcBorders>
                    <w:tl2br w:val="nil"/>
                    <w:tr2bl w:val="nil"/>
                  </w:tcBorders>
                  <w:noWrap w:val="0"/>
                  <w:vAlign w:val="center"/>
                </w:tcPr>
                <w:p w14:paraId="28E646E6">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5</w:t>
                  </w:r>
                </w:p>
              </w:tc>
              <w:tc>
                <w:tcPr>
                  <w:tcW w:w="510" w:type="dxa"/>
                  <w:tcBorders>
                    <w:tl2br w:val="nil"/>
                    <w:tr2bl w:val="nil"/>
                  </w:tcBorders>
                  <w:noWrap w:val="0"/>
                  <w:vAlign w:val="center"/>
                </w:tcPr>
                <w:p w14:paraId="6EE6593B">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1.5</w:t>
                  </w:r>
                </w:p>
              </w:tc>
              <w:tc>
                <w:tcPr>
                  <w:tcW w:w="510" w:type="dxa"/>
                  <w:tcBorders>
                    <w:tl2br w:val="nil"/>
                    <w:tr2bl w:val="nil"/>
                  </w:tcBorders>
                  <w:noWrap w:val="0"/>
                  <w:vAlign w:val="center"/>
                </w:tcPr>
                <w:p w14:paraId="6577C59D">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3</w:t>
                  </w:r>
                </w:p>
              </w:tc>
              <w:tc>
                <w:tcPr>
                  <w:tcW w:w="510" w:type="dxa"/>
                  <w:tcBorders>
                    <w:tl2br w:val="nil"/>
                    <w:tr2bl w:val="nil"/>
                  </w:tcBorders>
                  <w:noWrap w:val="0"/>
                  <w:vAlign w:val="center"/>
                </w:tcPr>
                <w:p w14:paraId="705C6634">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71</w:t>
                  </w:r>
                </w:p>
              </w:tc>
              <w:tc>
                <w:tcPr>
                  <w:tcW w:w="510" w:type="dxa"/>
                  <w:vMerge w:val="continue"/>
                  <w:tcBorders>
                    <w:tl2br w:val="nil"/>
                    <w:tr2bl w:val="nil"/>
                  </w:tcBorders>
                  <w:noWrap w:val="0"/>
                  <w:vAlign w:val="center"/>
                </w:tcPr>
                <w:p w14:paraId="07479C80">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p>
              </w:tc>
              <w:tc>
                <w:tcPr>
                  <w:tcW w:w="510" w:type="dxa"/>
                  <w:tcBorders>
                    <w:tl2br w:val="nil"/>
                    <w:tr2bl w:val="nil"/>
                  </w:tcBorders>
                  <w:noWrap w:val="0"/>
                  <w:vAlign w:val="center"/>
                </w:tcPr>
                <w:p w14:paraId="596FDBBB">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eastAsia="宋体" w:cs="Times New Roman"/>
                      <w:b w:val="0"/>
                      <w:bCs/>
                      <w:color w:val="auto"/>
                      <w:kern w:val="0"/>
                      <w:sz w:val="18"/>
                      <w:szCs w:val="18"/>
                      <w:highlight w:val="none"/>
                      <w:vertAlign w:val="baseline"/>
                      <w:lang w:val="en-US" w:eastAsia="zh-CN"/>
                    </w:rPr>
                  </w:pPr>
                  <w:r>
                    <w:rPr>
                      <w:rFonts w:hint="eastAsia" w:ascii="Times New Roman" w:hAnsi="Times New Roman" w:eastAsia="宋体" w:cs="Times New Roman"/>
                      <w:b w:val="0"/>
                      <w:bCs/>
                      <w:color w:val="auto"/>
                      <w:kern w:val="0"/>
                      <w:sz w:val="18"/>
                      <w:szCs w:val="18"/>
                      <w:highlight w:val="none"/>
                      <w:vertAlign w:val="baseline"/>
                      <w:lang w:val="en-US" w:eastAsia="zh-CN"/>
                    </w:rPr>
                    <w:t>20</w:t>
                  </w:r>
                </w:p>
              </w:tc>
              <w:tc>
                <w:tcPr>
                  <w:tcW w:w="510" w:type="dxa"/>
                  <w:tcBorders>
                    <w:tl2br w:val="nil"/>
                    <w:tr2bl w:val="nil"/>
                  </w:tcBorders>
                  <w:noWrap w:val="0"/>
                  <w:vAlign w:val="center"/>
                </w:tcPr>
                <w:p w14:paraId="7311D744">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51</w:t>
                  </w:r>
                </w:p>
              </w:tc>
              <w:tc>
                <w:tcPr>
                  <w:tcW w:w="516" w:type="dxa"/>
                  <w:tcBorders>
                    <w:tl2br w:val="nil"/>
                    <w:tr2bl w:val="nil"/>
                  </w:tcBorders>
                  <w:noWrap w:val="0"/>
                  <w:vAlign w:val="center"/>
                </w:tcPr>
                <w:p w14:paraId="0C46AB9E">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w:t>
                  </w:r>
                </w:p>
              </w:tc>
            </w:tr>
            <w:tr w14:paraId="105B67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tcBorders>
                    <w:tl2br w:val="nil"/>
                    <w:tr2bl w:val="nil"/>
                  </w:tcBorders>
                  <w:shd w:val="clear" w:color="auto" w:fill="auto"/>
                  <w:noWrap w:val="0"/>
                  <w:vAlign w:val="center"/>
                </w:tcPr>
                <w:p w14:paraId="4C36B3AE">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宋体" w:eastAsia="宋体" w:cs="Times New Roman"/>
                      <w:b w:val="0"/>
                      <w:bCs/>
                      <w:color w:val="auto"/>
                      <w:kern w:val="0"/>
                      <w:sz w:val="18"/>
                      <w:szCs w:val="18"/>
                      <w:highlight w:val="none"/>
                      <w:vertAlign w:val="baseline"/>
                      <w:lang w:val="en-US" w:eastAsia="zh-CN" w:bidi="ar-SA"/>
                    </w:rPr>
                  </w:pPr>
                  <w:r>
                    <w:rPr>
                      <w:rFonts w:hint="eastAsia" w:ascii="Times New Roman" w:cs="Times New Roman"/>
                      <w:b w:val="0"/>
                      <w:bCs/>
                      <w:color w:val="auto"/>
                      <w:kern w:val="0"/>
                      <w:sz w:val="18"/>
                      <w:szCs w:val="18"/>
                      <w:highlight w:val="none"/>
                      <w:vertAlign w:val="baseline"/>
                      <w:lang w:val="en-US" w:eastAsia="zh-CN"/>
                    </w:rPr>
                    <w:t>13</w:t>
                  </w:r>
                </w:p>
              </w:tc>
              <w:tc>
                <w:tcPr>
                  <w:tcW w:w="371" w:type="dxa"/>
                  <w:vMerge w:val="continue"/>
                  <w:tcBorders>
                    <w:tl2br w:val="nil"/>
                    <w:tr2bl w:val="nil"/>
                  </w:tcBorders>
                  <w:noWrap w:val="0"/>
                  <w:vAlign w:val="center"/>
                </w:tcPr>
                <w:p w14:paraId="4D317315">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eastAsia="宋体" w:cs="Times New Roman"/>
                      <w:b w:val="0"/>
                      <w:bCs/>
                      <w:color w:val="auto"/>
                      <w:kern w:val="0"/>
                      <w:sz w:val="18"/>
                      <w:szCs w:val="18"/>
                      <w:highlight w:val="none"/>
                      <w:vertAlign w:val="baseline"/>
                      <w:lang w:eastAsia="zh-CN"/>
                    </w:rPr>
                  </w:pPr>
                </w:p>
              </w:tc>
              <w:tc>
                <w:tcPr>
                  <w:tcW w:w="1231" w:type="dxa"/>
                  <w:tcBorders>
                    <w:tl2br w:val="nil"/>
                    <w:tr2bl w:val="nil"/>
                  </w:tcBorders>
                  <w:noWrap w:val="0"/>
                  <w:vAlign w:val="center"/>
                </w:tcPr>
                <w:p w14:paraId="352802C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cs="Times New Roman"/>
                      <w:b w:val="0"/>
                      <w:bCs/>
                      <w:color w:val="auto"/>
                      <w:kern w:val="0"/>
                      <w:sz w:val="18"/>
                      <w:szCs w:val="18"/>
                      <w:highlight w:val="none"/>
                      <w:vertAlign w:val="baseline"/>
                      <w:lang w:val="en-US" w:eastAsia="zh-CN" w:bidi="ar-SA"/>
                    </w:rPr>
                    <w:t>充放电机</w:t>
                  </w:r>
                </w:p>
              </w:tc>
              <w:tc>
                <w:tcPr>
                  <w:tcW w:w="420" w:type="dxa"/>
                  <w:tcBorders>
                    <w:tl2br w:val="nil"/>
                    <w:tr2bl w:val="nil"/>
                  </w:tcBorders>
                  <w:noWrap w:val="0"/>
                  <w:vAlign w:val="center"/>
                </w:tcPr>
                <w:p w14:paraId="55C6312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eastAsia"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75</w:t>
                  </w:r>
                </w:p>
              </w:tc>
              <w:tc>
                <w:tcPr>
                  <w:tcW w:w="465" w:type="dxa"/>
                  <w:tcBorders>
                    <w:tl2br w:val="nil"/>
                    <w:tr2bl w:val="nil"/>
                  </w:tcBorders>
                  <w:noWrap w:val="0"/>
                  <w:vAlign w:val="center"/>
                </w:tcPr>
                <w:p w14:paraId="55B851E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1</w:t>
                  </w:r>
                </w:p>
              </w:tc>
              <w:tc>
                <w:tcPr>
                  <w:tcW w:w="498" w:type="dxa"/>
                  <w:vMerge w:val="continue"/>
                  <w:tcBorders>
                    <w:tl2br w:val="nil"/>
                    <w:tr2bl w:val="nil"/>
                  </w:tcBorders>
                  <w:noWrap w:val="0"/>
                  <w:vAlign w:val="center"/>
                </w:tcPr>
                <w:p w14:paraId="44BB35AA">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p>
              </w:tc>
              <w:tc>
                <w:tcPr>
                  <w:tcW w:w="510" w:type="dxa"/>
                  <w:tcBorders>
                    <w:tl2br w:val="nil"/>
                    <w:tr2bl w:val="nil"/>
                  </w:tcBorders>
                  <w:noWrap w:val="0"/>
                  <w:vAlign w:val="center"/>
                </w:tcPr>
                <w:p w14:paraId="06BB9A21">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-4</w:t>
                  </w:r>
                </w:p>
              </w:tc>
              <w:tc>
                <w:tcPr>
                  <w:tcW w:w="510" w:type="dxa"/>
                  <w:tcBorders>
                    <w:tl2br w:val="nil"/>
                    <w:tr2bl w:val="nil"/>
                  </w:tcBorders>
                  <w:noWrap w:val="0"/>
                  <w:vAlign w:val="center"/>
                </w:tcPr>
                <w:p w14:paraId="03D18027">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8</w:t>
                  </w:r>
                </w:p>
              </w:tc>
              <w:tc>
                <w:tcPr>
                  <w:tcW w:w="510" w:type="dxa"/>
                  <w:tcBorders>
                    <w:tl2br w:val="nil"/>
                    <w:tr2bl w:val="nil"/>
                  </w:tcBorders>
                  <w:noWrap w:val="0"/>
                  <w:vAlign w:val="center"/>
                </w:tcPr>
                <w:p w14:paraId="5AFF257F">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1.5</w:t>
                  </w:r>
                </w:p>
              </w:tc>
              <w:tc>
                <w:tcPr>
                  <w:tcW w:w="510" w:type="dxa"/>
                  <w:tcBorders>
                    <w:tl2br w:val="nil"/>
                    <w:tr2bl w:val="nil"/>
                  </w:tcBorders>
                  <w:noWrap w:val="0"/>
                  <w:vAlign w:val="center"/>
                </w:tcPr>
                <w:p w14:paraId="37188BA6">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2</w:t>
                  </w:r>
                </w:p>
              </w:tc>
              <w:tc>
                <w:tcPr>
                  <w:tcW w:w="510" w:type="dxa"/>
                  <w:tcBorders>
                    <w:tl2br w:val="nil"/>
                    <w:tr2bl w:val="nil"/>
                  </w:tcBorders>
                  <w:noWrap w:val="0"/>
                  <w:vAlign w:val="center"/>
                </w:tcPr>
                <w:p w14:paraId="4836DA8A">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74</w:t>
                  </w:r>
                </w:p>
              </w:tc>
              <w:tc>
                <w:tcPr>
                  <w:tcW w:w="510" w:type="dxa"/>
                  <w:vMerge w:val="continue"/>
                  <w:tcBorders>
                    <w:tl2br w:val="nil"/>
                    <w:tr2bl w:val="nil"/>
                  </w:tcBorders>
                  <w:noWrap w:val="0"/>
                  <w:vAlign w:val="center"/>
                </w:tcPr>
                <w:p w14:paraId="63A7E6EE">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p>
              </w:tc>
              <w:tc>
                <w:tcPr>
                  <w:tcW w:w="510" w:type="dxa"/>
                  <w:tcBorders>
                    <w:tl2br w:val="nil"/>
                    <w:tr2bl w:val="nil"/>
                  </w:tcBorders>
                  <w:noWrap w:val="0"/>
                  <w:vAlign w:val="center"/>
                </w:tcPr>
                <w:p w14:paraId="76D8EB16">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eastAsia="宋体" w:cs="Times New Roman"/>
                      <w:b w:val="0"/>
                      <w:bCs/>
                      <w:color w:val="auto"/>
                      <w:kern w:val="0"/>
                      <w:sz w:val="18"/>
                      <w:szCs w:val="18"/>
                      <w:highlight w:val="none"/>
                      <w:vertAlign w:val="baseline"/>
                      <w:lang w:val="en-US" w:eastAsia="zh-CN"/>
                    </w:rPr>
                  </w:pPr>
                  <w:r>
                    <w:rPr>
                      <w:rFonts w:hint="eastAsia" w:ascii="Times New Roman" w:hAnsi="Times New Roman" w:eastAsia="宋体" w:cs="Times New Roman"/>
                      <w:b w:val="0"/>
                      <w:bCs/>
                      <w:color w:val="auto"/>
                      <w:kern w:val="0"/>
                      <w:sz w:val="18"/>
                      <w:szCs w:val="18"/>
                      <w:highlight w:val="none"/>
                      <w:vertAlign w:val="baseline"/>
                      <w:lang w:val="en-US" w:eastAsia="zh-CN"/>
                    </w:rPr>
                    <w:t>20</w:t>
                  </w:r>
                </w:p>
              </w:tc>
              <w:tc>
                <w:tcPr>
                  <w:tcW w:w="510" w:type="dxa"/>
                  <w:tcBorders>
                    <w:tl2br w:val="nil"/>
                    <w:tr2bl w:val="nil"/>
                  </w:tcBorders>
                  <w:noWrap w:val="0"/>
                  <w:vAlign w:val="center"/>
                </w:tcPr>
                <w:p w14:paraId="3E1D6408">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54</w:t>
                  </w:r>
                </w:p>
              </w:tc>
              <w:tc>
                <w:tcPr>
                  <w:tcW w:w="516" w:type="dxa"/>
                  <w:tcBorders>
                    <w:tl2br w:val="nil"/>
                    <w:tr2bl w:val="nil"/>
                  </w:tcBorders>
                  <w:noWrap w:val="0"/>
                  <w:vAlign w:val="center"/>
                </w:tcPr>
                <w:p w14:paraId="45F4CA1A">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w:t>
                  </w:r>
                </w:p>
              </w:tc>
            </w:tr>
            <w:tr w14:paraId="6C8E33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tcBorders>
                    <w:tl2br w:val="nil"/>
                    <w:tr2bl w:val="nil"/>
                  </w:tcBorders>
                  <w:shd w:val="clear" w:color="auto" w:fill="auto"/>
                  <w:noWrap w:val="0"/>
                  <w:vAlign w:val="center"/>
                </w:tcPr>
                <w:p w14:paraId="67637970">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eastAsia" w:ascii="Times New Roman" w:hAnsi="宋体" w:eastAsia="宋体" w:cs="Times New Roman"/>
                      <w:b w:val="0"/>
                      <w:bCs/>
                      <w:color w:val="auto"/>
                      <w:kern w:val="0"/>
                      <w:sz w:val="18"/>
                      <w:szCs w:val="18"/>
                      <w:highlight w:val="none"/>
                      <w:vertAlign w:val="baseline"/>
                      <w:lang w:val="en-US" w:eastAsia="zh-CN" w:bidi="ar-SA"/>
                    </w:rPr>
                  </w:pPr>
                  <w:r>
                    <w:rPr>
                      <w:rFonts w:hint="eastAsia" w:ascii="Times New Roman" w:cs="Times New Roman"/>
                      <w:b w:val="0"/>
                      <w:bCs/>
                      <w:color w:val="auto"/>
                      <w:kern w:val="0"/>
                      <w:sz w:val="18"/>
                      <w:szCs w:val="18"/>
                      <w:highlight w:val="none"/>
                      <w:vertAlign w:val="baseline"/>
                      <w:lang w:val="en-US" w:eastAsia="zh-CN"/>
                    </w:rPr>
                    <w:t>14</w:t>
                  </w:r>
                </w:p>
              </w:tc>
              <w:tc>
                <w:tcPr>
                  <w:tcW w:w="371" w:type="dxa"/>
                  <w:vMerge w:val="continue"/>
                  <w:tcBorders>
                    <w:tl2br w:val="nil"/>
                    <w:tr2bl w:val="nil"/>
                  </w:tcBorders>
                  <w:noWrap w:val="0"/>
                  <w:vAlign w:val="center"/>
                </w:tcPr>
                <w:p w14:paraId="6C4FB10A">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eastAsia="宋体" w:cs="Times New Roman"/>
                      <w:b w:val="0"/>
                      <w:bCs/>
                      <w:color w:val="auto"/>
                      <w:kern w:val="0"/>
                      <w:sz w:val="18"/>
                      <w:szCs w:val="18"/>
                      <w:highlight w:val="none"/>
                      <w:vertAlign w:val="baseline"/>
                      <w:lang w:eastAsia="zh-CN"/>
                    </w:rPr>
                  </w:pPr>
                </w:p>
              </w:tc>
              <w:tc>
                <w:tcPr>
                  <w:tcW w:w="1231" w:type="dxa"/>
                  <w:tcBorders>
                    <w:tl2br w:val="nil"/>
                    <w:tr2bl w:val="nil"/>
                  </w:tcBorders>
                  <w:noWrap w:val="0"/>
                  <w:vAlign w:val="center"/>
                </w:tcPr>
                <w:p w14:paraId="56AFC5B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cs="Times New Roman"/>
                      <w:b w:val="0"/>
                      <w:bCs/>
                      <w:color w:val="auto"/>
                      <w:kern w:val="0"/>
                      <w:sz w:val="18"/>
                      <w:szCs w:val="18"/>
                      <w:highlight w:val="none"/>
                      <w:vertAlign w:val="baseline"/>
                      <w:lang w:val="en-US" w:eastAsia="zh-CN" w:bidi="ar-SA"/>
                    </w:rPr>
                    <w:t>翻转机</w:t>
                  </w:r>
                </w:p>
              </w:tc>
              <w:tc>
                <w:tcPr>
                  <w:tcW w:w="420" w:type="dxa"/>
                  <w:tcBorders>
                    <w:tl2br w:val="nil"/>
                    <w:tr2bl w:val="nil"/>
                  </w:tcBorders>
                  <w:noWrap w:val="0"/>
                  <w:vAlign w:val="center"/>
                </w:tcPr>
                <w:p w14:paraId="5B473E31">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eastAsia"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75</w:t>
                  </w:r>
                </w:p>
              </w:tc>
              <w:tc>
                <w:tcPr>
                  <w:tcW w:w="465" w:type="dxa"/>
                  <w:tcBorders>
                    <w:tl2br w:val="nil"/>
                    <w:tr2bl w:val="nil"/>
                  </w:tcBorders>
                  <w:noWrap w:val="0"/>
                  <w:vAlign w:val="center"/>
                </w:tcPr>
                <w:p w14:paraId="13B903C1">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1</w:t>
                  </w:r>
                </w:p>
              </w:tc>
              <w:tc>
                <w:tcPr>
                  <w:tcW w:w="498" w:type="dxa"/>
                  <w:vMerge w:val="continue"/>
                  <w:tcBorders>
                    <w:tl2br w:val="nil"/>
                    <w:tr2bl w:val="nil"/>
                  </w:tcBorders>
                  <w:noWrap w:val="0"/>
                  <w:vAlign w:val="center"/>
                </w:tcPr>
                <w:p w14:paraId="751C56E7">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p>
              </w:tc>
              <w:tc>
                <w:tcPr>
                  <w:tcW w:w="510" w:type="dxa"/>
                  <w:tcBorders>
                    <w:tl2br w:val="nil"/>
                    <w:tr2bl w:val="nil"/>
                  </w:tcBorders>
                  <w:noWrap w:val="0"/>
                  <w:vAlign w:val="center"/>
                </w:tcPr>
                <w:p w14:paraId="707130EE">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-8</w:t>
                  </w:r>
                </w:p>
              </w:tc>
              <w:tc>
                <w:tcPr>
                  <w:tcW w:w="510" w:type="dxa"/>
                  <w:tcBorders>
                    <w:tl2br w:val="nil"/>
                    <w:tr2bl w:val="nil"/>
                  </w:tcBorders>
                  <w:noWrap w:val="0"/>
                  <w:vAlign w:val="center"/>
                </w:tcPr>
                <w:p w14:paraId="7DC8950B">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6</w:t>
                  </w:r>
                </w:p>
              </w:tc>
              <w:tc>
                <w:tcPr>
                  <w:tcW w:w="510" w:type="dxa"/>
                  <w:tcBorders>
                    <w:tl2br w:val="nil"/>
                    <w:tr2bl w:val="nil"/>
                  </w:tcBorders>
                  <w:noWrap w:val="0"/>
                  <w:vAlign w:val="center"/>
                </w:tcPr>
                <w:p w14:paraId="0FBF6DCB">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1.5</w:t>
                  </w:r>
                </w:p>
              </w:tc>
              <w:tc>
                <w:tcPr>
                  <w:tcW w:w="510" w:type="dxa"/>
                  <w:tcBorders>
                    <w:tl2br w:val="nil"/>
                    <w:tr2bl w:val="nil"/>
                  </w:tcBorders>
                  <w:noWrap w:val="0"/>
                  <w:vAlign w:val="center"/>
                </w:tcPr>
                <w:p w14:paraId="146842B8">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2</w:t>
                  </w:r>
                </w:p>
              </w:tc>
              <w:tc>
                <w:tcPr>
                  <w:tcW w:w="510" w:type="dxa"/>
                  <w:tcBorders>
                    <w:tl2br w:val="nil"/>
                    <w:tr2bl w:val="nil"/>
                  </w:tcBorders>
                  <w:noWrap w:val="0"/>
                  <w:vAlign w:val="center"/>
                </w:tcPr>
                <w:p w14:paraId="112D1327">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74</w:t>
                  </w:r>
                </w:p>
              </w:tc>
              <w:tc>
                <w:tcPr>
                  <w:tcW w:w="510" w:type="dxa"/>
                  <w:vMerge w:val="continue"/>
                  <w:tcBorders>
                    <w:tl2br w:val="nil"/>
                    <w:tr2bl w:val="nil"/>
                  </w:tcBorders>
                  <w:noWrap w:val="0"/>
                  <w:vAlign w:val="center"/>
                </w:tcPr>
                <w:p w14:paraId="60ABC878">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p>
              </w:tc>
              <w:tc>
                <w:tcPr>
                  <w:tcW w:w="510" w:type="dxa"/>
                  <w:tcBorders>
                    <w:tl2br w:val="nil"/>
                    <w:tr2bl w:val="nil"/>
                  </w:tcBorders>
                  <w:noWrap w:val="0"/>
                  <w:vAlign w:val="center"/>
                </w:tcPr>
                <w:p w14:paraId="0EED5749">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eastAsia="宋体" w:cs="Times New Roman"/>
                      <w:b w:val="0"/>
                      <w:bCs/>
                      <w:color w:val="auto"/>
                      <w:kern w:val="0"/>
                      <w:sz w:val="18"/>
                      <w:szCs w:val="18"/>
                      <w:highlight w:val="none"/>
                      <w:vertAlign w:val="baseline"/>
                      <w:lang w:val="en-US" w:eastAsia="zh-CN"/>
                    </w:rPr>
                  </w:pPr>
                  <w:r>
                    <w:rPr>
                      <w:rFonts w:hint="eastAsia" w:ascii="Times New Roman" w:hAnsi="Times New Roman" w:eastAsia="宋体" w:cs="Times New Roman"/>
                      <w:b w:val="0"/>
                      <w:bCs/>
                      <w:color w:val="auto"/>
                      <w:kern w:val="0"/>
                      <w:sz w:val="18"/>
                      <w:szCs w:val="18"/>
                      <w:highlight w:val="none"/>
                      <w:vertAlign w:val="baseline"/>
                      <w:lang w:val="en-US" w:eastAsia="zh-CN"/>
                    </w:rPr>
                    <w:t>20</w:t>
                  </w:r>
                </w:p>
              </w:tc>
              <w:tc>
                <w:tcPr>
                  <w:tcW w:w="510" w:type="dxa"/>
                  <w:tcBorders>
                    <w:tl2br w:val="nil"/>
                    <w:tr2bl w:val="nil"/>
                  </w:tcBorders>
                  <w:noWrap w:val="0"/>
                  <w:vAlign w:val="center"/>
                </w:tcPr>
                <w:p w14:paraId="350575AF">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54</w:t>
                  </w:r>
                </w:p>
              </w:tc>
              <w:tc>
                <w:tcPr>
                  <w:tcW w:w="516" w:type="dxa"/>
                  <w:tcBorders>
                    <w:tl2br w:val="nil"/>
                    <w:tr2bl w:val="nil"/>
                  </w:tcBorders>
                  <w:noWrap w:val="0"/>
                  <w:vAlign w:val="center"/>
                </w:tcPr>
                <w:p w14:paraId="73D7CE4E">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w:t>
                  </w:r>
                </w:p>
              </w:tc>
            </w:tr>
            <w:tr w14:paraId="0546D4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tcBorders>
                    <w:tl2br w:val="nil"/>
                    <w:tr2bl w:val="nil"/>
                  </w:tcBorders>
                  <w:noWrap w:val="0"/>
                  <w:vAlign w:val="center"/>
                </w:tcPr>
                <w:p w14:paraId="77589EA9">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宋体" w:eastAsia="宋体" w:cs="Times New Roman"/>
                      <w:b w:val="0"/>
                      <w:bCs/>
                      <w:color w:val="auto"/>
                      <w:kern w:val="0"/>
                      <w:sz w:val="18"/>
                      <w:szCs w:val="18"/>
                      <w:highlight w:val="none"/>
                      <w:vertAlign w:val="baseline"/>
                      <w:lang w:val="en-US" w:eastAsia="zh-CN" w:bidi="ar-SA"/>
                    </w:rPr>
                  </w:pPr>
                  <w:r>
                    <w:rPr>
                      <w:rFonts w:hint="eastAsia" w:ascii="Times New Roman" w:cs="Times New Roman"/>
                      <w:b w:val="0"/>
                      <w:bCs/>
                      <w:color w:val="auto"/>
                      <w:kern w:val="0"/>
                      <w:sz w:val="18"/>
                      <w:szCs w:val="18"/>
                      <w:highlight w:val="none"/>
                      <w:vertAlign w:val="baseline"/>
                      <w:lang w:val="en-US" w:eastAsia="zh-CN"/>
                    </w:rPr>
                    <w:t>15</w:t>
                  </w:r>
                </w:p>
              </w:tc>
              <w:tc>
                <w:tcPr>
                  <w:tcW w:w="371" w:type="dxa"/>
                  <w:vMerge w:val="continue"/>
                  <w:tcBorders>
                    <w:tl2br w:val="nil"/>
                    <w:tr2bl w:val="nil"/>
                  </w:tcBorders>
                  <w:noWrap w:val="0"/>
                  <w:vAlign w:val="center"/>
                </w:tcPr>
                <w:p w14:paraId="62B14ACA">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eastAsia="宋体" w:cs="Times New Roman"/>
                      <w:b w:val="0"/>
                      <w:bCs/>
                      <w:color w:val="auto"/>
                      <w:kern w:val="0"/>
                      <w:sz w:val="18"/>
                      <w:szCs w:val="18"/>
                      <w:highlight w:val="none"/>
                      <w:vertAlign w:val="baseline"/>
                      <w:lang w:eastAsia="zh-CN"/>
                    </w:rPr>
                  </w:pPr>
                </w:p>
              </w:tc>
              <w:tc>
                <w:tcPr>
                  <w:tcW w:w="1231" w:type="dxa"/>
                  <w:tcBorders>
                    <w:tl2br w:val="nil"/>
                    <w:tr2bl w:val="nil"/>
                  </w:tcBorders>
                  <w:noWrap w:val="0"/>
                  <w:vAlign w:val="center"/>
                </w:tcPr>
                <w:p w14:paraId="42F11482">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鼓风机</w:t>
                  </w:r>
                </w:p>
              </w:tc>
              <w:tc>
                <w:tcPr>
                  <w:tcW w:w="420" w:type="dxa"/>
                  <w:tcBorders>
                    <w:tl2br w:val="nil"/>
                    <w:tr2bl w:val="nil"/>
                  </w:tcBorders>
                  <w:noWrap w:val="0"/>
                  <w:vAlign w:val="center"/>
                </w:tcPr>
                <w:p w14:paraId="7BF34865">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85</w:t>
                  </w:r>
                </w:p>
              </w:tc>
              <w:tc>
                <w:tcPr>
                  <w:tcW w:w="465" w:type="dxa"/>
                  <w:tcBorders>
                    <w:tl2br w:val="nil"/>
                    <w:tr2bl w:val="nil"/>
                  </w:tcBorders>
                  <w:noWrap w:val="0"/>
                  <w:vAlign w:val="center"/>
                </w:tcPr>
                <w:p w14:paraId="65A3838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eastAsia"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1</w:t>
                  </w:r>
                </w:p>
              </w:tc>
              <w:tc>
                <w:tcPr>
                  <w:tcW w:w="498" w:type="dxa"/>
                  <w:vMerge w:val="continue"/>
                  <w:tcBorders>
                    <w:tl2br w:val="nil"/>
                    <w:tr2bl w:val="nil"/>
                  </w:tcBorders>
                  <w:noWrap w:val="0"/>
                  <w:vAlign w:val="center"/>
                </w:tcPr>
                <w:p w14:paraId="4E7F4A4D">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p>
              </w:tc>
              <w:tc>
                <w:tcPr>
                  <w:tcW w:w="510" w:type="dxa"/>
                  <w:tcBorders>
                    <w:tl2br w:val="nil"/>
                    <w:tr2bl w:val="nil"/>
                  </w:tcBorders>
                  <w:noWrap w:val="0"/>
                  <w:vAlign w:val="center"/>
                </w:tcPr>
                <w:p w14:paraId="49165A55">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-8</w:t>
                  </w:r>
                </w:p>
              </w:tc>
              <w:tc>
                <w:tcPr>
                  <w:tcW w:w="510" w:type="dxa"/>
                  <w:tcBorders>
                    <w:tl2br w:val="nil"/>
                    <w:tr2bl w:val="nil"/>
                  </w:tcBorders>
                  <w:noWrap w:val="0"/>
                  <w:vAlign w:val="center"/>
                </w:tcPr>
                <w:p w14:paraId="3865738D">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3</w:t>
                  </w:r>
                </w:p>
              </w:tc>
              <w:tc>
                <w:tcPr>
                  <w:tcW w:w="510" w:type="dxa"/>
                  <w:tcBorders>
                    <w:tl2br w:val="nil"/>
                    <w:tr2bl w:val="nil"/>
                  </w:tcBorders>
                  <w:noWrap w:val="0"/>
                  <w:vAlign w:val="center"/>
                </w:tcPr>
                <w:p w14:paraId="429EB738">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0.5</w:t>
                  </w:r>
                </w:p>
              </w:tc>
              <w:tc>
                <w:tcPr>
                  <w:tcW w:w="510" w:type="dxa"/>
                  <w:tcBorders>
                    <w:tl2br w:val="nil"/>
                    <w:tr2bl w:val="nil"/>
                  </w:tcBorders>
                  <w:noWrap w:val="0"/>
                  <w:vAlign w:val="center"/>
                </w:tcPr>
                <w:p w14:paraId="55F55568">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w:t>
                  </w:r>
                </w:p>
              </w:tc>
              <w:tc>
                <w:tcPr>
                  <w:tcW w:w="510" w:type="dxa"/>
                  <w:tcBorders>
                    <w:tl2br w:val="nil"/>
                    <w:tr2bl w:val="nil"/>
                  </w:tcBorders>
                  <w:noWrap w:val="0"/>
                  <w:vAlign w:val="center"/>
                </w:tcPr>
                <w:p w14:paraId="232255F5">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85</w:t>
                  </w:r>
                </w:p>
              </w:tc>
              <w:tc>
                <w:tcPr>
                  <w:tcW w:w="510" w:type="dxa"/>
                  <w:vMerge w:val="continue"/>
                  <w:tcBorders>
                    <w:tl2br w:val="nil"/>
                    <w:tr2bl w:val="nil"/>
                  </w:tcBorders>
                  <w:noWrap w:val="0"/>
                  <w:vAlign w:val="center"/>
                </w:tcPr>
                <w:p w14:paraId="061C97AC">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cs="Times New Roman"/>
                      <w:b w:val="0"/>
                      <w:bCs/>
                      <w:color w:val="auto"/>
                      <w:kern w:val="0"/>
                      <w:sz w:val="18"/>
                      <w:szCs w:val="18"/>
                      <w:highlight w:val="none"/>
                      <w:vertAlign w:val="baseline"/>
                      <w:lang w:val="en-US" w:eastAsia="zh-CN"/>
                    </w:rPr>
                  </w:pPr>
                </w:p>
              </w:tc>
              <w:tc>
                <w:tcPr>
                  <w:tcW w:w="510" w:type="dxa"/>
                  <w:tcBorders>
                    <w:tl2br w:val="nil"/>
                    <w:tr2bl w:val="nil"/>
                  </w:tcBorders>
                  <w:noWrap w:val="0"/>
                  <w:vAlign w:val="center"/>
                </w:tcPr>
                <w:p w14:paraId="161E320A">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eastAsia="宋体" w:cs="Times New Roman"/>
                      <w:b w:val="0"/>
                      <w:bCs/>
                      <w:color w:val="auto"/>
                      <w:kern w:val="0"/>
                      <w:sz w:val="18"/>
                      <w:szCs w:val="18"/>
                      <w:highlight w:val="none"/>
                      <w:vertAlign w:val="baseline"/>
                      <w:lang w:val="en-US" w:eastAsia="zh-CN"/>
                    </w:rPr>
                    <w:t>20</w:t>
                  </w:r>
                </w:p>
              </w:tc>
              <w:tc>
                <w:tcPr>
                  <w:tcW w:w="510" w:type="dxa"/>
                  <w:tcBorders>
                    <w:tl2br w:val="nil"/>
                    <w:tr2bl w:val="nil"/>
                  </w:tcBorders>
                  <w:noWrap w:val="0"/>
                  <w:vAlign w:val="center"/>
                </w:tcPr>
                <w:p w14:paraId="7D5B9397">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65</w:t>
                  </w:r>
                </w:p>
              </w:tc>
              <w:tc>
                <w:tcPr>
                  <w:tcW w:w="516" w:type="dxa"/>
                  <w:tcBorders>
                    <w:tl2br w:val="nil"/>
                    <w:tr2bl w:val="nil"/>
                  </w:tcBorders>
                  <w:noWrap w:val="0"/>
                  <w:vAlign w:val="center"/>
                </w:tcPr>
                <w:p w14:paraId="76C69EC8">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w:t>
                  </w:r>
                </w:p>
              </w:tc>
            </w:tr>
            <w:tr w14:paraId="20E718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tcBorders>
                    <w:tl2br w:val="nil"/>
                    <w:tr2bl w:val="nil"/>
                  </w:tcBorders>
                  <w:noWrap w:val="0"/>
                  <w:vAlign w:val="center"/>
                </w:tcPr>
                <w:p w14:paraId="165AA466">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宋体" w:eastAsia="宋体" w:cs="Times New Roman"/>
                      <w:b w:val="0"/>
                      <w:bCs/>
                      <w:color w:val="auto"/>
                      <w:kern w:val="0"/>
                      <w:sz w:val="18"/>
                      <w:szCs w:val="18"/>
                      <w:highlight w:val="none"/>
                      <w:vertAlign w:val="baseline"/>
                      <w:lang w:val="en-US" w:eastAsia="zh-CN" w:bidi="ar-SA"/>
                    </w:rPr>
                  </w:pPr>
                  <w:r>
                    <w:rPr>
                      <w:rFonts w:hint="eastAsia" w:ascii="Times New Roman" w:cs="Times New Roman"/>
                      <w:b w:val="0"/>
                      <w:bCs/>
                      <w:color w:val="auto"/>
                      <w:kern w:val="0"/>
                      <w:sz w:val="18"/>
                      <w:szCs w:val="18"/>
                      <w:highlight w:val="none"/>
                      <w:vertAlign w:val="baseline"/>
                      <w:lang w:val="en-US" w:eastAsia="zh-CN" w:bidi="ar-SA"/>
                    </w:rPr>
                    <w:t>16</w:t>
                  </w:r>
                </w:p>
              </w:tc>
              <w:tc>
                <w:tcPr>
                  <w:tcW w:w="371" w:type="dxa"/>
                  <w:vMerge w:val="continue"/>
                  <w:tcBorders>
                    <w:tl2br w:val="nil"/>
                    <w:tr2bl w:val="nil"/>
                  </w:tcBorders>
                  <w:noWrap w:val="0"/>
                  <w:vAlign w:val="center"/>
                </w:tcPr>
                <w:p w14:paraId="0178D7A4">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eastAsia="宋体" w:cs="Times New Roman"/>
                      <w:b w:val="0"/>
                      <w:bCs/>
                      <w:color w:val="auto"/>
                      <w:kern w:val="0"/>
                      <w:sz w:val="18"/>
                      <w:szCs w:val="18"/>
                      <w:highlight w:val="none"/>
                      <w:vertAlign w:val="baseline"/>
                      <w:lang w:eastAsia="zh-CN"/>
                    </w:rPr>
                  </w:pPr>
                </w:p>
              </w:tc>
              <w:tc>
                <w:tcPr>
                  <w:tcW w:w="1231" w:type="dxa"/>
                  <w:tcBorders>
                    <w:tl2br w:val="nil"/>
                    <w:tr2bl w:val="nil"/>
                  </w:tcBorders>
                  <w:noWrap w:val="0"/>
                  <w:vAlign w:val="center"/>
                </w:tcPr>
                <w:p w14:paraId="44937374">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鼓风机</w:t>
                  </w:r>
                </w:p>
              </w:tc>
              <w:tc>
                <w:tcPr>
                  <w:tcW w:w="420" w:type="dxa"/>
                  <w:tcBorders>
                    <w:tl2br w:val="nil"/>
                    <w:tr2bl w:val="nil"/>
                  </w:tcBorders>
                  <w:noWrap w:val="0"/>
                  <w:vAlign w:val="center"/>
                </w:tcPr>
                <w:p w14:paraId="12ED148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85</w:t>
                  </w:r>
                </w:p>
              </w:tc>
              <w:tc>
                <w:tcPr>
                  <w:tcW w:w="465" w:type="dxa"/>
                  <w:tcBorders>
                    <w:tl2br w:val="nil"/>
                    <w:tr2bl w:val="nil"/>
                  </w:tcBorders>
                  <w:noWrap w:val="0"/>
                  <w:vAlign w:val="center"/>
                </w:tcPr>
                <w:p w14:paraId="596DAA7D">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eastAsia"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1</w:t>
                  </w:r>
                </w:p>
              </w:tc>
              <w:tc>
                <w:tcPr>
                  <w:tcW w:w="498" w:type="dxa"/>
                  <w:vMerge w:val="continue"/>
                  <w:tcBorders>
                    <w:tl2br w:val="nil"/>
                    <w:tr2bl w:val="nil"/>
                  </w:tcBorders>
                  <w:noWrap w:val="0"/>
                  <w:vAlign w:val="center"/>
                </w:tcPr>
                <w:p w14:paraId="6DC9E37C">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p>
              </w:tc>
              <w:tc>
                <w:tcPr>
                  <w:tcW w:w="510" w:type="dxa"/>
                  <w:tcBorders>
                    <w:tl2br w:val="nil"/>
                    <w:tr2bl w:val="nil"/>
                  </w:tcBorders>
                  <w:noWrap w:val="0"/>
                  <w:vAlign w:val="center"/>
                </w:tcPr>
                <w:p w14:paraId="3FBB806E">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-23</w:t>
                  </w:r>
                </w:p>
              </w:tc>
              <w:tc>
                <w:tcPr>
                  <w:tcW w:w="510" w:type="dxa"/>
                  <w:tcBorders>
                    <w:tl2br w:val="nil"/>
                    <w:tr2bl w:val="nil"/>
                  </w:tcBorders>
                  <w:noWrap w:val="0"/>
                  <w:vAlign w:val="center"/>
                </w:tcPr>
                <w:p w14:paraId="1716EB40">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13</w:t>
                  </w:r>
                </w:p>
              </w:tc>
              <w:tc>
                <w:tcPr>
                  <w:tcW w:w="510" w:type="dxa"/>
                  <w:tcBorders>
                    <w:tl2br w:val="nil"/>
                    <w:tr2bl w:val="nil"/>
                  </w:tcBorders>
                  <w:noWrap w:val="0"/>
                  <w:vAlign w:val="center"/>
                </w:tcPr>
                <w:p w14:paraId="729EA76A">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0.5</w:t>
                  </w:r>
                </w:p>
              </w:tc>
              <w:tc>
                <w:tcPr>
                  <w:tcW w:w="510" w:type="dxa"/>
                  <w:tcBorders>
                    <w:tl2br w:val="nil"/>
                    <w:tr2bl w:val="nil"/>
                  </w:tcBorders>
                  <w:noWrap w:val="0"/>
                  <w:vAlign w:val="center"/>
                </w:tcPr>
                <w:p w14:paraId="52E0A6F5">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w:t>
                  </w:r>
                </w:p>
              </w:tc>
              <w:tc>
                <w:tcPr>
                  <w:tcW w:w="510" w:type="dxa"/>
                  <w:tcBorders>
                    <w:tl2br w:val="nil"/>
                    <w:tr2bl w:val="nil"/>
                  </w:tcBorders>
                  <w:noWrap w:val="0"/>
                  <w:vAlign w:val="center"/>
                </w:tcPr>
                <w:p w14:paraId="7C1D3CE5">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85</w:t>
                  </w:r>
                </w:p>
              </w:tc>
              <w:tc>
                <w:tcPr>
                  <w:tcW w:w="510" w:type="dxa"/>
                  <w:vMerge w:val="continue"/>
                  <w:tcBorders>
                    <w:tl2br w:val="nil"/>
                    <w:tr2bl w:val="nil"/>
                  </w:tcBorders>
                  <w:noWrap w:val="0"/>
                  <w:vAlign w:val="center"/>
                </w:tcPr>
                <w:p w14:paraId="69D226A6">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p>
              </w:tc>
              <w:tc>
                <w:tcPr>
                  <w:tcW w:w="510" w:type="dxa"/>
                  <w:tcBorders>
                    <w:tl2br w:val="nil"/>
                    <w:tr2bl w:val="nil"/>
                  </w:tcBorders>
                  <w:noWrap w:val="0"/>
                  <w:vAlign w:val="center"/>
                </w:tcPr>
                <w:p w14:paraId="7F8B66ED">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eastAsia="宋体" w:cs="Times New Roman"/>
                      <w:b w:val="0"/>
                      <w:bCs/>
                      <w:color w:val="auto"/>
                      <w:kern w:val="0"/>
                      <w:sz w:val="18"/>
                      <w:szCs w:val="18"/>
                      <w:highlight w:val="none"/>
                      <w:vertAlign w:val="baseline"/>
                      <w:lang w:val="en-US" w:eastAsia="zh-CN"/>
                    </w:rPr>
                    <w:t>20</w:t>
                  </w:r>
                </w:p>
              </w:tc>
              <w:tc>
                <w:tcPr>
                  <w:tcW w:w="510" w:type="dxa"/>
                  <w:tcBorders>
                    <w:tl2br w:val="nil"/>
                    <w:tr2bl w:val="nil"/>
                  </w:tcBorders>
                  <w:noWrap w:val="0"/>
                  <w:vAlign w:val="center"/>
                </w:tcPr>
                <w:p w14:paraId="0028C0C6">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65</w:t>
                  </w:r>
                </w:p>
              </w:tc>
              <w:tc>
                <w:tcPr>
                  <w:tcW w:w="516" w:type="dxa"/>
                  <w:tcBorders>
                    <w:tl2br w:val="nil"/>
                    <w:tr2bl w:val="nil"/>
                  </w:tcBorders>
                  <w:noWrap w:val="0"/>
                  <w:vAlign w:val="center"/>
                </w:tcPr>
                <w:p w14:paraId="7668ECD2">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w:t>
                  </w:r>
                </w:p>
              </w:tc>
            </w:tr>
            <w:tr w14:paraId="250A19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tcBorders>
                    <w:tl2br w:val="nil"/>
                    <w:tr2bl w:val="nil"/>
                  </w:tcBorders>
                  <w:noWrap w:val="0"/>
                  <w:vAlign w:val="center"/>
                </w:tcPr>
                <w:p w14:paraId="7EA8F30C">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宋体" w:eastAsia="宋体" w:cs="Times New Roman"/>
                      <w:b w:val="0"/>
                      <w:bCs/>
                      <w:color w:val="auto"/>
                      <w:kern w:val="0"/>
                      <w:sz w:val="18"/>
                      <w:szCs w:val="18"/>
                      <w:highlight w:val="none"/>
                      <w:vertAlign w:val="baseline"/>
                      <w:lang w:val="en-US" w:eastAsia="zh-CN" w:bidi="ar-SA"/>
                    </w:rPr>
                  </w:pPr>
                  <w:r>
                    <w:rPr>
                      <w:rFonts w:hint="eastAsia" w:ascii="Times New Roman" w:cs="Times New Roman"/>
                      <w:b w:val="0"/>
                      <w:bCs/>
                      <w:color w:val="auto"/>
                      <w:kern w:val="0"/>
                      <w:sz w:val="18"/>
                      <w:szCs w:val="18"/>
                      <w:highlight w:val="none"/>
                      <w:vertAlign w:val="baseline"/>
                      <w:lang w:val="en-US" w:eastAsia="zh-CN" w:bidi="ar-SA"/>
                    </w:rPr>
                    <w:t>17</w:t>
                  </w:r>
                </w:p>
              </w:tc>
              <w:tc>
                <w:tcPr>
                  <w:tcW w:w="371" w:type="dxa"/>
                  <w:vMerge w:val="restart"/>
                  <w:tcBorders>
                    <w:tl2br w:val="nil"/>
                    <w:tr2bl w:val="nil"/>
                  </w:tcBorders>
                  <w:noWrap w:val="0"/>
                  <w:vAlign w:val="center"/>
                </w:tcPr>
                <w:p w14:paraId="56FD6308">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锅炉房</w:t>
                  </w:r>
                </w:p>
              </w:tc>
              <w:tc>
                <w:tcPr>
                  <w:tcW w:w="1231" w:type="dxa"/>
                  <w:tcBorders>
                    <w:tl2br w:val="nil"/>
                    <w:tr2bl w:val="nil"/>
                  </w:tcBorders>
                  <w:noWrap w:val="0"/>
                  <w:vAlign w:val="center"/>
                </w:tcPr>
                <w:p w14:paraId="2FCC4D36">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cs="Times New Roman"/>
                      <w:b w:val="0"/>
                      <w:bCs/>
                      <w:color w:val="auto"/>
                      <w:kern w:val="0"/>
                      <w:sz w:val="18"/>
                      <w:szCs w:val="18"/>
                      <w:highlight w:val="none"/>
                      <w:vertAlign w:val="baseline"/>
                      <w:lang w:val="en-US" w:eastAsia="zh-CN" w:bidi="ar-SA"/>
                    </w:rPr>
                    <w:t>燃生物质锅炉</w:t>
                  </w:r>
                </w:p>
              </w:tc>
              <w:tc>
                <w:tcPr>
                  <w:tcW w:w="420" w:type="dxa"/>
                  <w:tcBorders>
                    <w:tl2br w:val="nil"/>
                    <w:tr2bl w:val="nil"/>
                  </w:tcBorders>
                  <w:noWrap w:val="0"/>
                  <w:vAlign w:val="center"/>
                </w:tcPr>
                <w:p w14:paraId="4085D726">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80</w:t>
                  </w:r>
                </w:p>
              </w:tc>
              <w:tc>
                <w:tcPr>
                  <w:tcW w:w="465" w:type="dxa"/>
                  <w:tcBorders>
                    <w:tl2br w:val="nil"/>
                    <w:tr2bl w:val="nil"/>
                  </w:tcBorders>
                  <w:noWrap w:val="0"/>
                  <w:vAlign w:val="center"/>
                </w:tcPr>
                <w:p w14:paraId="1F36B13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eastAsia"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1</w:t>
                  </w:r>
                </w:p>
              </w:tc>
              <w:tc>
                <w:tcPr>
                  <w:tcW w:w="498" w:type="dxa"/>
                  <w:vMerge w:val="continue"/>
                  <w:tcBorders>
                    <w:tl2br w:val="nil"/>
                    <w:tr2bl w:val="nil"/>
                  </w:tcBorders>
                  <w:noWrap w:val="0"/>
                  <w:vAlign w:val="center"/>
                </w:tcPr>
                <w:p w14:paraId="356076BC">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p>
              </w:tc>
              <w:tc>
                <w:tcPr>
                  <w:tcW w:w="510" w:type="dxa"/>
                  <w:tcBorders>
                    <w:tl2br w:val="nil"/>
                    <w:tr2bl w:val="nil"/>
                  </w:tcBorders>
                  <w:noWrap w:val="0"/>
                  <w:vAlign w:val="center"/>
                </w:tcPr>
                <w:p w14:paraId="57344D82">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-19</w:t>
                  </w:r>
                </w:p>
              </w:tc>
              <w:tc>
                <w:tcPr>
                  <w:tcW w:w="510" w:type="dxa"/>
                  <w:tcBorders>
                    <w:tl2br w:val="nil"/>
                    <w:tr2bl w:val="nil"/>
                  </w:tcBorders>
                  <w:noWrap w:val="0"/>
                  <w:vAlign w:val="center"/>
                </w:tcPr>
                <w:p w14:paraId="1FF58D65">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29</w:t>
                  </w:r>
                </w:p>
              </w:tc>
              <w:tc>
                <w:tcPr>
                  <w:tcW w:w="510" w:type="dxa"/>
                  <w:tcBorders>
                    <w:tl2br w:val="nil"/>
                    <w:tr2bl w:val="nil"/>
                  </w:tcBorders>
                  <w:noWrap w:val="0"/>
                  <w:vAlign w:val="center"/>
                </w:tcPr>
                <w:p w14:paraId="186C556C">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2.5</w:t>
                  </w:r>
                </w:p>
              </w:tc>
              <w:tc>
                <w:tcPr>
                  <w:tcW w:w="510" w:type="dxa"/>
                  <w:tcBorders>
                    <w:tl2br w:val="nil"/>
                    <w:tr2bl w:val="nil"/>
                  </w:tcBorders>
                  <w:noWrap w:val="0"/>
                  <w:vAlign w:val="center"/>
                </w:tcPr>
                <w:p w14:paraId="7BB891D5">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3</w:t>
                  </w:r>
                </w:p>
              </w:tc>
              <w:tc>
                <w:tcPr>
                  <w:tcW w:w="510" w:type="dxa"/>
                  <w:tcBorders>
                    <w:tl2br w:val="nil"/>
                    <w:tr2bl w:val="nil"/>
                  </w:tcBorders>
                  <w:noWrap w:val="0"/>
                  <w:vAlign w:val="center"/>
                </w:tcPr>
                <w:p w14:paraId="3DE36A7A">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75</w:t>
                  </w:r>
                </w:p>
              </w:tc>
              <w:tc>
                <w:tcPr>
                  <w:tcW w:w="510" w:type="dxa"/>
                  <w:vMerge w:val="continue"/>
                  <w:tcBorders>
                    <w:tl2br w:val="nil"/>
                    <w:tr2bl w:val="nil"/>
                  </w:tcBorders>
                  <w:noWrap w:val="0"/>
                  <w:vAlign w:val="center"/>
                </w:tcPr>
                <w:p w14:paraId="6B472666">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cs="Times New Roman"/>
                      <w:b w:val="0"/>
                      <w:bCs/>
                      <w:color w:val="auto"/>
                      <w:kern w:val="0"/>
                      <w:sz w:val="18"/>
                      <w:szCs w:val="18"/>
                      <w:highlight w:val="none"/>
                      <w:vertAlign w:val="baseline"/>
                      <w:lang w:val="en-US" w:eastAsia="zh-CN"/>
                    </w:rPr>
                  </w:pPr>
                </w:p>
              </w:tc>
              <w:tc>
                <w:tcPr>
                  <w:tcW w:w="510" w:type="dxa"/>
                  <w:tcBorders>
                    <w:tl2br w:val="nil"/>
                    <w:tr2bl w:val="nil"/>
                  </w:tcBorders>
                  <w:noWrap w:val="0"/>
                  <w:vAlign w:val="center"/>
                </w:tcPr>
                <w:p w14:paraId="74E4FEC7">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eastAsia="宋体" w:cs="Times New Roman"/>
                      <w:b w:val="0"/>
                      <w:bCs/>
                      <w:color w:val="auto"/>
                      <w:kern w:val="0"/>
                      <w:sz w:val="18"/>
                      <w:szCs w:val="18"/>
                      <w:highlight w:val="none"/>
                      <w:vertAlign w:val="baseline"/>
                      <w:lang w:val="en-US" w:eastAsia="zh-CN"/>
                    </w:rPr>
                    <w:t>20</w:t>
                  </w:r>
                </w:p>
              </w:tc>
              <w:tc>
                <w:tcPr>
                  <w:tcW w:w="510" w:type="dxa"/>
                  <w:tcBorders>
                    <w:tl2br w:val="nil"/>
                    <w:tr2bl w:val="nil"/>
                  </w:tcBorders>
                  <w:noWrap w:val="0"/>
                  <w:vAlign w:val="center"/>
                </w:tcPr>
                <w:p w14:paraId="6BE9A0D6">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55</w:t>
                  </w:r>
                </w:p>
              </w:tc>
              <w:tc>
                <w:tcPr>
                  <w:tcW w:w="516" w:type="dxa"/>
                  <w:tcBorders>
                    <w:tl2br w:val="nil"/>
                    <w:tr2bl w:val="nil"/>
                  </w:tcBorders>
                  <w:noWrap w:val="0"/>
                  <w:vAlign w:val="center"/>
                </w:tcPr>
                <w:p w14:paraId="3E98FE21">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w:t>
                  </w:r>
                </w:p>
              </w:tc>
            </w:tr>
            <w:tr w14:paraId="55C0F7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tcBorders>
                    <w:tl2br w:val="nil"/>
                    <w:tr2bl w:val="nil"/>
                  </w:tcBorders>
                  <w:noWrap w:val="0"/>
                  <w:vAlign w:val="center"/>
                </w:tcPr>
                <w:p w14:paraId="33EBDC58">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宋体" w:eastAsia="宋体" w:cs="Times New Roman"/>
                      <w:b w:val="0"/>
                      <w:bCs/>
                      <w:color w:val="auto"/>
                      <w:kern w:val="0"/>
                      <w:sz w:val="18"/>
                      <w:szCs w:val="18"/>
                      <w:highlight w:val="none"/>
                      <w:vertAlign w:val="baseline"/>
                      <w:lang w:val="en-US" w:eastAsia="zh-CN" w:bidi="ar-SA"/>
                    </w:rPr>
                  </w:pPr>
                  <w:r>
                    <w:rPr>
                      <w:rFonts w:hint="eastAsia" w:ascii="Times New Roman" w:cs="Times New Roman"/>
                      <w:b w:val="0"/>
                      <w:bCs/>
                      <w:color w:val="auto"/>
                      <w:kern w:val="0"/>
                      <w:sz w:val="18"/>
                      <w:szCs w:val="18"/>
                      <w:highlight w:val="none"/>
                      <w:vertAlign w:val="baseline"/>
                      <w:lang w:val="en-US" w:eastAsia="zh-CN" w:bidi="ar-SA"/>
                    </w:rPr>
                    <w:t>18</w:t>
                  </w:r>
                </w:p>
              </w:tc>
              <w:tc>
                <w:tcPr>
                  <w:tcW w:w="371" w:type="dxa"/>
                  <w:vMerge w:val="continue"/>
                  <w:tcBorders>
                    <w:tl2br w:val="nil"/>
                    <w:tr2bl w:val="nil"/>
                  </w:tcBorders>
                  <w:noWrap w:val="0"/>
                  <w:vAlign w:val="center"/>
                </w:tcPr>
                <w:p w14:paraId="3CA169A1">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eastAsia="宋体" w:cs="Times New Roman"/>
                      <w:b w:val="0"/>
                      <w:bCs/>
                      <w:color w:val="auto"/>
                      <w:kern w:val="0"/>
                      <w:sz w:val="18"/>
                      <w:szCs w:val="18"/>
                      <w:highlight w:val="none"/>
                      <w:vertAlign w:val="baseline"/>
                      <w:lang w:eastAsia="zh-CN"/>
                    </w:rPr>
                  </w:pPr>
                </w:p>
              </w:tc>
              <w:tc>
                <w:tcPr>
                  <w:tcW w:w="1231" w:type="dxa"/>
                  <w:tcBorders>
                    <w:tl2br w:val="nil"/>
                    <w:tr2bl w:val="nil"/>
                  </w:tcBorders>
                  <w:noWrap w:val="0"/>
                  <w:vAlign w:val="center"/>
                </w:tcPr>
                <w:p w14:paraId="645D21B2">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引风机</w:t>
                  </w:r>
                </w:p>
              </w:tc>
              <w:tc>
                <w:tcPr>
                  <w:tcW w:w="420" w:type="dxa"/>
                  <w:tcBorders>
                    <w:tl2br w:val="nil"/>
                    <w:tr2bl w:val="nil"/>
                  </w:tcBorders>
                  <w:noWrap w:val="0"/>
                  <w:vAlign w:val="center"/>
                </w:tcPr>
                <w:p w14:paraId="0CEB755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85</w:t>
                  </w:r>
                </w:p>
              </w:tc>
              <w:tc>
                <w:tcPr>
                  <w:tcW w:w="465" w:type="dxa"/>
                  <w:tcBorders>
                    <w:tl2br w:val="nil"/>
                    <w:tr2bl w:val="nil"/>
                  </w:tcBorders>
                  <w:noWrap w:val="0"/>
                  <w:vAlign w:val="center"/>
                </w:tcPr>
                <w:p w14:paraId="4BFF100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eastAsia"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1</w:t>
                  </w:r>
                </w:p>
              </w:tc>
              <w:tc>
                <w:tcPr>
                  <w:tcW w:w="498" w:type="dxa"/>
                  <w:vMerge w:val="continue"/>
                  <w:tcBorders>
                    <w:tl2br w:val="nil"/>
                    <w:tr2bl w:val="nil"/>
                  </w:tcBorders>
                  <w:noWrap w:val="0"/>
                  <w:vAlign w:val="center"/>
                </w:tcPr>
                <w:p w14:paraId="511C696E">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p>
              </w:tc>
              <w:tc>
                <w:tcPr>
                  <w:tcW w:w="510" w:type="dxa"/>
                  <w:tcBorders>
                    <w:tl2br w:val="nil"/>
                    <w:tr2bl w:val="nil"/>
                  </w:tcBorders>
                  <w:noWrap w:val="0"/>
                  <w:vAlign w:val="center"/>
                </w:tcPr>
                <w:p w14:paraId="3AD7823F">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-23</w:t>
                  </w:r>
                </w:p>
              </w:tc>
              <w:tc>
                <w:tcPr>
                  <w:tcW w:w="510" w:type="dxa"/>
                  <w:tcBorders>
                    <w:tl2br w:val="nil"/>
                    <w:tr2bl w:val="nil"/>
                  </w:tcBorders>
                  <w:noWrap w:val="0"/>
                  <w:vAlign w:val="center"/>
                </w:tcPr>
                <w:p w14:paraId="2B5E7478">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27</w:t>
                  </w:r>
                </w:p>
              </w:tc>
              <w:tc>
                <w:tcPr>
                  <w:tcW w:w="510" w:type="dxa"/>
                  <w:tcBorders>
                    <w:tl2br w:val="nil"/>
                    <w:tr2bl w:val="nil"/>
                  </w:tcBorders>
                  <w:noWrap w:val="0"/>
                  <w:vAlign w:val="center"/>
                </w:tcPr>
                <w:p w14:paraId="5B9CCE9A">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0.5</w:t>
                  </w:r>
                </w:p>
              </w:tc>
              <w:tc>
                <w:tcPr>
                  <w:tcW w:w="510" w:type="dxa"/>
                  <w:tcBorders>
                    <w:tl2br w:val="nil"/>
                    <w:tr2bl w:val="nil"/>
                  </w:tcBorders>
                  <w:noWrap w:val="0"/>
                  <w:vAlign w:val="center"/>
                </w:tcPr>
                <w:p w14:paraId="27DD794C">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w:t>
                  </w:r>
                </w:p>
              </w:tc>
              <w:tc>
                <w:tcPr>
                  <w:tcW w:w="510" w:type="dxa"/>
                  <w:tcBorders>
                    <w:tl2br w:val="nil"/>
                    <w:tr2bl w:val="nil"/>
                  </w:tcBorders>
                  <w:noWrap w:val="0"/>
                  <w:vAlign w:val="center"/>
                </w:tcPr>
                <w:p w14:paraId="562048A7">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85</w:t>
                  </w:r>
                </w:p>
              </w:tc>
              <w:tc>
                <w:tcPr>
                  <w:tcW w:w="510" w:type="dxa"/>
                  <w:vMerge w:val="continue"/>
                  <w:tcBorders>
                    <w:tl2br w:val="nil"/>
                    <w:tr2bl w:val="nil"/>
                  </w:tcBorders>
                  <w:noWrap w:val="0"/>
                  <w:vAlign w:val="center"/>
                </w:tcPr>
                <w:p w14:paraId="6FB34AC0">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p>
              </w:tc>
              <w:tc>
                <w:tcPr>
                  <w:tcW w:w="510" w:type="dxa"/>
                  <w:tcBorders>
                    <w:tl2br w:val="nil"/>
                    <w:tr2bl w:val="nil"/>
                  </w:tcBorders>
                  <w:noWrap w:val="0"/>
                  <w:vAlign w:val="center"/>
                </w:tcPr>
                <w:p w14:paraId="1AD3C01D">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eastAsia="宋体" w:cs="Times New Roman"/>
                      <w:b w:val="0"/>
                      <w:bCs/>
                      <w:color w:val="auto"/>
                      <w:kern w:val="0"/>
                      <w:sz w:val="18"/>
                      <w:szCs w:val="18"/>
                      <w:highlight w:val="none"/>
                      <w:vertAlign w:val="baseline"/>
                      <w:lang w:val="en-US" w:eastAsia="zh-CN"/>
                    </w:rPr>
                    <w:t>20</w:t>
                  </w:r>
                </w:p>
              </w:tc>
              <w:tc>
                <w:tcPr>
                  <w:tcW w:w="510" w:type="dxa"/>
                  <w:tcBorders>
                    <w:tl2br w:val="nil"/>
                    <w:tr2bl w:val="nil"/>
                  </w:tcBorders>
                  <w:noWrap w:val="0"/>
                  <w:vAlign w:val="center"/>
                </w:tcPr>
                <w:p w14:paraId="5869926E">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65</w:t>
                  </w:r>
                </w:p>
              </w:tc>
              <w:tc>
                <w:tcPr>
                  <w:tcW w:w="516" w:type="dxa"/>
                  <w:tcBorders>
                    <w:tl2br w:val="nil"/>
                    <w:tr2bl w:val="nil"/>
                  </w:tcBorders>
                  <w:noWrap w:val="0"/>
                  <w:vAlign w:val="center"/>
                </w:tcPr>
                <w:p w14:paraId="51E9EEBF">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w:t>
                  </w:r>
                </w:p>
              </w:tc>
            </w:tr>
            <w:tr w14:paraId="732C22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tcBorders>
                    <w:tl2br w:val="nil"/>
                    <w:tr2bl w:val="nil"/>
                  </w:tcBorders>
                  <w:noWrap w:val="0"/>
                  <w:vAlign w:val="center"/>
                </w:tcPr>
                <w:p w14:paraId="44D45242">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宋体" w:eastAsia="宋体" w:cs="Times New Roman"/>
                      <w:b w:val="0"/>
                      <w:bCs/>
                      <w:color w:val="auto"/>
                      <w:kern w:val="0"/>
                      <w:sz w:val="18"/>
                      <w:szCs w:val="18"/>
                      <w:highlight w:val="none"/>
                      <w:vertAlign w:val="baseline"/>
                      <w:lang w:val="en-US" w:eastAsia="zh-CN" w:bidi="ar-SA"/>
                    </w:rPr>
                  </w:pPr>
                  <w:r>
                    <w:rPr>
                      <w:rFonts w:hint="eastAsia" w:ascii="Times New Roman" w:cs="Times New Roman"/>
                      <w:b w:val="0"/>
                      <w:bCs/>
                      <w:color w:val="auto"/>
                      <w:kern w:val="0"/>
                      <w:sz w:val="18"/>
                      <w:szCs w:val="18"/>
                      <w:highlight w:val="none"/>
                      <w:vertAlign w:val="baseline"/>
                      <w:lang w:val="en-US" w:eastAsia="zh-CN" w:bidi="ar-SA"/>
                    </w:rPr>
                    <w:t>19</w:t>
                  </w:r>
                </w:p>
              </w:tc>
              <w:tc>
                <w:tcPr>
                  <w:tcW w:w="371" w:type="dxa"/>
                  <w:vMerge w:val="continue"/>
                  <w:tcBorders>
                    <w:tl2br w:val="nil"/>
                    <w:tr2bl w:val="nil"/>
                  </w:tcBorders>
                  <w:noWrap w:val="0"/>
                  <w:vAlign w:val="center"/>
                </w:tcPr>
                <w:p w14:paraId="23FBC45F">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eastAsia="宋体" w:cs="Times New Roman"/>
                      <w:b w:val="0"/>
                      <w:bCs/>
                      <w:color w:val="auto"/>
                      <w:kern w:val="0"/>
                      <w:sz w:val="18"/>
                      <w:szCs w:val="18"/>
                      <w:highlight w:val="none"/>
                      <w:vertAlign w:val="baseline"/>
                      <w:lang w:eastAsia="zh-CN"/>
                    </w:rPr>
                  </w:pPr>
                </w:p>
              </w:tc>
              <w:tc>
                <w:tcPr>
                  <w:tcW w:w="1231" w:type="dxa"/>
                  <w:tcBorders>
                    <w:tl2br w:val="nil"/>
                    <w:tr2bl w:val="nil"/>
                  </w:tcBorders>
                  <w:noWrap w:val="0"/>
                  <w:vAlign w:val="center"/>
                </w:tcPr>
                <w:p w14:paraId="0F25982C">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color w:val="auto"/>
                      <w:kern w:val="0"/>
                      <w:sz w:val="18"/>
                      <w:szCs w:val="18"/>
                      <w:highlight w:val="none"/>
                      <w:vertAlign w:val="baseline"/>
                      <w:lang w:val="en-US" w:eastAsia="zh-CN" w:bidi="ar-SA"/>
                    </w:rPr>
                  </w:pPr>
                  <w:r>
                    <w:rPr>
                      <w:rFonts w:hint="eastAsia" w:ascii="Times New Roman" w:hAnsi="Times New Roman" w:eastAsia="宋体" w:cs="Times New Roman"/>
                      <w:b w:val="0"/>
                      <w:bCs/>
                      <w:color w:val="auto"/>
                      <w:kern w:val="0"/>
                      <w:sz w:val="18"/>
                      <w:szCs w:val="18"/>
                      <w:highlight w:val="none"/>
                      <w:vertAlign w:val="baseline"/>
                      <w:lang w:val="en-US" w:eastAsia="zh-CN" w:bidi="ar-SA"/>
                    </w:rPr>
                    <w:t>鼓风机</w:t>
                  </w:r>
                </w:p>
              </w:tc>
              <w:tc>
                <w:tcPr>
                  <w:tcW w:w="420" w:type="dxa"/>
                  <w:tcBorders>
                    <w:tl2br w:val="nil"/>
                    <w:tr2bl w:val="nil"/>
                  </w:tcBorders>
                  <w:noWrap w:val="0"/>
                  <w:vAlign w:val="center"/>
                </w:tcPr>
                <w:p w14:paraId="46EF9616">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default"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85</w:t>
                  </w:r>
                </w:p>
              </w:tc>
              <w:tc>
                <w:tcPr>
                  <w:tcW w:w="465" w:type="dxa"/>
                  <w:tcBorders>
                    <w:tl2br w:val="nil"/>
                    <w:tr2bl w:val="nil"/>
                  </w:tcBorders>
                  <w:noWrap w:val="0"/>
                  <w:vAlign w:val="center"/>
                </w:tcPr>
                <w:p w14:paraId="5832D5D2">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leftChars="0" w:right="0" w:rightChars="0"/>
                    <w:jc w:val="center"/>
                    <w:rPr>
                      <w:rFonts w:hint="eastAsia"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1</w:t>
                  </w:r>
                </w:p>
              </w:tc>
              <w:tc>
                <w:tcPr>
                  <w:tcW w:w="498" w:type="dxa"/>
                  <w:vMerge w:val="continue"/>
                  <w:tcBorders>
                    <w:tl2br w:val="nil"/>
                    <w:tr2bl w:val="nil"/>
                  </w:tcBorders>
                  <w:noWrap w:val="0"/>
                  <w:vAlign w:val="center"/>
                </w:tcPr>
                <w:p w14:paraId="3782DE55">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eastAsia="宋体" w:cs="Times New Roman"/>
                      <w:b w:val="0"/>
                      <w:bCs/>
                      <w:color w:val="auto"/>
                      <w:kern w:val="0"/>
                      <w:sz w:val="18"/>
                      <w:szCs w:val="18"/>
                      <w:highlight w:val="none"/>
                      <w:vertAlign w:val="baseline"/>
                    </w:rPr>
                  </w:pPr>
                </w:p>
              </w:tc>
              <w:tc>
                <w:tcPr>
                  <w:tcW w:w="510" w:type="dxa"/>
                  <w:tcBorders>
                    <w:tl2br w:val="nil"/>
                    <w:tr2bl w:val="nil"/>
                  </w:tcBorders>
                  <w:noWrap w:val="0"/>
                  <w:vAlign w:val="center"/>
                </w:tcPr>
                <w:p w14:paraId="113A5BD8">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-19</w:t>
                  </w:r>
                </w:p>
              </w:tc>
              <w:tc>
                <w:tcPr>
                  <w:tcW w:w="510" w:type="dxa"/>
                  <w:tcBorders>
                    <w:tl2br w:val="nil"/>
                    <w:tr2bl w:val="nil"/>
                  </w:tcBorders>
                  <w:noWrap w:val="0"/>
                  <w:vAlign w:val="center"/>
                </w:tcPr>
                <w:p w14:paraId="6E8139BF">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cs="Times New Roman"/>
                      <w:b w:val="0"/>
                      <w:bCs/>
                      <w:color w:val="auto"/>
                      <w:kern w:val="0"/>
                      <w:sz w:val="18"/>
                      <w:szCs w:val="18"/>
                      <w:highlight w:val="none"/>
                      <w:vertAlign w:val="baseline"/>
                      <w:lang w:val="en-US" w:eastAsia="zh-CN"/>
                    </w:rPr>
                    <w:t>24</w:t>
                  </w:r>
                </w:p>
              </w:tc>
              <w:tc>
                <w:tcPr>
                  <w:tcW w:w="510" w:type="dxa"/>
                  <w:tcBorders>
                    <w:tl2br w:val="nil"/>
                    <w:tr2bl w:val="nil"/>
                  </w:tcBorders>
                  <w:noWrap w:val="0"/>
                  <w:vAlign w:val="center"/>
                </w:tcPr>
                <w:p w14:paraId="4E618497">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0.5</w:t>
                  </w:r>
                </w:p>
              </w:tc>
              <w:tc>
                <w:tcPr>
                  <w:tcW w:w="510" w:type="dxa"/>
                  <w:tcBorders>
                    <w:tl2br w:val="nil"/>
                    <w:tr2bl w:val="nil"/>
                  </w:tcBorders>
                  <w:noWrap w:val="0"/>
                  <w:vAlign w:val="center"/>
                </w:tcPr>
                <w:p w14:paraId="783EA5FF">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w:t>
                  </w:r>
                </w:p>
              </w:tc>
              <w:tc>
                <w:tcPr>
                  <w:tcW w:w="510" w:type="dxa"/>
                  <w:tcBorders>
                    <w:tl2br w:val="nil"/>
                    <w:tr2bl w:val="nil"/>
                  </w:tcBorders>
                  <w:noWrap w:val="0"/>
                  <w:vAlign w:val="center"/>
                </w:tcPr>
                <w:p w14:paraId="1F11B36D">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rightChars="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85</w:t>
                  </w:r>
                </w:p>
              </w:tc>
              <w:tc>
                <w:tcPr>
                  <w:tcW w:w="510" w:type="dxa"/>
                  <w:vMerge w:val="continue"/>
                  <w:tcBorders>
                    <w:tl2br w:val="nil"/>
                    <w:tr2bl w:val="nil"/>
                  </w:tcBorders>
                  <w:noWrap w:val="0"/>
                  <w:vAlign w:val="center"/>
                </w:tcPr>
                <w:p w14:paraId="41489EFA">
                  <w:pPr>
                    <w:pStyle w:val="42"/>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p>
              </w:tc>
              <w:tc>
                <w:tcPr>
                  <w:tcW w:w="510" w:type="dxa"/>
                  <w:tcBorders>
                    <w:tl2br w:val="nil"/>
                    <w:tr2bl w:val="nil"/>
                  </w:tcBorders>
                  <w:noWrap w:val="0"/>
                  <w:vAlign w:val="center"/>
                </w:tcPr>
                <w:p w14:paraId="6FCCB77A">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cs="Times New Roman"/>
                      <w:b w:val="0"/>
                      <w:bCs/>
                      <w:color w:val="auto"/>
                      <w:kern w:val="0"/>
                      <w:sz w:val="18"/>
                      <w:szCs w:val="18"/>
                      <w:highlight w:val="none"/>
                      <w:vertAlign w:val="baseline"/>
                      <w:lang w:val="en-US" w:eastAsia="zh-CN"/>
                    </w:rPr>
                  </w:pPr>
                  <w:r>
                    <w:rPr>
                      <w:rFonts w:hint="eastAsia" w:ascii="Times New Roman" w:hAnsi="Times New Roman" w:eastAsia="宋体" w:cs="Times New Roman"/>
                      <w:b w:val="0"/>
                      <w:bCs/>
                      <w:color w:val="auto"/>
                      <w:kern w:val="0"/>
                      <w:sz w:val="18"/>
                      <w:szCs w:val="18"/>
                      <w:highlight w:val="none"/>
                      <w:vertAlign w:val="baseline"/>
                      <w:lang w:val="en-US" w:eastAsia="zh-CN"/>
                    </w:rPr>
                    <w:t>20</w:t>
                  </w:r>
                </w:p>
              </w:tc>
              <w:tc>
                <w:tcPr>
                  <w:tcW w:w="510" w:type="dxa"/>
                  <w:tcBorders>
                    <w:tl2br w:val="nil"/>
                    <w:tr2bl w:val="nil"/>
                  </w:tcBorders>
                  <w:noWrap w:val="0"/>
                  <w:vAlign w:val="center"/>
                </w:tcPr>
                <w:p w14:paraId="0AE19598">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default"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65</w:t>
                  </w:r>
                </w:p>
              </w:tc>
              <w:tc>
                <w:tcPr>
                  <w:tcW w:w="516" w:type="dxa"/>
                  <w:tcBorders>
                    <w:tl2br w:val="nil"/>
                    <w:tr2bl w:val="nil"/>
                  </w:tcBorders>
                  <w:noWrap w:val="0"/>
                  <w:vAlign w:val="center"/>
                </w:tcPr>
                <w:p w14:paraId="2B0E7A48">
                  <w:pPr>
                    <w:keepNext w:val="0"/>
                    <w:keepLines w:val="0"/>
                    <w:pageBreakBefore w:val="0"/>
                    <w:widowControl/>
                    <w:suppressLineNumbers w:val="0"/>
                    <w:kinsoku/>
                    <w:wordWrap/>
                    <w:overflowPunct/>
                    <w:topLinePunct w:val="0"/>
                    <w:bidi w:val="0"/>
                    <w:snapToGrid/>
                    <w:spacing w:before="0" w:beforeAutospacing="0" w:after="0" w:afterAutospacing="0" w:line="360" w:lineRule="auto"/>
                    <w:ind w:left="0" w:leftChars="0" w:right="0"/>
                    <w:jc w:val="center"/>
                    <w:rPr>
                      <w:rFonts w:hint="eastAsia" w:ascii="Times New Roman" w:hAnsi="Times New Roman" w:cs="Times New Roman"/>
                      <w:b w:val="0"/>
                      <w:bCs/>
                      <w:color w:val="auto"/>
                      <w:kern w:val="0"/>
                      <w:sz w:val="18"/>
                      <w:szCs w:val="18"/>
                      <w:highlight w:val="none"/>
                      <w:vertAlign w:val="baseline"/>
                      <w:lang w:val="en-US" w:eastAsia="zh-CN"/>
                    </w:rPr>
                  </w:pPr>
                  <w:r>
                    <w:rPr>
                      <w:rFonts w:hint="eastAsia" w:cs="Times New Roman"/>
                      <w:b w:val="0"/>
                      <w:bCs/>
                      <w:color w:val="auto"/>
                      <w:kern w:val="0"/>
                      <w:sz w:val="18"/>
                      <w:szCs w:val="18"/>
                      <w:highlight w:val="none"/>
                      <w:vertAlign w:val="baseline"/>
                      <w:lang w:val="en-US" w:eastAsia="zh-CN"/>
                    </w:rPr>
                    <w:t>1</w:t>
                  </w:r>
                </w:p>
              </w:tc>
            </w:tr>
          </w:tbl>
          <w:p w14:paraId="345F61D3">
            <w:pPr>
              <w:pStyle w:val="112"/>
              <w:keepLines w:val="0"/>
              <w:pageBreakBefore w:val="0"/>
              <w:kinsoku w:val="0"/>
              <w:overflowPunct w:val="0"/>
              <w:topLinePunct w:val="0"/>
              <w:autoSpaceDE w:val="0"/>
              <w:autoSpaceDN w:val="0"/>
              <w:bidi w:val="0"/>
              <w:adjustRightInd/>
              <w:snapToGrid/>
              <w:spacing w:beforeAutospacing="0" w:afterAutospacing="0" w:line="240" w:lineRule="auto"/>
              <w:ind w:left="0" w:leftChars="0" w:right="0" w:rightChars="0" w:firstLine="422" w:firstLineChars="200"/>
              <w:rPr>
                <w:rFonts w:hint="eastAsia" w:ascii="Times New Roman" w:hAnsi="Times New Roman" w:cs="Times New Roman" w:eastAsiaTheme="minorEastAsia"/>
                <w:b/>
                <w:color w:val="auto"/>
                <w:kern w:val="2"/>
                <w:sz w:val="21"/>
                <w:szCs w:val="21"/>
                <w:lang w:val="en-US" w:eastAsia="zh-CN" w:bidi="ar-SA"/>
              </w:rPr>
            </w:pPr>
            <w:r>
              <w:rPr>
                <w:rFonts w:hint="default" w:ascii="Times New Roman" w:hAnsi="Times New Roman" w:cs="Times New Roman" w:eastAsiaTheme="minorEastAsia"/>
                <w:b/>
                <w:color w:val="auto"/>
                <w:kern w:val="2"/>
                <w:sz w:val="21"/>
                <w:szCs w:val="21"/>
                <w:lang w:val="en-US" w:eastAsia="zh-CN" w:bidi="ar-SA"/>
              </w:rPr>
              <w:t>表</w:t>
            </w:r>
            <w:r>
              <w:rPr>
                <w:rFonts w:hint="eastAsia" w:ascii="Times New Roman" w:hAnsi="Times New Roman" w:cs="Times New Roman" w:eastAsiaTheme="minorEastAsia"/>
                <w:b/>
                <w:color w:val="auto"/>
                <w:kern w:val="2"/>
                <w:sz w:val="21"/>
                <w:szCs w:val="21"/>
                <w:lang w:val="en-US" w:eastAsia="zh-CN" w:bidi="ar-SA"/>
              </w:rPr>
              <w:t>4-1</w:t>
            </w:r>
            <w:r>
              <w:rPr>
                <w:rFonts w:hint="eastAsia" w:ascii="Times New Roman" w:cs="Times New Roman" w:eastAsiaTheme="minorEastAsia"/>
                <w:b/>
                <w:color w:val="auto"/>
                <w:kern w:val="2"/>
                <w:sz w:val="21"/>
                <w:szCs w:val="21"/>
                <w:lang w:val="en-US" w:eastAsia="zh-CN" w:bidi="ar-SA"/>
              </w:rPr>
              <w:t>5</w:t>
            </w:r>
            <w:r>
              <w:rPr>
                <w:rFonts w:hint="default" w:ascii="Times New Roman" w:hAnsi="Times New Roman" w:cs="Times New Roman" w:eastAsiaTheme="minorEastAsia"/>
                <w:b/>
                <w:color w:val="auto"/>
                <w:kern w:val="2"/>
                <w:sz w:val="21"/>
                <w:szCs w:val="21"/>
                <w:lang w:val="en-US" w:eastAsia="zh-CN" w:bidi="ar-SA"/>
              </w:rPr>
              <w:t xml:space="preserve"> </w:t>
            </w:r>
            <w:r>
              <w:rPr>
                <w:rFonts w:hint="eastAsia" w:ascii="Times New Roman" w:hAnsi="Times New Roman" w:cs="Times New Roman" w:eastAsiaTheme="minorEastAsia"/>
                <w:b/>
                <w:color w:val="auto"/>
                <w:kern w:val="2"/>
                <w:sz w:val="21"/>
                <w:szCs w:val="21"/>
                <w:lang w:val="en-US" w:eastAsia="zh-CN" w:bidi="ar-SA"/>
              </w:rPr>
              <w:t xml:space="preserve"> </w:t>
            </w:r>
            <w:r>
              <w:rPr>
                <w:rFonts w:hint="default" w:ascii="Times New Roman" w:hAnsi="Times New Roman" w:cs="Times New Roman" w:eastAsiaTheme="minorEastAsia"/>
                <w:b/>
                <w:color w:val="auto"/>
                <w:kern w:val="2"/>
                <w:sz w:val="21"/>
                <w:szCs w:val="21"/>
                <w:lang w:val="en-US" w:eastAsia="zh-CN" w:bidi="ar-SA"/>
              </w:rPr>
              <w:t>噪声污染源源强核算结果及相关参数一览表</w:t>
            </w:r>
            <w:r>
              <w:rPr>
                <w:rFonts w:hint="eastAsia" w:ascii="Times New Roman" w:hAnsi="Times New Roman" w:cs="Times New Roman" w:eastAsiaTheme="minorEastAsia"/>
                <w:b/>
                <w:color w:val="auto"/>
                <w:kern w:val="2"/>
                <w:sz w:val="21"/>
                <w:szCs w:val="21"/>
                <w:lang w:val="en-US" w:eastAsia="zh-CN" w:bidi="ar-SA"/>
              </w:rPr>
              <w:t>（室外声源）</w:t>
            </w:r>
          </w:p>
          <w:tbl>
            <w:tblPr>
              <w:tblStyle w:val="3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81"/>
              <w:gridCol w:w="1164"/>
              <w:gridCol w:w="808"/>
              <w:gridCol w:w="840"/>
              <w:gridCol w:w="793"/>
              <w:gridCol w:w="2016"/>
              <w:gridCol w:w="972"/>
              <w:gridCol w:w="972"/>
            </w:tblGrid>
            <w:tr w14:paraId="5FE98A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356" w:type="pct"/>
                  <w:vMerge w:val="restart"/>
                  <w:tcBorders>
                    <w:tl2br w:val="nil"/>
                    <w:tr2bl w:val="nil"/>
                  </w:tcBorders>
                  <w:noWrap w:val="0"/>
                  <w:vAlign w:val="center"/>
                </w:tcPr>
                <w:p w14:paraId="3BF76CB3">
                  <w:pPr>
                    <w:pStyle w:val="13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序号</w:t>
                  </w:r>
                </w:p>
              </w:tc>
              <w:tc>
                <w:tcPr>
                  <w:tcW w:w="714" w:type="pct"/>
                  <w:vMerge w:val="restart"/>
                  <w:tcBorders>
                    <w:tl2br w:val="nil"/>
                    <w:tr2bl w:val="nil"/>
                  </w:tcBorders>
                  <w:noWrap w:val="0"/>
                  <w:vAlign w:val="center"/>
                </w:tcPr>
                <w:p w14:paraId="74CBD195">
                  <w:pPr>
                    <w:pStyle w:val="13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声源名称</w:t>
                  </w:r>
                </w:p>
              </w:tc>
              <w:tc>
                <w:tcPr>
                  <w:tcW w:w="1498" w:type="pct"/>
                  <w:gridSpan w:val="3"/>
                  <w:tcBorders>
                    <w:bottom w:val="single" w:color="000000" w:sz="4" w:space="0"/>
                    <w:tl2br w:val="nil"/>
                    <w:tr2bl w:val="nil"/>
                  </w:tcBorders>
                  <w:noWrap w:val="0"/>
                  <w:vAlign w:val="center"/>
                </w:tcPr>
                <w:p w14:paraId="4E68047E">
                  <w:pPr>
                    <w:pStyle w:val="13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空间相对位置/m</w:t>
                  </w:r>
                </w:p>
              </w:tc>
              <w:tc>
                <w:tcPr>
                  <w:tcW w:w="1237" w:type="pct"/>
                  <w:tcBorders>
                    <w:bottom w:val="single" w:color="000000" w:sz="4" w:space="0"/>
                    <w:tl2br w:val="nil"/>
                    <w:tr2bl w:val="nil"/>
                  </w:tcBorders>
                  <w:noWrap w:val="0"/>
                  <w:vAlign w:val="center"/>
                </w:tcPr>
                <w:p w14:paraId="2FC79C1B">
                  <w:pPr>
                    <w:pStyle w:val="13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声源源强</w:t>
                  </w:r>
                </w:p>
              </w:tc>
              <w:tc>
                <w:tcPr>
                  <w:tcW w:w="596" w:type="pct"/>
                  <w:vMerge w:val="restart"/>
                  <w:tcBorders>
                    <w:tl2br w:val="nil"/>
                    <w:tr2bl w:val="nil"/>
                  </w:tcBorders>
                  <w:noWrap w:val="0"/>
                  <w:vAlign w:val="center"/>
                </w:tcPr>
                <w:p w14:paraId="0D2DDDEA">
                  <w:pPr>
                    <w:pStyle w:val="13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声源控制措施</w:t>
                  </w:r>
                </w:p>
              </w:tc>
              <w:tc>
                <w:tcPr>
                  <w:tcW w:w="596" w:type="pct"/>
                  <w:vMerge w:val="restart"/>
                  <w:tcBorders>
                    <w:tl2br w:val="nil"/>
                    <w:tr2bl w:val="nil"/>
                  </w:tcBorders>
                  <w:noWrap w:val="0"/>
                  <w:vAlign w:val="center"/>
                </w:tcPr>
                <w:p w14:paraId="4581F672">
                  <w:pPr>
                    <w:pStyle w:val="13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运行时段</w:t>
                  </w:r>
                  <w:r>
                    <w:rPr>
                      <w:rFonts w:hint="eastAsia" w:eastAsia="宋体"/>
                      <w:b w:val="0"/>
                      <w:bCs/>
                      <w:smallCaps w:val="0"/>
                      <w:color w:val="auto"/>
                      <w:sz w:val="21"/>
                      <w:szCs w:val="21"/>
                      <w:highlight w:val="none"/>
                      <w:vertAlign w:val="baseline"/>
                      <w:lang w:val="en-US" w:eastAsia="zh-CN"/>
                    </w:rPr>
                    <w:t>h</w:t>
                  </w:r>
                </w:p>
              </w:tc>
            </w:tr>
            <w:tr w14:paraId="3A244B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356" w:type="pct"/>
                  <w:vMerge w:val="continue"/>
                  <w:tcBorders>
                    <w:tl2br w:val="nil"/>
                    <w:tr2bl w:val="nil"/>
                  </w:tcBorders>
                  <w:noWrap w:val="0"/>
                  <w:vAlign w:val="center"/>
                </w:tcPr>
                <w:p w14:paraId="70B600EC">
                  <w:pPr>
                    <w:pStyle w:val="13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 w:val="0"/>
                      <w:bCs/>
                      <w:smallCaps w:val="0"/>
                      <w:color w:val="auto"/>
                      <w:sz w:val="21"/>
                      <w:szCs w:val="21"/>
                      <w:highlight w:val="none"/>
                      <w:vertAlign w:val="baseline"/>
                      <w:lang w:val="en-US" w:eastAsia="zh-CN"/>
                    </w:rPr>
                  </w:pPr>
                </w:p>
              </w:tc>
              <w:tc>
                <w:tcPr>
                  <w:tcW w:w="714" w:type="pct"/>
                  <w:vMerge w:val="continue"/>
                  <w:tcBorders>
                    <w:tl2br w:val="nil"/>
                    <w:tr2bl w:val="nil"/>
                  </w:tcBorders>
                  <w:noWrap w:val="0"/>
                  <w:vAlign w:val="center"/>
                </w:tcPr>
                <w:p w14:paraId="1D4F049E">
                  <w:pPr>
                    <w:pStyle w:val="13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 w:val="0"/>
                      <w:bCs/>
                      <w:smallCaps w:val="0"/>
                      <w:color w:val="auto"/>
                      <w:sz w:val="21"/>
                      <w:szCs w:val="21"/>
                      <w:highlight w:val="none"/>
                      <w:vertAlign w:val="baseline"/>
                      <w:lang w:val="en-US" w:eastAsia="zh-CN"/>
                    </w:rPr>
                  </w:pPr>
                </w:p>
              </w:tc>
              <w:tc>
                <w:tcPr>
                  <w:tcW w:w="495" w:type="pct"/>
                  <w:tcBorders>
                    <w:top w:val="single" w:color="000000" w:sz="4" w:space="0"/>
                    <w:right w:val="single" w:color="000000" w:sz="4" w:space="0"/>
                    <w:tl2br w:val="nil"/>
                    <w:tr2bl w:val="nil"/>
                  </w:tcBorders>
                  <w:noWrap w:val="0"/>
                  <w:vAlign w:val="center"/>
                </w:tcPr>
                <w:p w14:paraId="4534FE8C">
                  <w:pPr>
                    <w:pStyle w:val="13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X</w:t>
                  </w:r>
                </w:p>
              </w:tc>
              <w:tc>
                <w:tcPr>
                  <w:tcW w:w="515" w:type="pct"/>
                  <w:tcBorders>
                    <w:top w:val="single" w:color="000000" w:sz="4" w:space="0"/>
                    <w:left w:val="single" w:color="000000" w:sz="4" w:space="0"/>
                    <w:right w:val="single" w:color="000000" w:sz="4" w:space="0"/>
                    <w:tl2br w:val="nil"/>
                    <w:tr2bl w:val="nil"/>
                  </w:tcBorders>
                  <w:noWrap w:val="0"/>
                  <w:vAlign w:val="center"/>
                </w:tcPr>
                <w:p w14:paraId="5F71FDB4">
                  <w:pPr>
                    <w:pStyle w:val="13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Y</w:t>
                  </w:r>
                </w:p>
              </w:tc>
              <w:tc>
                <w:tcPr>
                  <w:tcW w:w="486" w:type="pct"/>
                  <w:tcBorders>
                    <w:top w:val="single" w:color="000000" w:sz="4" w:space="0"/>
                    <w:left w:val="single" w:color="000000" w:sz="4" w:space="0"/>
                    <w:tl2br w:val="nil"/>
                    <w:tr2bl w:val="nil"/>
                  </w:tcBorders>
                  <w:noWrap w:val="0"/>
                  <w:vAlign w:val="center"/>
                </w:tcPr>
                <w:p w14:paraId="7A376250">
                  <w:pPr>
                    <w:pStyle w:val="13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Z</w:t>
                  </w:r>
                </w:p>
              </w:tc>
              <w:tc>
                <w:tcPr>
                  <w:tcW w:w="1237" w:type="pct"/>
                  <w:tcBorders>
                    <w:top w:val="single" w:color="000000" w:sz="4" w:space="0"/>
                    <w:tl2br w:val="nil"/>
                    <w:tr2bl w:val="nil"/>
                  </w:tcBorders>
                  <w:noWrap w:val="0"/>
                  <w:vAlign w:val="center"/>
                </w:tcPr>
                <w:p w14:paraId="5364E526">
                  <w:pPr>
                    <w:pStyle w:val="13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声功率级/dB（A）</w:t>
                  </w:r>
                </w:p>
              </w:tc>
              <w:tc>
                <w:tcPr>
                  <w:tcW w:w="596" w:type="pct"/>
                  <w:vMerge w:val="continue"/>
                  <w:tcBorders>
                    <w:tl2br w:val="nil"/>
                    <w:tr2bl w:val="nil"/>
                  </w:tcBorders>
                  <w:noWrap w:val="0"/>
                  <w:vAlign w:val="center"/>
                </w:tcPr>
                <w:p w14:paraId="5622EA11">
                  <w:pPr>
                    <w:pStyle w:val="13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 w:val="0"/>
                      <w:bCs/>
                      <w:smallCaps w:val="0"/>
                      <w:color w:val="auto"/>
                      <w:sz w:val="21"/>
                      <w:szCs w:val="21"/>
                      <w:highlight w:val="none"/>
                      <w:vertAlign w:val="baseline"/>
                    </w:rPr>
                  </w:pPr>
                </w:p>
              </w:tc>
              <w:tc>
                <w:tcPr>
                  <w:tcW w:w="596" w:type="pct"/>
                  <w:vMerge w:val="continue"/>
                  <w:tcBorders>
                    <w:tl2br w:val="nil"/>
                    <w:tr2bl w:val="nil"/>
                  </w:tcBorders>
                  <w:noWrap w:val="0"/>
                  <w:vAlign w:val="center"/>
                </w:tcPr>
                <w:p w14:paraId="6F0CBC4B">
                  <w:pPr>
                    <w:pStyle w:val="13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 w:val="0"/>
                      <w:bCs/>
                      <w:smallCaps w:val="0"/>
                      <w:color w:val="auto"/>
                      <w:sz w:val="21"/>
                      <w:szCs w:val="21"/>
                      <w:highlight w:val="none"/>
                      <w:vertAlign w:val="baseline"/>
                    </w:rPr>
                  </w:pPr>
                </w:p>
              </w:tc>
            </w:tr>
            <w:tr w14:paraId="35AAF8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8" w:hRule="atLeast"/>
              </w:trPr>
              <w:tc>
                <w:tcPr>
                  <w:tcW w:w="356" w:type="pct"/>
                  <w:tcBorders>
                    <w:tl2br w:val="nil"/>
                    <w:tr2bl w:val="nil"/>
                  </w:tcBorders>
                  <w:noWrap w:val="0"/>
                  <w:vAlign w:val="center"/>
                </w:tcPr>
                <w:p w14:paraId="7FB29465">
                  <w:pPr>
                    <w:pStyle w:val="13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1</w:t>
                  </w:r>
                </w:p>
              </w:tc>
              <w:tc>
                <w:tcPr>
                  <w:tcW w:w="714" w:type="pct"/>
                  <w:tcBorders>
                    <w:tl2br w:val="nil"/>
                    <w:tr2bl w:val="nil"/>
                  </w:tcBorders>
                  <w:noWrap w:val="0"/>
                  <w:vAlign w:val="center"/>
                </w:tcPr>
                <w:p w14:paraId="4918C1DB">
                  <w:pPr>
                    <w:jc w:val="center"/>
                    <w:rPr>
                      <w:rFonts w:hint="eastAsia"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铲车</w:t>
                  </w:r>
                </w:p>
              </w:tc>
              <w:tc>
                <w:tcPr>
                  <w:tcW w:w="495" w:type="pct"/>
                  <w:tcBorders>
                    <w:right w:val="single" w:color="000000" w:sz="4" w:space="0"/>
                    <w:tl2br w:val="nil"/>
                    <w:tr2bl w:val="nil"/>
                  </w:tcBorders>
                  <w:noWrap w:val="0"/>
                  <w:vAlign w:val="center"/>
                </w:tcPr>
                <w:p w14:paraId="36CFC96F">
                  <w:pPr>
                    <w:pStyle w:val="13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13</w:t>
                  </w:r>
                </w:p>
              </w:tc>
              <w:tc>
                <w:tcPr>
                  <w:tcW w:w="515" w:type="pct"/>
                  <w:tcBorders>
                    <w:left w:val="single" w:color="000000" w:sz="4" w:space="0"/>
                    <w:right w:val="single" w:color="000000" w:sz="4" w:space="0"/>
                    <w:tl2br w:val="nil"/>
                    <w:tr2bl w:val="nil"/>
                  </w:tcBorders>
                  <w:noWrap w:val="0"/>
                  <w:vAlign w:val="center"/>
                </w:tcPr>
                <w:p w14:paraId="5F194F68">
                  <w:pPr>
                    <w:pStyle w:val="13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22</w:t>
                  </w:r>
                </w:p>
              </w:tc>
              <w:tc>
                <w:tcPr>
                  <w:tcW w:w="486" w:type="pct"/>
                  <w:tcBorders>
                    <w:left w:val="single" w:color="000000" w:sz="4" w:space="0"/>
                    <w:tl2br w:val="nil"/>
                    <w:tr2bl w:val="nil"/>
                  </w:tcBorders>
                  <w:noWrap w:val="0"/>
                  <w:vAlign w:val="center"/>
                </w:tcPr>
                <w:p w14:paraId="6786C639">
                  <w:pPr>
                    <w:pStyle w:val="13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b w:val="0"/>
                      <w:bCs/>
                      <w:smallCaps w:val="0"/>
                      <w:color w:val="auto"/>
                      <w:sz w:val="21"/>
                      <w:szCs w:val="21"/>
                      <w:highlight w:val="none"/>
                      <w:vertAlign w:val="baseline"/>
                      <w:lang w:val="en-US" w:eastAsia="zh-CN"/>
                    </w:rPr>
                  </w:pPr>
                  <w:r>
                    <w:rPr>
                      <w:rFonts w:hint="eastAsia" w:ascii="Times New Roman" w:hAnsi="Times New Roman" w:eastAsia="宋体"/>
                      <w:b w:val="0"/>
                      <w:bCs/>
                      <w:smallCaps w:val="0"/>
                      <w:color w:val="auto"/>
                      <w:sz w:val="21"/>
                      <w:szCs w:val="21"/>
                      <w:highlight w:val="none"/>
                      <w:vertAlign w:val="baseline"/>
                      <w:lang w:val="en-US" w:eastAsia="zh-CN"/>
                    </w:rPr>
                    <w:t>2.5</w:t>
                  </w:r>
                </w:p>
              </w:tc>
              <w:tc>
                <w:tcPr>
                  <w:tcW w:w="1237" w:type="pct"/>
                  <w:tcBorders>
                    <w:tl2br w:val="nil"/>
                    <w:tr2bl w:val="nil"/>
                  </w:tcBorders>
                  <w:noWrap w:val="0"/>
                  <w:vAlign w:val="center"/>
                </w:tcPr>
                <w:p w14:paraId="6B1F0E9D">
                  <w:pPr>
                    <w:jc w:val="center"/>
                    <w:rPr>
                      <w:rFonts w:hint="default" w:ascii="Times New Roman" w:hAnsi="Times New Roman" w:eastAsia="宋体"/>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70</w:t>
                  </w:r>
                </w:p>
              </w:tc>
              <w:tc>
                <w:tcPr>
                  <w:tcW w:w="596" w:type="pct"/>
                  <w:vMerge w:val="restart"/>
                  <w:tcBorders>
                    <w:tl2br w:val="nil"/>
                    <w:tr2bl w:val="nil"/>
                  </w:tcBorders>
                  <w:noWrap w:val="0"/>
                  <w:vAlign w:val="center"/>
                </w:tcPr>
                <w:p w14:paraId="5875E7BD">
                  <w:pPr>
                    <w:pStyle w:val="13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 w:val="0"/>
                      <w:bCs/>
                      <w:smallCaps w:val="0"/>
                      <w:color w:val="auto"/>
                      <w:sz w:val="21"/>
                      <w:szCs w:val="21"/>
                      <w:highlight w:val="none"/>
                      <w:vertAlign w:val="baseline"/>
                    </w:rPr>
                  </w:pPr>
                  <w:r>
                    <w:rPr>
                      <w:rFonts w:hint="eastAsia" w:ascii="Times New Roman" w:hAnsi="Times New Roman" w:eastAsia="宋体"/>
                      <w:smallCaps w:val="0"/>
                      <w:color w:val="auto"/>
                      <w:sz w:val="21"/>
                      <w:szCs w:val="21"/>
                      <w:highlight w:val="none"/>
                    </w:rPr>
                    <w:t>已</w:t>
                  </w:r>
                  <w:r>
                    <w:rPr>
                      <w:rFonts w:ascii="Times New Roman" w:hAnsi="Times New Roman" w:eastAsia="宋体"/>
                      <w:smallCaps w:val="0"/>
                      <w:color w:val="auto"/>
                      <w:sz w:val="21"/>
                      <w:szCs w:val="21"/>
                      <w:highlight w:val="none"/>
                    </w:rPr>
                    <w:t>选用低噪声设备，加装减震、隔声</w:t>
                  </w:r>
                  <w:r>
                    <w:rPr>
                      <w:rFonts w:hint="eastAsia" w:ascii="Times New Roman" w:hAnsi="Times New Roman" w:eastAsia="宋体"/>
                      <w:smallCaps w:val="0"/>
                      <w:color w:val="auto"/>
                      <w:sz w:val="21"/>
                      <w:szCs w:val="21"/>
                      <w:highlight w:val="none"/>
                      <w:lang w:val="en-US" w:eastAsia="zh-CN"/>
                    </w:rPr>
                    <w:t>设施</w:t>
                  </w:r>
                </w:p>
              </w:tc>
              <w:tc>
                <w:tcPr>
                  <w:tcW w:w="596" w:type="pct"/>
                  <w:vMerge w:val="restart"/>
                  <w:tcBorders>
                    <w:tl2br w:val="nil"/>
                    <w:tr2bl w:val="nil"/>
                  </w:tcBorders>
                  <w:noWrap w:val="0"/>
                  <w:vAlign w:val="center"/>
                </w:tcPr>
                <w:p w14:paraId="659B3C77">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smallCaps w:val="0"/>
                      <w:color w:val="auto"/>
                      <w:kern w:val="2"/>
                      <w:sz w:val="21"/>
                      <w:szCs w:val="21"/>
                      <w:highlight w:val="none"/>
                      <w:vertAlign w:val="baseline"/>
                      <w:lang w:val="en-US" w:eastAsia="zh-CN" w:bidi="ar-SA"/>
                    </w:rPr>
                  </w:pPr>
                  <w:r>
                    <w:rPr>
                      <w:rFonts w:hint="eastAsia" w:ascii="Times New Roman" w:hAnsi="Times New Roman" w:eastAsia="宋体" w:cs="Times New Roman"/>
                      <w:b w:val="0"/>
                      <w:bCs/>
                      <w:smallCaps w:val="0"/>
                      <w:color w:val="auto"/>
                      <w:kern w:val="2"/>
                      <w:sz w:val="21"/>
                      <w:szCs w:val="21"/>
                      <w:highlight w:val="none"/>
                      <w:vertAlign w:val="baseline"/>
                      <w:lang w:val="en-US" w:eastAsia="zh-CN" w:bidi="ar-SA"/>
                    </w:rPr>
                    <w:t>2000</w:t>
                  </w:r>
                </w:p>
              </w:tc>
            </w:tr>
            <w:tr w14:paraId="25AE47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356" w:type="pct"/>
                  <w:tcBorders>
                    <w:tl2br w:val="nil"/>
                    <w:tr2bl w:val="nil"/>
                  </w:tcBorders>
                  <w:noWrap w:val="0"/>
                  <w:vAlign w:val="center"/>
                </w:tcPr>
                <w:p w14:paraId="0F9C88A4">
                  <w:pPr>
                    <w:pStyle w:val="13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smallCaps w:val="0"/>
                      <w:color w:val="auto"/>
                      <w:kern w:val="2"/>
                      <w:sz w:val="21"/>
                      <w:szCs w:val="21"/>
                      <w:highlight w:val="none"/>
                      <w:vertAlign w:val="baseline"/>
                      <w:lang w:val="en-US" w:eastAsia="zh-CN" w:bidi="ar-SA"/>
                    </w:rPr>
                  </w:pPr>
                  <w:r>
                    <w:rPr>
                      <w:rFonts w:hint="eastAsia"/>
                      <w:b w:val="0"/>
                      <w:bCs/>
                      <w:smallCaps w:val="0"/>
                      <w:color w:val="auto"/>
                      <w:sz w:val="21"/>
                      <w:szCs w:val="21"/>
                      <w:highlight w:val="none"/>
                      <w:vertAlign w:val="baseline"/>
                      <w:lang w:val="en-US" w:eastAsia="zh-CN"/>
                    </w:rPr>
                    <w:t>2</w:t>
                  </w:r>
                </w:p>
              </w:tc>
              <w:tc>
                <w:tcPr>
                  <w:tcW w:w="714" w:type="pct"/>
                  <w:tcBorders>
                    <w:tl2br w:val="nil"/>
                    <w:tr2bl w:val="nil"/>
                  </w:tcBorders>
                  <w:noWrap w:val="0"/>
                  <w:vAlign w:val="center"/>
                </w:tcPr>
                <w:p w14:paraId="4B37BFDA">
                  <w:pPr>
                    <w:jc w:val="center"/>
                    <w:rPr>
                      <w:rFonts w:hint="default" w:ascii="Times New Roman" w:hAnsi="Times New Roman" w:eastAsia="宋体"/>
                      <w:smallCaps w:val="0"/>
                      <w:color w:val="auto"/>
                      <w:sz w:val="21"/>
                      <w:szCs w:val="21"/>
                      <w:highlight w:val="none"/>
                      <w:lang w:val="en-US" w:eastAsia="zh-CN"/>
                    </w:rPr>
                  </w:pPr>
                  <w:r>
                    <w:rPr>
                      <w:rFonts w:hint="eastAsia" w:ascii="Times New Roman" w:hAnsi="Times New Roman" w:eastAsia="宋体"/>
                      <w:smallCaps w:val="0"/>
                      <w:color w:val="auto"/>
                      <w:sz w:val="21"/>
                      <w:szCs w:val="21"/>
                      <w:highlight w:val="none"/>
                      <w:lang w:val="en-US" w:eastAsia="zh-CN"/>
                    </w:rPr>
                    <w:t>叉车</w:t>
                  </w:r>
                </w:p>
              </w:tc>
              <w:tc>
                <w:tcPr>
                  <w:tcW w:w="495" w:type="pct"/>
                  <w:tcBorders>
                    <w:tl2br w:val="nil"/>
                    <w:tr2bl w:val="nil"/>
                  </w:tcBorders>
                  <w:noWrap w:val="0"/>
                  <w:vAlign w:val="center"/>
                </w:tcPr>
                <w:p w14:paraId="09283F54">
                  <w:pPr>
                    <w:pStyle w:val="13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smallCaps w:val="0"/>
                      <w:color w:val="auto"/>
                      <w:kern w:val="2"/>
                      <w:sz w:val="21"/>
                      <w:szCs w:val="21"/>
                      <w:highlight w:val="none"/>
                      <w:vertAlign w:val="baseline"/>
                      <w:lang w:val="en-US" w:eastAsia="zh-CN" w:bidi="ar-SA"/>
                    </w:rPr>
                  </w:pPr>
                  <w:r>
                    <w:rPr>
                      <w:rFonts w:hint="eastAsia" w:ascii="Times New Roman" w:hAnsi="Times New Roman" w:eastAsia="宋体" w:cs="Times New Roman"/>
                      <w:b w:val="0"/>
                      <w:bCs/>
                      <w:smallCaps w:val="0"/>
                      <w:color w:val="auto"/>
                      <w:kern w:val="2"/>
                      <w:sz w:val="21"/>
                      <w:szCs w:val="21"/>
                      <w:highlight w:val="none"/>
                      <w:vertAlign w:val="baseline"/>
                      <w:lang w:val="en-US" w:eastAsia="zh-CN" w:bidi="ar-SA"/>
                    </w:rPr>
                    <w:t>13</w:t>
                  </w:r>
                </w:p>
              </w:tc>
              <w:tc>
                <w:tcPr>
                  <w:tcW w:w="515" w:type="pct"/>
                  <w:tcBorders>
                    <w:tl2br w:val="nil"/>
                    <w:tr2bl w:val="nil"/>
                  </w:tcBorders>
                  <w:noWrap w:val="0"/>
                  <w:vAlign w:val="center"/>
                </w:tcPr>
                <w:p w14:paraId="0A47AA81">
                  <w:pPr>
                    <w:pStyle w:val="13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smallCaps w:val="0"/>
                      <w:color w:val="auto"/>
                      <w:kern w:val="2"/>
                      <w:sz w:val="21"/>
                      <w:szCs w:val="21"/>
                      <w:highlight w:val="none"/>
                      <w:vertAlign w:val="baseline"/>
                      <w:lang w:val="en-US" w:eastAsia="zh-CN" w:bidi="ar-SA"/>
                    </w:rPr>
                  </w:pPr>
                  <w:r>
                    <w:rPr>
                      <w:rFonts w:hint="eastAsia" w:ascii="Times New Roman" w:hAnsi="Times New Roman" w:eastAsia="宋体" w:cs="Times New Roman"/>
                      <w:b w:val="0"/>
                      <w:bCs/>
                      <w:smallCaps w:val="0"/>
                      <w:color w:val="auto"/>
                      <w:kern w:val="2"/>
                      <w:sz w:val="21"/>
                      <w:szCs w:val="21"/>
                      <w:highlight w:val="none"/>
                      <w:vertAlign w:val="baseline"/>
                      <w:lang w:val="en-US" w:eastAsia="zh-CN" w:bidi="ar-SA"/>
                    </w:rPr>
                    <w:t>-4</w:t>
                  </w:r>
                </w:p>
              </w:tc>
              <w:tc>
                <w:tcPr>
                  <w:tcW w:w="486" w:type="pct"/>
                  <w:tcBorders>
                    <w:tl2br w:val="nil"/>
                    <w:tr2bl w:val="nil"/>
                  </w:tcBorders>
                  <w:noWrap w:val="0"/>
                  <w:vAlign w:val="center"/>
                </w:tcPr>
                <w:p w14:paraId="30D93110">
                  <w:pPr>
                    <w:pStyle w:val="13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smallCaps w:val="0"/>
                      <w:color w:val="auto"/>
                      <w:kern w:val="2"/>
                      <w:sz w:val="21"/>
                      <w:szCs w:val="21"/>
                      <w:highlight w:val="none"/>
                      <w:vertAlign w:val="baseline"/>
                      <w:lang w:val="en-US" w:eastAsia="zh-CN" w:bidi="ar-SA"/>
                    </w:rPr>
                  </w:pPr>
                  <w:r>
                    <w:rPr>
                      <w:rFonts w:hint="eastAsia" w:ascii="Times New Roman" w:hAnsi="Times New Roman" w:eastAsia="宋体" w:cs="Times New Roman"/>
                      <w:b w:val="0"/>
                      <w:bCs/>
                      <w:smallCaps w:val="0"/>
                      <w:color w:val="auto"/>
                      <w:kern w:val="2"/>
                      <w:sz w:val="21"/>
                      <w:szCs w:val="21"/>
                      <w:highlight w:val="none"/>
                      <w:vertAlign w:val="baseline"/>
                      <w:lang w:val="en-US" w:eastAsia="zh-CN" w:bidi="ar-SA"/>
                    </w:rPr>
                    <w:t>2.5</w:t>
                  </w:r>
                </w:p>
              </w:tc>
              <w:tc>
                <w:tcPr>
                  <w:tcW w:w="1237" w:type="pct"/>
                  <w:tcBorders>
                    <w:tl2br w:val="nil"/>
                    <w:tr2bl w:val="nil"/>
                  </w:tcBorders>
                  <w:noWrap w:val="0"/>
                  <w:vAlign w:val="center"/>
                </w:tcPr>
                <w:p w14:paraId="1CE65075">
                  <w:pPr>
                    <w:jc w:val="center"/>
                    <w:rPr>
                      <w:rFonts w:hint="default" w:ascii="Times New Roman" w:hAnsi="Times New Roman" w:eastAsia="宋体"/>
                      <w:b w:val="0"/>
                      <w:bCs/>
                      <w:smallCaps w:val="0"/>
                      <w:color w:val="auto"/>
                      <w:sz w:val="21"/>
                      <w:szCs w:val="21"/>
                      <w:highlight w:val="none"/>
                      <w:vertAlign w:val="baseline"/>
                      <w:lang w:val="en-US" w:eastAsia="zh-CN"/>
                    </w:rPr>
                  </w:pPr>
                  <w:r>
                    <w:rPr>
                      <w:rFonts w:hint="eastAsia"/>
                      <w:b w:val="0"/>
                      <w:bCs/>
                      <w:smallCaps w:val="0"/>
                      <w:color w:val="auto"/>
                      <w:sz w:val="21"/>
                      <w:szCs w:val="21"/>
                      <w:highlight w:val="none"/>
                      <w:vertAlign w:val="baseline"/>
                      <w:lang w:val="en-US" w:eastAsia="zh-CN"/>
                    </w:rPr>
                    <w:t>70</w:t>
                  </w:r>
                </w:p>
              </w:tc>
              <w:tc>
                <w:tcPr>
                  <w:tcW w:w="596" w:type="pct"/>
                  <w:vMerge w:val="continue"/>
                  <w:tcBorders>
                    <w:tl2br w:val="nil"/>
                    <w:tr2bl w:val="nil"/>
                  </w:tcBorders>
                  <w:noWrap w:val="0"/>
                  <w:vAlign w:val="center"/>
                </w:tcPr>
                <w:p w14:paraId="44D0611B">
                  <w:pPr>
                    <w:pStyle w:val="13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 w:val="0"/>
                      <w:bCs/>
                      <w:smallCaps w:val="0"/>
                      <w:color w:val="auto"/>
                      <w:sz w:val="21"/>
                      <w:szCs w:val="21"/>
                      <w:highlight w:val="none"/>
                      <w:vertAlign w:val="baseline"/>
                    </w:rPr>
                  </w:pPr>
                </w:p>
              </w:tc>
              <w:tc>
                <w:tcPr>
                  <w:tcW w:w="596" w:type="pct"/>
                  <w:vMerge w:val="continue"/>
                  <w:tcBorders>
                    <w:tl2br w:val="nil"/>
                    <w:tr2bl w:val="nil"/>
                  </w:tcBorders>
                  <w:noWrap w:val="0"/>
                  <w:vAlign w:val="center"/>
                </w:tcPr>
                <w:p w14:paraId="0CA4FCCF">
                  <w:pPr>
                    <w:pStyle w:val="13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b w:val="0"/>
                      <w:bCs/>
                      <w:smallCaps w:val="0"/>
                      <w:color w:val="auto"/>
                      <w:sz w:val="21"/>
                      <w:szCs w:val="21"/>
                      <w:highlight w:val="none"/>
                      <w:vertAlign w:val="baseline"/>
                    </w:rPr>
                  </w:pPr>
                </w:p>
              </w:tc>
            </w:tr>
          </w:tbl>
          <w:p w14:paraId="720B6FD3">
            <w:pPr>
              <w:keepNext w:val="0"/>
              <w:keepLines w:val="0"/>
              <w:pageBreakBefore w:val="0"/>
              <w:suppressLineNumbers w:val="0"/>
              <w:wordWrap/>
              <w:bidi w:val="0"/>
              <w:spacing w:before="0" w:beforeAutospacing="0" w:after="0" w:afterAutospacing="0" w:line="360" w:lineRule="auto"/>
              <w:ind w:left="0" w:leftChars="0" w:right="0" w:firstLine="480" w:firstLineChars="200"/>
              <w:rPr>
                <w:rFonts w:hint="default" w:ascii="Times New Roman" w:hAnsi="Times New Roman" w:eastAsia="宋体"/>
                <w:color w:val="auto"/>
                <w:sz w:val="24"/>
                <w:highlight w:val="none"/>
              </w:rPr>
            </w:pPr>
            <w:r>
              <w:rPr>
                <w:rFonts w:hint="eastAsia"/>
                <w:color w:val="auto"/>
                <w:sz w:val="24"/>
                <w:highlight w:val="none"/>
                <w:lang w:val="en-US" w:eastAsia="zh-CN" w:bidi="ar"/>
              </w:rPr>
              <w:t>2、</w:t>
            </w:r>
            <w:r>
              <w:rPr>
                <w:rFonts w:hint="eastAsia" w:ascii="Times New Roman" w:hAnsi="Times New Roman" w:eastAsia="宋体"/>
                <w:color w:val="auto"/>
                <w:sz w:val="24"/>
                <w:highlight w:val="none"/>
                <w:lang w:bidi="ar"/>
              </w:rPr>
              <w:t>污染防治措施及环境影响分析</w:t>
            </w:r>
          </w:p>
          <w:p w14:paraId="0881444E">
            <w:pPr>
              <w:keepNext w:val="0"/>
              <w:keepLines w:val="0"/>
              <w:pageBreakBefore w:val="0"/>
              <w:suppressLineNumbers w:val="0"/>
              <w:wordWrap/>
              <w:bidi w:val="0"/>
              <w:spacing w:before="0" w:beforeAutospacing="0" w:after="0" w:afterAutospacing="0" w:line="360" w:lineRule="auto"/>
              <w:ind w:left="0" w:leftChars="0" w:right="0" w:firstLine="48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rPr>
              <w:t>本项目选用低噪声设备，厂房封闭、加装减振、安装消声器等措施，优化厂区布置，采取降噪措施后本项目厂界</w:t>
            </w:r>
            <w:r>
              <w:rPr>
                <w:rFonts w:hint="eastAsia" w:cs="Times New Roman"/>
                <w:bCs/>
                <w:color w:val="auto"/>
                <w:sz w:val="24"/>
                <w:highlight w:val="none"/>
                <w:lang w:val="en-US" w:eastAsia="zh-CN"/>
              </w:rPr>
              <w:t>四周</w:t>
            </w:r>
            <w:r>
              <w:rPr>
                <w:rFonts w:hint="default" w:ascii="Times New Roman" w:hAnsi="Times New Roman" w:eastAsia="宋体" w:cs="Times New Roman"/>
                <w:bCs/>
                <w:color w:val="auto"/>
                <w:sz w:val="24"/>
                <w:highlight w:val="none"/>
              </w:rPr>
              <w:t>噪声</w:t>
            </w:r>
            <w:r>
              <w:rPr>
                <w:rFonts w:hint="eastAsia" w:cs="Times New Roman"/>
                <w:bCs/>
                <w:color w:val="auto"/>
                <w:sz w:val="24"/>
                <w:highlight w:val="none"/>
                <w:lang w:val="en-US" w:eastAsia="zh-CN"/>
              </w:rPr>
              <w:t>满足</w:t>
            </w:r>
            <w:r>
              <w:rPr>
                <w:rFonts w:hint="default" w:ascii="Times New Roman" w:hAnsi="Times New Roman" w:eastAsia="宋体" w:cs="Times New Roman"/>
                <w:bCs/>
                <w:color w:val="auto"/>
                <w:sz w:val="24"/>
                <w:highlight w:val="none"/>
              </w:rPr>
              <w:t>《工业企业厂界环境噪声排放标准》（GB12348-2008）表1中</w:t>
            </w:r>
            <w:r>
              <w:rPr>
                <w:rFonts w:hint="eastAsia" w:cs="Times New Roman"/>
                <w:bCs/>
                <w:color w:val="auto"/>
                <w:sz w:val="24"/>
                <w:highlight w:val="none"/>
                <w:lang w:val="en-US" w:eastAsia="zh-CN"/>
              </w:rPr>
              <w:t>2</w:t>
            </w:r>
            <w:r>
              <w:rPr>
                <w:rFonts w:hint="default" w:ascii="Times New Roman" w:hAnsi="Times New Roman" w:eastAsia="宋体" w:cs="Times New Roman"/>
                <w:bCs/>
                <w:color w:val="auto"/>
                <w:sz w:val="24"/>
                <w:highlight w:val="none"/>
              </w:rPr>
              <w:t>类标准。</w:t>
            </w:r>
            <w:r>
              <w:rPr>
                <w:rFonts w:hint="default" w:ascii="Times New Roman" w:hAnsi="Times New Roman" w:cs="Times New Roman"/>
                <w:color w:val="auto"/>
                <w:kern w:val="0"/>
                <w:sz w:val="24"/>
                <w:szCs w:val="24"/>
                <w:highlight w:val="none"/>
                <w:lang w:eastAsia="zh-CN"/>
              </w:rPr>
              <w:t>项目敏感目标处满足《声环境质量标准》</w:t>
            </w:r>
            <w:r>
              <w:rPr>
                <w:rFonts w:hint="eastAsia"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lang w:eastAsia="zh-CN"/>
              </w:rPr>
              <w:t>GB</w:t>
            </w:r>
            <w:r>
              <w:rPr>
                <w:rFonts w:hint="eastAsia" w:ascii="Times New Roman" w:hAnsi="Times New Roman" w:cs="Times New Roman"/>
                <w:color w:val="auto"/>
                <w:kern w:val="0"/>
                <w:sz w:val="24"/>
                <w:szCs w:val="24"/>
                <w:highlight w:val="none"/>
                <w:lang w:val="en-US" w:eastAsia="zh-CN"/>
              </w:rPr>
              <w:t xml:space="preserve"> </w:t>
            </w:r>
            <w:r>
              <w:rPr>
                <w:rFonts w:hint="default" w:ascii="Times New Roman" w:hAnsi="Times New Roman" w:cs="Times New Roman"/>
                <w:color w:val="auto"/>
                <w:kern w:val="0"/>
                <w:sz w:val="24"/>
                <w:szCs w:val="24"/>
                <w:highlight w:val="none"/>
                <w:lang w:eastAsia="zh-CN"/>
              </w:rPr>
              <w:t>3096-2008</w:t>
            </w:r>
            <w:r>
              <w:rPr>
                <w:rFonts w:hint="eastAsia" w:cs="Times New Roman"/>
                <w:color w:val="auto"/>
                <w:kern w:val="0"/>
                <w:sz w:val="24"/>
                <w:szCs w:val="24"/>
                <w:highlight w:val="none"/>
                <w:lang w:eastAsia="zh-CN"/>
              </w:rPr>
              <w:t>）</w:t>
            </w:r>
            <w:r>
              <w:rPr>
                <w:rFonts w:hint="eastAsia" w:cs="Times New Roman"/>
                <w:color w:val="auto"/>
                <w:kern w:val="0"/>
                <w:sz w:val="24"/>
                <w:szCs w:val="24"/>
                <w:highlight w:val="none"/>
                <w:lang w:val="en-US" w:eastAsia="zh-CN"/>
              </w:rPr>
              <w:t>2</w:t>
            </w:r>
            <w:r>
              <w:rPr>
                <w:rFonts w:hint="default" w:ascii="Times New Roman" w:hAnsi="Times New Roman" w:cs="Times New Roman"/>
                <w:color w:val="auto"/>
                <w:kern w:val="0"/>
                <w:sz w:val="24"/>
                <w:szCs w:val="24"/>
                <w:highlight w:val="none"/>
                <w:lang w:eastAsia="zh-CN"/>
              </w:rPr>
              <w:t>类标准限值的要求</w:t>
            </w:r>
            <w:r>
              <w:rPr>
                <w:rFonts w:hint="eastAsia" w:ascii="Times New Roman" w:hAnsi="Times New Roman" w:cs="Times New Roman"/>
                <w:color w:val="auto"/>
                <w:kern w:val="0"/>
                <w:sz w:val="24"/>
                <w:szCs w:val="24"/>
                <w:highlight w:val="none"/>
                <w:lang w:eastAsia="zh-CN"/>
              </w:rPr>
              <w:t>。</w:t>
            </w:r>
            <w:r>
              <w:rPr>
                <w:rFonts w:hint="default" w:ascii="Times New Roman" w:hAnsi="Times New Roman" w:eastAsia="宋体" w:cs="Times New Roman"/>
                <w:bCs/>
                <w:color w:val="auto"/>
                <w:sz w:val="24"/>
                <w:highlight w:val="none"/>
              </w:rPr>
              <w:t>采取措施后本项目噪声对周围声环境造成的不利影响较小，可被环境接受。</w:t>
            </w:r>
          </w:p>
          <w:p w14:paraId="599EDCAA">
            <w:pPr>
              <w:keepNext w:val="0"/>
              <w:keepLines w:val="0"/>
              <w:pageBreakBefore w:val="0"/>
              <w:suppressLineNumbers w:val="0"/>
              <w:wordWrap/>
              <w:bidi w:val="0"/>
              <w:spacing w:before="0" w:beforeAutospacing="0" w:after="0" w:afterAutospacing="0" w:line="360" w:lineRule="auto"/>
              <w:ind w:left="0" w:leftChars="0" w:right="0" w:firstLine="480"/>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针对本项目噪声源的特点，本次评价提出以下措施：</w:t>
            </w:r>
          </w:p>
          <w:p w14:paraId="42F48300">
            <w:pPr>
              <w:keepNext w:val="0"/>
              <w:keepLines w:val="0"/>
              <w:pageBreakBefore w:val="0"/>
              <w:suppressLineNumbers w:val="0"/>
              <w:wordWrap/>
              <w:bidi w:val="0"/>
              <w:spacing w:before="0" w:beforeAutospacing="0" w:after="0" w:afterAutospacing="0" w:line="360" w:lineRule="auto"/>
              <w:ind w:left="0" w:leftChars="0" w:right="0" w:firstLine="480"/>
              <w:rPr>
                <w:rFonts w:hint="default" w:ascii="Times New Roman" w:hAnsi="Times New Roman" w:eastAsia="宋体"/>
                <w:bCs/>
                <w:color w:val="auto"/>
                <w:sz w:val="24"/>
                <w:highlight w:val="none"/>
              </w:rPr>
            </w:pPr>
            <w:r>
              <w:rPr>
                <w:rFonts w:hint="default" w:ascii="Times New Roman" w:hAnsi="Times New Roman" w:eastAsia="宋体" w:cs="Times New Roman"/>
                <w:bCs/>
                <w:color w:val="auto"/>
                <w:sz w:val="24"/>
                <w:highlight w:val="none"/>
              </w:rPr>
              <w:t>①选用低噪声设备：在满足项目生产工艺的前提下选择低噪声设</w:t>
            </w:r>
            <w:r>
              <w:rPr>
                <w:rFonts w:hint="default" w:ascii="Times New Roman" w:hAnsi="Times New Roman" w:eastAsia="宋体"/>
                <w:bCs/>
                <w:color w:val="auto"/>
                <w:sz w:val="24"/>
                <w:highlight w:val="none"/>
              </w:rPr>
              <w:t>备，从源头上降低噪声。</w:t>
            </w:r>
          </w:p>
          <w:p w14:paraId="54264E82">
            <w:pPr>
              <w:keepNext w:val="0"/>
              <w:keepLines w:val="0"/>
              <w:pageBreakBefore w:val="0"/>
              <w:suppressLineNumbers w:val="0"/>
              <w:wordWrap/>
              <w:bidi w:val="0"/>
              <w:spacing w:before="0" w:beforeAutospacing="0" w:after="0" w:afterAutospacing="0" w:line="360" w:lineRule="auto"/>
              <w:ind w:left="0" w:leftChars="0" w:right="0" w:firstLine="480"/>
              <w:rPr>
                <w:rFonts w:hint="default" w:ascii="Times New Roman" w:hAnsi="Times New Roman" w:eastAsia="宋体"/>
                <w:bCs/>
                <w:color w:val="auto"/>
                <w:sz w:val="24"/>
                <w:highlight w:val="none"/>
              </w:rPr>
            </w:pPr>
            <w:r>
              <w:rPr>
                <w:rFonts w:hint="default" w:ascii="Times New Roman" w:hAnsi="Times New Roman" w:eastAsia="宋体"/>
                <w:bCs/>
                <w:color w:val="auto"/>
                <w:sz w:val="24"/>
                <w:highlight w:val="none"/>
              </w:rPr>
              <w:t>②车间内合理布局：将</w:t>
            </w:r>
            <w:r>
              <w:rPr>
                <w:rFonts w:hint="eastAsia"/>
                <w:color w:val="auto"/>
                <w:sz w:val="24"/>
                <w:highlight w:val="none"/>
                <w:lang w:eastAsia="zh-CN"/>
              </w:rPr>
              <w:t>各车间设置</w:t>
            </w:r>
            <w:r>
              <w:rPr>
                <w:rFonts w:hint="default"/>
                <w:color w:val="auto"/>
                <w:sz w:val="24"/>
                <w:highlight w:val="none"/>
              </w:rPr>
              <w:t>为密闭厂房</w:t>
            </w:r>
            <w:r>
              <w:rPr>
                <w:rFonts w:hint="default" w:ascii="Times New Roman" w:hAnsi="Times New Roman" w:eastAsia="宋体"/>
                <w:bCs/>
                <w:color w:val="auto"/>
                <w:sz w:val="24"/>
                <w:highlight w:val="none"/>
              </w:rPr>
              <w:t>，进一步降低厂界噪声，充分利用厂内建筑物的隔声作用，减轻各类声源对周围环境的影响。</w:t>
            </w:r>
          </w:p>
          <w:p w14:paraId="1E44DAD2">
            <w:pPr>
              <w:keepNext w:val="0"/>
              <w:keepLines w:val="0"/>
              <w:pageBreakBefore w:val="0"/>
              <w:suppressLineNumbers w:val="0"/>
              <w:wordWrap/>
              <w:bidi w:val="0"/>
              <w:spacing w:before="0" w:beforeAutospacing="0" w:after="0" w:afterAutospacing="0" w:line="360" w:lineRule="auto"/>
              <w:ind w:left="0" w:leftChars="0" w:right="0" w:firstLine="480"/>
              <w:rPr>
                <w:rFonts w:hint="default" w:ascii="Times New Roman" w:hAnsi="Times New Roman" w:eastAsia="宋体"/>
                <w:bCs/>
                <w:color w:val="auto"/>
                <w:sz w:val="24"/>
                <w:highlight w:val="none"/>
              </w:rPr>
            </w:pPr>
            <w:r>
              <w:rPr>
                <w:rFonts w:hint="default" w:ascii="Times New Roman" w:hAnsi="Times New Roman" w:eastAsia="宋体"/>
                <w:bCs/>
                <w:color w:val="auto"/>
                <w:sz w:val="24"/>
                <w:highlight w:val="none"/>
              </w:rPr>
              <w:t>③加强设备的维护：确保设备处于良好的运转状态，杜绝因设备不正常运转时产生的高噪声现象。</w:t>
            </w:r>
          </w:p>
          <w:p w14:paraId="62D30EF7">
            <w:pPr>
              <w:spacing w:line="360" w:lineRule="auto"/>
              <w:ind w:firstLine="480" w:firstLineChars="200"/>
              <w:rPr>
                <w:rFonts w:hint="default" w:ascii="Times New Roman" w:hAnsi="Times New Roman" w:eastAsia="宋体"/>
                <w:color w:val="auto"/>
                <w:sz w:val="24"/>
                <w:highlight w:val="none"/>
              </w:rPr>
            </w:pPr>
            <w:r>
              <w:rPr>
                <w:rFonts w:hint="default" w:ascii="Times New Roman" w:hAnsi="Times New Roman" w:eastAsia="宋体"/>
                <w:bCs/>
                <w:color w:val="auto"/>
                <w:sz w:val="24"/>
                <w:highlight w:val="none"/>
              </w:rPr>
              <w:t>④对高噪声设备加装</w:t>
            </w:r>
            <w:r>
              <w:rPr>
                <w:rFonts w:hint="eastAsia"/>
                <w:bCs/>
                <w:color w:val="auto"/>
                <w:sz w:val="24"/>
                <w:highlight w:val="none"/>
                <w:lang w:eastAsia="zh-CN"/>
              </w:rPr>
              <w:t>减振</w:t>
            </w:r>
            <w:r>
              <w:rPr>
                <w:rFonts w:hint="default" w:ascii="Times New Roman" w:hAnsi="Times New Roman" w:eastAsia="宋体"/>
                <w:bCs/>
                <w:color w:val="auto"/>
                <w:sz w:val="24"/>
                <w:highlight w:val="none"/>
              </w:rPr>
              <w:t>基础</w:t>
            </w:r>
            <w:r>
              <w:rPr>
                <w:rFonts w:hint="eastAsia" w:ascii="Times New Roman" w:hAnsi="Times New Roman" w:eastAsia="宋体"/>
                <w:color w:val="auto"/>
                <w:sz w:val="24"/>
                <w:highlight w:val="none"/>
              </w:rPr>
              <w:t>。</w:t>
            </w:r>
          </w:p>
          <w:p w14:paraId="28D91825">
            <w:pPr>
              <w:keepNext w:val="0"/>
              <w:keepLines w:val="0"/>
              <w:pageBreakBefore w:val="0"/>
              <w:suppressLineNumbers w:val="0"/>
              <w:wordWrap/>
              <w:bidi w:val="0"/>
              <w:spacing w:before="0" w:beforeAutospacing="0" w:after="0" w:afterAutospacing="0" w:line="360" w:lineRule="auto"/>
              <w:ind w:left="0" w:leftChars="0" w:right="0" w:firstLine="480" w:firstLineChars="200"/>
              <w:rPr>
                <w:rFonts w:hint="default" w:ascii="Times New Roman" w:hAnsi="Times New Roman" w:eastAsia="宋体"/>
                <w:color w:val="auto"/>
                <w:sz w:val="24"/>
                <w:highlight w:val="none"/>
              </w:rPr>
            </w:pPr>
            <w:r>
              <w:rPr>
                <w:rFonts w:hint="eastAsia" w:ascii="Times New Roman" w:hAnsi="Times New Roman" w:eastAsia="宋体"/>
                <w:color w:val="auto"/>
                <w:sz w:val="24"/>
                <w:highlight w:val="none"/>
              </w:rPr>
              <w:t>综上所述，从噪声影响角度，本项目建设是可行的。</w:t>
            </w:r>
          </w:p>
          <w:p w14:paraId="0C412765">
            <w:pPr>
              <w:keepNext w:val="0"/>
              <w:keepLines w:val="0"/>
              <w:pageBreakBefore w:val="0"/>
              <w:suppressLineNumbers w:val="0"/>
              <w:wordWrap/>
              <w:bidi w:val="0"/>
              <w:spacing w:before="0" w:beforeAutospacing="0" w:after="0" w:afterAutospacing="0" w:line="360" w:lineRule="auto"/>
              <w:ind w:left="0" w:leftChars="0" w:right="0" w:firstLine="480" w:firstLineChars="200"/>
              <w:rPr>
                <w:rFonts w:hint="default" w:ascii="Times New Roman" w:hAnsi="Times New Roman" w:eastAsia="宋体"/>
                <w:color w:val="auto"/>
                <w:sz w:val="24"/>
                <w:highlight w:val="none"/>
              </w:rPr>
            </w:pPr>
            <w:r>
              <w:rPr>
                <w:rFonts w:hint="eastAsia"/>
                <w:color w:val="auto"/>
                <w:sz w:val="24"/>
                <w:highlight w:val="none"/>
                <w:lang w:val="en-US" w:eastAsia="zh-CN"/>
              </w:rPr>
              <w:t>3</w:t>
            </w:r>
            <w:r>
              <w:rPr>
                <w:rFonts w:hint="eastAsia" w:ascii="Times New Roman" w:hAnsi="Times New Roman" w:eastAsia="宋体"/>
                <w:color w:val="auto"/>
                <w:sz w:val="24"/>
                <w:highlight w:val="none"/>
                <w:lang w:val="en-US" w:eastAsia="zh-CN"/>
              </w:rPr>
              <w:t>、</w:t>
            </w:r>
            <w:r>
              <w:rPr>
                <w:rFonts w:hint="eastAsia" w:ascii="Times New Roman" w:hAnsi="Times New Roman" w:eastAsia="宋体"/>
                <w:color w:val="auto"/>
                <w:sz w:val="24"/>
                <w:highlight w:val="none"/>
              </w:rPr>
              <w:t>监测计划</w:t>
            </w:r>
          </w:p>
          <w:p w14:paraId="0AD4507F">
            <w:pPr>
              <w:keepNext w:val="0"/>
              <w:keepLines w:val="0"/>
              <w:pageBreakBefore w:val="0"/>
              <w:suppressLineNumbers w:val="0"/>
              <w:wordWrap/>
              <w:bidi w:val="0"/>
              <w:spacing w:before="0" w:beforeAutospacing="0" w:after="0" w:afterAutospacing="0" w:line="240" w:lineRule="auto"/>
              <w:ind w:left="0" w:leftChars="0" w:right="0"/>
              <w:jc w:val="center"/>
              <w:rPr>
                <w:rFonts w:hint="default" w:ascii="Times New Roman" w:hAnsi="Times New Roman" w:eastAsia="宋体" w:cs="Times New Roman"/>
                <w:b/>
                <w:bCs/>
                <w:iCs/>
                <w:color w:val="auto"/>
                <w:kern w:val="0"/>
                <w:sz w:val="21"/>
                <w:szCs w:val="21"/>
                <w:highlight w:val="none"/>
                <w:lang w:val="en-US" w:eastAsia="zh-CN" w:bidi="ar-SA"/>
              </w:rPr>
            </w:pPr>
            <w:r>
              <w:rPr>
                <w:rFonts w:hint="default" w:ascii="Times New Roman" w:hAnsi="Times New Roman" w:eastAsia="宋体" w:cs="Times New Roman"/>
                <w:b/>
                <w:bCs/>
                <w:iCs/>
                <w:color w:val="auto"/>
                <w:kern w:val="0"/>
                <w:sz w:val="21"/>
                <w:szCs w:val="21"/>
                <w:highlight w:val="none"/>
                <w:lang w:val="en-US" w:eastAsia="zh-CN" w:bidi="ar-SA"/>
              </w:rPr>
              <w:t>表</w:t>
            </w:r>
            <w:r>
              <w:rPr>
                <w:rFonts w:hint="eastAsia" w:ascii="Times New Roman" w:hAnsi="Times New Roman" w:eastAsia="宋体" w:cs="Times New Roman"/>
                <w:b/>
                <w:bCs/>
                <w:iCs/>
                <w:color w:val="auto"/>
                <w:kern w:val="0"/>
                <w:sz w:val="21"/>
                <w:szCs w:val="21"/>
                <w:highlight w:val="none"/>
                <w:lang w:val="en-US" w:eastAsia="zh-CN" w:bidi="ar-SA"/>
              </w:rPr>
              <w:t>4-</w:t>
            </w:r>
            <w:r>
              <w:rPr>
                <w:rFonts w:hint="eastAsia" w:cs="Times New Roman"/>
                <w:b/>
                <w:bCs/>
                <w:iCs/>
                <w:color w:val="auto"/>
                <w:kern w:val="0"/>
                <w:sz w:val="21"/>
                <w:szCs w:val="21"/>
                <w:highlight w:val="none"/>
                <w:lang w:val="en-US" w:eastAsia="zh-CN" w:bidi="ar-SA"/>
              </w:rPr>
              <w:t xml:space="preserve">16 </w:t>
            </w:r>
            <w:r>
              <w:rPr>
                <w:rFonts w:hint="eastAsia" w:ascii="Times New Roman" w:hAnsi="Times New Roman" w:eastAsia="宋体" w:cs="Times New Roman"/>
                <w:b/>
                <w:bCs/>
                <w:iCs/>
                <w:color w:val="auto"/>
                <w:kern w:val="0"/>
                <w:sz w:val="21"/>
                <w:szCs w:val="21"/>
                <w:highlight w:val="none"/>
                <w:lang w:val="en-US" w:eastAsia="zh-CN" w:bidi="ar-SA"/>
              </w:rPr>
              <w:t xml:space="preserve"> </w:t>
            </w:r>
            <w:r>
              <w:rPr>
                <w:rFonts w:hint="default" w:ascii="Times New Roman" w:hAnsi="Times New Roman" w:eastAsia="宋体" w:cs="Times New Roman"/>
                <w:b/>
                <w:bCs/>
                <w:iCs/>
                <w:color w:val="auto"/>
                <w:kern w:val="0"/>
                <w:sz w:val="21"/>
                <w:szCs w:val="21"/>
                <w:highlight w:val="none"/>
                <w:lang w:val="en-US" w:eastAsia="zh-CN" w:bidi="ar-SA"/>
              </w:rPr>
              <w:t>本项目</w:t>
            </w:r>
            <w:r>
              <w:rPr>
                <w:rFonts w:hint="eastAsia" w:ascii="Times New Roman" w:hAnsi="Times New Roman" w:eastAsia="宋体" w:cs="Times New Roman"/>
                <w:b/>
                <w:bCs/>
                <w:iCs/>
                <w:color w:val="auto"/>
                <w:kern w:val="0"/>
                <w:sz w:val="21"/>
                <w:szCs w:val="21"/>
                <w:highlight w:val="none"/>
                <w:lang w:val="en-US" w:eastAsia="zh-CN" w:bidi="ar-SA"/>
              </w:rPr>
              <w:t>噪声</w:t>
            </w:r>
            <w:r>
              <w:rPr>
                <w:rFonts w:hint="default" w:ascii="Times New Roman" w:hAnsi="Times New Roman" w:eastAsia="宋体" w:cs="Times New Roman"/>
                <w:b/>
                <w:bCs/>
                <w:iCs/>
                <w:color w:val="auto"/>
                <w:kern w:val="0"/>
                <w:sz w:val="21"/>
                <w:szCs w:val="21"/>
                <w:highlight w:val="none"/>
                <w:lang w:val="en-US" w:eastAsia="zh-CN" w:bidi="ar-SA"/>
              </w:rPr>
              <w:t>污染源监测计划</w:t>
            </w:r>
          </w:p>
          <w:tbl>
            <w:tblPr>
              <w:tblStyle w:val="3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324"/>
              <w:gridCol w:w="1158"/>
              <w:gridCol w:w="1267"/>
              <w:gridCol w:w="1568"/>
              <w:gridCol w:w="2831"/>
            </w:tblGrid>
            <w:tr w14:paraId="00A932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812" w:type="pct"/>
                  <w:tcBorders>
                    <w:tl2br w:val="nil"/>
                    <w:tr2bl w:val="nil"/>
                  </w:tcBorders>
                  <w:vAlign w:val="center"/>
                </w:tcPr>
                <w:p w14:paraId="36338354">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olor w:val="auto"/>
                      <w:szCs w:val="21"/>
                      <w:highlight w:val="none"/>
                    </w:rPr>
                  </w:pPr>
                  <w:r>
                    <w:rPr>
                      <w:rFonts w:hint="default" w:ascii="Times New Roman" w:hAnsi="Times New Roman" w:eastAsia="宋体"/>
                      <w:color w:val="auto"/>
                      <w:szCs w:val="21"/>
                      <w:highlight w:val="none"/>
                    </w:rPr>
                    <w:t>监测项目</w:t>
                  </w:r>
                </w:p>
              </w:tc>
              <w:tc>
                <w:tcPr>
                  <w:tcW w:w="710" w:type="pct"/>
                  <w:tcBorders>
                    <w:tl2br w:val="nil"/>
                    <w:tr2bl w:val="nil"/>
                  </w:tcBorders>
                  <w:vAlign w:val="center"/>
                </w:tcPr>
                <w:p w14:paraId="0E692357">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olor w:val="auto"/>
                      <w:szCs w:val="21"/>
                      <w:highlight w:val="none"/>
                    </w:rPr>
                  </w:pPr>
                  <w:r>
                    <w:rPr>
                      <w:rFonts w:hint="default" w:ascii="Times New Roman" w:hAnsi="Times New Roman" w:eastAsia="宋体"/>
                      <w:color w:val="auto"/>
                      <w:szCs w:val="21"/>
                      <w:highlight w:val="none"/>
                    </w:rPr>
                    <w:t>监测因子</w:t>
                  </w:r>
                </w:p>
              </w:tc>
              <w:tc>
                <w:tcPr>
                  <w:tcW w:w="777" w:type="pct"/>
                  <w:tcBorders>
                    <w:tl2br w:val="nil"/>
                    <w:tr2bl w:val="nil"/>
                  </w:tcBorders>
                  <w:vAlign w:val="center"/>
                </w:tcPr>
                <w:p w14:paraId="5B997573">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olor w:val="auto"/>
                      <w:szCs w:val="21"/>
                      <w:highlight w:val="none"/>
                    </w:rPr>
                  </w:pPr>
                  <w:r>
                    <w:rPr>
                      <w:rFonts w:hint="default" w:ascii="Times New Roman" w:hAnsi="Times New Roman" w:eastAsia="宋体"/>
                      <w:color w:val="auto"/>
                      <w:szCs w:val="21"/>
                      <w:highlight w:val="none"/>
                    </w:rPr>
                    <w:t>监测点位置</w:t>
                  </w:r>
                </w:p>
              </w:tc>
              <w:tc>
                <w:tcPr>
                  <w:tcW w:w="962" w:type="pct"/>
                  <w:tcBorders>
                    <w:tl2br w:val="nil"/>
                    <w:tr2bl w:val="nil"/>
                  </w:tcBorders>
                  <w:vAlign w:val="center"/>
                </w:tcPr>
                <w:p w14:paraId="14EF0D68">
                  <w:pPr>
                    <w:keepNext w:val="0"/>
                    <w:keepLines w:val="0"/>
                    <w:pageBreakBefore w:val="0"/>
                    <w:suppressLineNumbers w:val="0"/>
                    <w:wordWrap/>
                    <w:bidi w:val="0"/>
                    <w:spacing w:before="0" w:beforeAutospacing="0" w:after="0" w:afterAutospacing="0" w:line="360" w:lineRule="auto"/>
                    <w:ind w:left="0" w:leftChars="0" w:right="0"/>
                    <w:jc w:val="center"/>
                    <w:rPr>
                      <w:rFonts w:hint="default" w:ascii="Times New Roman" w:hAnsi="Times New Roman" w:eastAsia="宋体"/>
                      <w:color w:val="auto"/>
                      <w:szCs w:val="21"/>
                      <w:highlight w:val="none"/>
                    </w:rPr>
                  </w:pPr>
                  <w:r>
                    <w:rPr>
                      <w:rFonts w:hint="default" w:ascii="Times New Roman" w:hAnsi="Times New Roman" w:eastAsia="宋体"/>
                      <w:color w:val="auto"/>
                      <w:szCs w:val="21"/>
                      <w:highlight w:val="none"/>
                    </w:rPr>
                    <w:t>最低监测频率</w:t>
                  </w:r>
                </w:p>
              </w:tc>
              <w:tc>
                <w:tcPr>
                  <w:tcW w:w="1736" w:type="pct"/>
                  <w:tcBorders>
                    <w:tl2br w:val="nil"/>
                    <w:tr2bl w:val="nil"/>
                  </w:tcBorders>
                  <w:vAlign w:val="center"/>
                </w:tcPr>
                <w:p w14:paraId="13877B00">
                  <w:pPr>
                    <w:keepNext w:val="0"/>
                    <w:keepLines w:val="0"/>
                    <w:pageBreakBefore w:val="0"/>
                    <w:suppressLineNumbers w:val="0"/>
                    <w:wordWrap/>
                    <w:bidi w:val="0"/>
                    <w:spacing w:before="0" w:beforeAutospacing="0" w:after="0" w:afterAutospacing="0" w:line="360" w:lineRule="auto"/>
                    <w:ind w:left="0" w:leftChars="0" w:right="0"/>
                    <w:jc w:val="center"/>
                    <w:rPr>
                      <w:rFonts w:hint="eastAsia" w:ascii="Times New Roman" w:hAnsi="Times New Roman" w:eastAsia="宋体"/>
                      <w:color w:val="auto"/>
                      <w:szCs w:val="21"/>
                      <w:highlight w:val="none"/>
                      <w:lang w:eastAsia="zh-CN"/>
                    </w:rPr>
                  </w:pPr>
                  <w:r>
                    <w:rPr>
                      <w:rFonts w:hint="default" w:ascii="Times New Roman" w:hAnsi="Times New Roman" w:eastAsia="宋体"/>
                      <w:color w:val="auto"/>
                      <w:szCs w:val="21"/>
                      <w:highlight w:val="none"/>
                    </w:rPr>
                    <w:t>执行标准</w:t>
                  </w:r>
                </w:p>
              </w:tc>
            </w:tr>
            <w:tr w14:paraId="34CB5B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25" w:hRule="atLeast"/>
                <w:jc w:val="center"/>
              </w:trPr>
              <w:tc>
                <w:tcPr>
                  <w:tcW w:w="812" w:type="pct"/>
                  <w:tcBorders>
                    <w:tl2br w:val="nil"/>
                    <w:tr2bl w:val="nil"/>
                  </w:tcBorders>
                  <w:vAlign w:val="center"/>
                </w:tcPr>
                <w:p w14:paraId="7F98BD0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jc w:val="center"/>
                    <w:textAlignment w:val="auto"/>
                    <w:rPr>
                      <w:rFonts w:hint="default" w:ascii="Times New Roman" w:hAnsi="Times New Roman" w:eastAsia="宋体"/>
                      <w:color w:val="auto"/>
                      <w:szCs w:val="21"/>
                      <w:highlight w:val="none"/>
                    </w:rPr>
                  </w:pPr>
                  <w:r>
                    <w:rPr>
                      <w:rFonts w:hint="default" w:ascii="Times New Roman" w:hAnsi="Times New Roman" w:eastAsia="宋体"/>
                      <w:color w:val="auto"/>
                      <w:szCs w:val="21"/>
                      <w:highlight w:val="none"/>
                    </w:rPr>
                    <w:t>厂界</w:t>
                  </w:r>
                  <w:r>
                    <w:rPr>
                      <w:rFonts w:hint="eastAsia"/>
                      <w:color w:val="auto"/>
                      <w:szCs w:val="21"/>
                      <w:highlight w:val="none"/>
                      <w:lang w:val="en-US" w:eastAsia="zh-CN"/>
                    </w:rPr>
                    <w:t>四周</w:t>
                  </w:r>
                  <w:r>
                    <w:rPr>
                      <w:rFonts w:hint="eastAsia" w:ascii="Times New Roman" w:hAnsi="Times New Roman" w:eastAsia="宋体"/>
                      <w:color w:val="auto"/>
                      <w:szCs w:val="21"/>
                      <w:highlight w:val="none"/>
                    </w:rPr>
                    <w:t>噪声</w:t>
                  </w:r>
                </w:p>
              </w:tc>
              <w:tc>
                <w:tcPr>
                  <w:tcW w:w="710" w:type="pct"/>
                  <w:tcBorders>
                    <w:tl2br w:val="nil"/>
                    <w:tr2bl w:val="nil"/>
                  </w:tcBorders>
                  <w:vAlign w:val="center"/>
                </w:tcPr>
                <w:p w14:paraId="5C3CE7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jc w:val="center"/>
                    <w:textAlignment w:val="auto"/>
                    <w:rPr>
                      <w:rFonts w:hint="default" w:ascii="Times New Roman" w:hAnsi="Times New Roman" w:eastAsia="宋体"/>
                      <w:color w:val="auto"/>
                      <w:szCs w:val="21"/>
                      <w:highlight w:val="none"/>
                    </w:rPr>
                  </w:pPr>
                  <w:r>
                    <w:rPr>
                      <w:rFonts w:hint="default" w:ascii="Times New Roman" w:hAnsi="Times New Roman" w:eastAsia="宋体"/>
                      <w:smallCaps w:val="0"/>
                      <w:color w:val="auto"/>
                      <w:szCs w:val="21"/>
                      <w:highlight w:val="none"/>
                    </w:rPr>
                    <w:t>Leq（A）</w:t>
                  </w:r>
                </w:p>
              </w:tc>
              <w:tc>
                <w:tcPr>
                  <w:tcW w:w="777" w:type="pct"/>
                  <w:tcBorders>
                    <w:tl2br w:val="nil"/>
                    <w:tr2bl w:val="nil"/>
                  </w:tcBorders>
                  <w:vAlign w:val="center"/>
                </w:tcPr>
                <w:p w14:paraId="3B87A2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jc w:val="center"/>
                    <w:textAlignment w:val="auto"/>
                    <w:rPr>
                      <w:rFonts w:hint="default" w:ascii="Times New Roman" w:hAnsi="Times New Roman" w:eastAsia="宋体"/>
                      <w:color w:val="auto"/>
                      <w:szCs w:val="21"/>
                      <w:highlight w:val="none"/>
                    </w:rPr>
                  </w:pPr>
                  <w:r>
                    <w:rPr>
                      <w:rFonts w:hint="default" w:ascii="Times New Roman" w:hAnsi="Times New Roman" w:eastAsia="宋体"/>
                      <w:color w:val="auto"/>
                      <w:szCs w:val="21"/>
                      <w:highlight w:val="none"/>
                    </w:rPr>
                    <w:t>厂界</w:t>
                  </w:r>
                </w:p>
              </w:tc>
              <w:tc>
                <w:tcPr>
                  <w:tcW w:w="962" w:type="pct"/>
                  <w:tcBorders>
                    <w:tl2br w:val="nil"/>
                    <w:tr2bl w:val="nil"/>
                  </w:tcBorders>
                  <w:vAlign w:val="center"/>
                </w:tcPr>
                <w:p w14:paraId="3226455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jc w:val="center"/>
                    <w:textAlignment w:val="auto"/>
                    <w:rPr>
                      <w:rFonts w:hint="default" w:ascii="Times New Roman" w:hAnsi="Times New Roman" w:eastAsia="宋体"/>
                      <w:color w:val="auto"/>
                      <w:szCs w:val="21"/>
                      <w:highlight w:val="none"/>
                    </w:rPr>
                  </w:pPr>
                  <w:r>
                    <w:rPr>
                      <w:rFonts w:hint="default" w:ascii="Times New Roman" w:hAnsi="Times New Roman" w:eastAsia="宋体"/>
                      <w:color w:val="auto"/>
                      <w:szCs w:val="21"/>
                      <w:highlight w:val="none"/>
                    </w:rPr>
                    <w:t>1次/季度</w:t>
                  </w:r>
                </w:p>
              </w:tc>
              <w:tc>
                <w:tcPr>
                  <w:tcW w:w="1736" w:type="pct"/>
                  <w:tcBorders>
                    <w:tl2br w:val="nil"/>
                    <w:tr2bl w:val="nil"/>
                  </w:tcBorders>
                  <w:vAlign w:val="center"/>
                </w:tcPr>
                <w:p w14:paraId="301696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jc w:val="center"/>
                    <w:textAlignment w:val="auto"/>
                    <w:rPr>
                      <w:rFonts w:hint="eastAsia" w:ascii="Times New Roman" w:hAnsi="Times New Roman" w:eastAsia="宋体"/>
                      <w:color w:val="auto"/>
                      <w:szCs w:val="21"/>
                      <w:highlight w:val="none"/>
                      <w:lang w:eastAsia="zh-CN"/>
                    </w:rPr>
                  </w:pPr>
                  <w:r>
                    <w:rPr>
                      <w:rFonts w:hint="default" w:ascii="Times New Roman" w:hAnsi="Times New Roman" w:eastAsia="宋体"/>
                      <w:color w:val="auto"/>
                      <w:szCs w:val="21"/>
                      <w:highlight w:val="none"/>
                    </w:rPr>
                    <w:t>《工业企业厂界环境噪声排放标准》（GB12348-2008）</w:t>
                  </w:r>
                  <w:r>
                    <w:rPr>
                      <w:rFonts w:hint="eastAsia"/>
                      <w:color w:val="auto"/>
                      <w:szCs w:val="21"/>
                      <w:highlight w:val="none"/>
                      <w:lang w:val="en-US" w:eastAsia="zh-CN"/>
                    </w:rPr>
                    <w:t>2</w:t>
                  </w:r>
                  <w:r>
                    <w:rPr>
                      <w:rFonts w:hint="default" w:ascii="Times New Roman" w:hAnsi="Times New Roman" w:eastAsia="宋体"/>
                      <w:color w:val="auto"/>
                      <w:szCs w:val="21"/>
                      <w:highlight w:val="none"/>
                    </w:rPr>
                    <w:t>类标准</w:t>
                  </w:r>
                </w:p>
              </w:tc>
            </w:tr>
          </w:tbl>
          <w:p w14:paraId="35D5C8F5">
            <w:pPr>
              <w:pStyle w:val="26"/>
              <w:keepNext w:val="0"/>
              <w:keepLines w:val="0"/>
              <w:pageBreakBefore w:val="0"/>
              <w:suppressLineNumbers w:val="0"/>
              <w:wordWrap/>
              <w:bidi w:val="0"/>
              <w:spacing w:before="0" w:beforeAutospacing="0" w:after="0" w:afterAutospacing="0" w:line="360" w:lineRule="auto"/>
              <w:ind w:left="0" w:leftChars="0" w:right="0" w:firstLine="482" w:firstLineChars="200"/>
              <w:rPr>
                <w:rFonts w:hint="default" w:ascii="Times New Roman" w:hAnsi="Times New Roman" w:eastAsia="宋体"/>
                <w:b/>
                <w:bCs/>
                <w:color w:val="auto"/>
                <w:szCs w:val="24"/>
                <w:highlight w:val="none"/>
                <w:lang w:eastAsia="zh-CN"/>
              </w:rPr>
            </w:pPr>
            <w:r>
              <w:rPr>
                <w:rFonts w:hint="eastAsia" w:ascii="Times New Roman" w:hAnsi="Times New Roman" w:eastAsia="宋体"/>
                <w:b/>
                <w:bCs/>
                <w:color w:val="auto"/>
                <w:szCs w:val="24"/>
                <w:highlight w:val="none"/>
                <w:lang w:eastAsia="zh-CN"/>
              </w:rPr>
              <w:t>四、</w:t>
            </w:r>
            <w:r>
              <w:rPr>
                <w:rFonts w:hint="default" w:ascii="Times New Roman" w:hAnsi="Times New Roman" w:eastAsia="宋体"/>
                <w:b/>
                <w:bCs/>
                <w:color w:val="auto"/>
                <w:szCs w:val="24"/>
                <w:highlight w:val="none"/>
                <w:lang w:eastAsia="zh-CN"/>
              </w:rPr>
              <w:t>固体废物</w:t>
            </w:r>
          </w:p>
          <w:p w14:paraId="4E72114E">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color w:val="auto"/>
                <w:highlight w:val="none"/>
              </w:rPr>
            </w:pPr>
            <w:r>
              <w:rPr>
                <w:rFonts w:hint="default"/>
                <w:color w:val="auto"/>
                <w:highlight w:val="none"/>
              </w:rPr>
              <w:t>本项目为农机拆解及回收利用项目，拆解物为金属类、非金属类、一般固废、危险废物。金属类包括废钢材等有色金属</w:t>
            </w:r>
            <w:r>
              <w:rPr>
                <w:rFonts w:hint="eastAsia"/>
                <w:color w:val="auto"/>
                <w:highlight w:val="none"/>
                <w:lang w:eastAsia="zh-CN"/>
              </w:rPr>
              <w:t>；</w:t>
            </w:r>
            <w:r>
              <w:rPr>
                <w:rFonts w:hint="default"/>
                <w:color w:val="auto"/>
                <w:highlight w:val="none"/>
              </w:rPr>
              <w:t>非金属类</w:t>
            </w:r>
            <w:r>
              <w:rPr>
                <w:rFonts w:hint="eastAsia"/>
                <w:color w:val="auto"/>
                <w:highlight w:val="none"/>
                <w:lang w:val="en-US" w:eastAsia="zh-CN"/>
              </w:rPr>
              <w:t>包括橡</w:t>
            </w:r>
            <w:r>
              <w:rPr>
                <w:rFonts w:hint="default"/>
                <w:color w:val="auto"/>
                <w:highlight w:val="none"/>
              </w:rPr>
              <w:t>胶</w:t>
            </w:r>
            <w:r>
              <w:rPr>
                <w:rFonts w:hint="eastAsia"/>
                <w:color w:val="auto"/>
                <w:highlight w:val="none"/>
                <w:lang w:eastAsia="zh-CN"/>
              </w:rPr>
              <w:t>（</w:t>
            </w:r>
            <w:r>
              <w:rPr>
                <w:rFonts w:hint="default"/>
                <w:color w:val="auto"/>
                <w:highlight w:val="none"/>
              </w:rPr>
              <w:t>主要是废履带橡胶板、废旧轮胎</w:t>
            </w:r>
            <w:r>
              <w:rPr>
                <w:rFonts w:hint="eastAsia"/>
                <w:color w:val="auto"/>
                <w:highlight w:val="none"/>
                <w:lang w:eastAsia="zh-CN"/>
              </w:rPr>
              <w:t>）</w:t>
            </w:r>
            <w:r>
              <w:rPr>
                <w:rFonts w:hint="default"/>
                <w:color w:val="auto"/>
                <w:highlight w:val="none"/>
              </w:rPr>
              <w:t>、塑料类外壳等。对这两类拆解物进行初步分类存放，置于拆解物储存区，定期外售综合利用。项目固体废物主要为生活垃圾、一般固废及危险废物。</w:t>
            </w:r>
          </w:p>
          <w:p w14:paraId="5295ADE1">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eastAsia="宋体"/>
                <w:color w:val="auto"/>
                <w:highlight w:val="none"/>
                <w:lang w:val="en-US" w:eastAsia="zh-CN"/>
              </w:rPr>
            </w:pPr>
            <w:r>
              <w:rPr>
                <w:rFonts w:hint="eastAsia"/>
                <w:color w:val="auto"/>
                <w:highlight w:val="none"/>
                <w:lang w:val="en-US" w:eastAsia="zh-CN"/>
              </w:rPr>
              <w:t>1、固废产生情况</w:t>
            </w:r>
          </w:p>
          <w:p w14:paraId="526D35CC">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color w:val="auto"/>
                <w:highlight w:val="none"/>
                <w:lang w:val="en-US"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rFonts w:hint="eastAsia"/>
                <w:color w:val="auto"/>
                <w:highlight w:val="none"/>
                <w:lang w:val="en-US" w:eastAsia="zh-CN"/>
              </w:rPr>
              <w:t>生活垃圾</w:t>
            </w:r>
          </w:p>
          <w:p w14:paraId="395E570D">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ascii="Times New Roman" w:hAnsi="Times New Roman" w:eastAsia="宋体" w:cs="Times New Roman"/>
                <w:color w:val="auto"/>
                <w:highlight w:val="none"/>
                <w:lang w:eastAsia="zh-CN"/>
              </w:rPr>
            </w:pPr>
            <w:r>
              <w:rPr>
                <w:rFonts w:hint="default" w:ascii="Times New Roman" w:hAnsi="Times New Roman" w:cs="Times New Roman" w:eastAsiaTheme="minorEastAsia"/>
                <w:color w:val="auto"/>
                <w:sz w:val="24"/>
                <w:szCs w:val="20"/>
                <w:highlight w:val="none"/>
              </w:rPr>
              <w:t>职工生活垃圾以每人每天0.5kg计，职工人数为</w:t>
            </w:r>
            <w:r>
              <w:rPr>
                <w:rFonts w:hint="eastAsia" w:cs="Times New Roman" w:eastAsiaTheme="minorEastAsia"/>
                <w:color w:val="auto"/>
                <w:sz w:val="24"/>
                <w:szCs w:val="20"/>
                <w:highlight w:val="none"/>
                <w:lang w:val="en-US" w:eastAsia="zh-CN"/>
              </w:rPr>
              <w:t>11</w:t>
            </w:r>
            <w:r>
              <w:rPr>
                <w:rFonts w:hint="default" w:ascii="Times New Roman" w:hAnsi="Times New Roman" w:cs="Times New Roman" w:eastAsiaTheme="minorEastAsia"/>
                <w:color w:val="auto"/>
                <w:sz w:val="24"/>
                <w:szCs w:val="20"/>
                <w:highlight w:val="none"/>
              </w:rPr>
              <w:t>人，工作天数为</w:t>
            </w:r>
            <w:r>
              <w:rPr>
                <w:rFonts w:hint="eastAsia" w:cs="Times New Roman" w:eastAsiaTheme="minorEastAsia"/>
                <w:color w:val="auto"/>
                <w:sz w:val="24"/>
                <w:szCs w:val="20"/>
                <w:highlight w:val="none"/>
                <w:lang w:val="en-US" w:eastAsia="zh-CN"/>
              </w:rPr>
              <w:t>250</w:t>
            </w:r>
            <w:r>
              <w:rPr>
                <w:rFonts w:hint="default" w:ascii="Times New Roman" w:hAnsi="Times New Roman" w:cs="Times New Roman" w:eastAsiaTheme="minorEastAsia"/>
                <w:color w:val="auto"/>
                <w:sz w:val="24"/>
                <w:szCs w:val="20"/>
                <w:highlight w:val="none"/>
                <w:lang w:eastAsia="zh-CN"/>
              </w:rPr>
              <w:t>天</w:t>
            </w:r>
            <w:r>
              <w:rPr>
                <w:rFonts w:hint="default" w:ascii="Times New Roman" w:hAnsi="Times New Roman" w:cs="Times New Roman" w:eastAsiaTheme="minorEastAsia"/>
                <w:color w:val="auto"/>
                <w:sz w:val="24"/>
                <w:szCs w:val="20"/>
                <w:highlight w:val="none"/>
              </w:rPr>
              <w:t>，则生活垃圾产生量为</w:t>
            </w:r>
            <w:r>
              <w:rPr>
                <w:rFonts w:hint="eastAsia" w:ascii="Times New Roman" w:hAnsi="Times New Roman" w:cs="Times New Roman" w:eastAsiaTheme="minorEastAsia"/>
                <w:color w:val="auto"/>
                <w:sz w:val="24"/>
                <w:szCs w:val="20"/>
                <w:highlight w:val="none"/>
                <w:lang w:val="en-US" w:eastAsia="zh-CN"/>
              </w:rPr>
              <w:t>0.0</w:t>
            </w:r>
            <w:r>
              <w:rPr>
                <w:rFonts w:hint="eastAsia" w:cs="Times New Roman" w:eastAsiaTheme="minorEastAsia"/>
                <w:color w:val="auto"/>
                <w:sz w:val="24"/>
                <w:szCs w:val="20"/>
                <w:highlight w:val="none"/>
                <w:lang w:val="en-US" w:eastAsia="zh-CN"/>
              </w:rPr>
              <w:t>06</w:t>
            </w:r>
            <w:r>
              <w:rPr>
                <w:rFonts w:hint="default" w:ascii="Times New Roman" w:hAnsi="Times New Roman" w:cs="Times New Roman" w:eastAsiaTheme="minorEastAsia"/>
                <w:color w:val="auto"/>
                <w:sz w:val="24"/>
                <w:szCs w:val="20"/>
                <w:highlight w:val="none"/>
              </w:rPr>
              <w:t>t/d，即</w:t>
            </w:r>
            <w:r>
              <w:rPr>
                <w:rFonts w:hint="eastAsia" w:cs="Times New Roman" w:eastAsiaTheme="minorEastAsia"/>
                <w:color w:val="auto"/>
                <w:sz w:val="24"/>
                <w:szCs w:val="20"/>
                <w:highlight w:val="none"/>
                <w:lang w:val="en-US" w:eastAsia="zh-CN"/>
              </w:rPr>
              <w:t>1.5</w:t>
            </w:r>
            <w:r>
              <w:rPr>
                <w:rFonts w:hint="default" w:ascii="Times New Roman" w:hAnsi="Times New Roman" w:cs="Times New Roman" w:eastAsiaTheme="minorEastAsia"/>
                <w:color w:val="auto"/>
                <w:sz w:val="24"/>
                <w:szCs w:val="20"/>
                <w:highlight w:val="none"/>
              </w:rPr>
              <w:t>t/a。生活垃圾集中收集后交由</w:t>
            </w:r>
            <w:r>
              <w:rPr>
                <w:rFonts w:hint="eastAsia" w:ascii="Times New Roman" w:hAnsi="Times New Roman" w:cs="Times New Roman" w:eastAsiaTheme="minorEastAsia"/>
                <w:color w:val="auto"/>
                <w:sz w:val="24"/>
                <w:szCs w:val="20"/>
                <w:highlight w:val="none"/>
                <w:lang w:eastAsia="zh-CN"/>
              </w:rPr>
              <w:t>市政</w:t>
            </w:r>
            <w:r>
              <w:rPr>
                <w:rFonts w:hint="default" w:ascii="Times New Roman" w:hAnsi="Times New Roman" w:cs="Times New Roman" w:eastAsiaTheme="minorEastAsia"/>
                <w:color w:val="auto"/>
                <w:sz w:val="24"/>
                <w:szCs w:val="20"/>
                <w:highlight w:val="none"/>
              </w:rPr>
              <w:t>部门</w:t>
            </w:r>
            <w:r>
              <w:rPr>
                <w:rFonts w:hint="eastAsia" w:ascii="Times New Roman" w:hAnsi="Times New Roman" w:cs="Times New Roman" w:eastAsiaTheme="minorEastAsia"/>
                <w:color w:val="auto"/>
                <w:sz w:val="24"/>
                <w:szCs w:val="20"/>
                <w:highlight w:val="none"/>
                <w:lang w:eastAsia="zh-CN"/>
              </w:rPr>
              <w:t>统一</w:t>
            </w:r>
            <w:r>
              <w:rPr>
                <w:rFonts w:hint="default" w:ascii="Times New Roman" w:hAnsi="Times New Roman" w:cs="Times New Roman" w:eastAsiaTheme="minorEastAsia"/>
                <w:color w:val="auto"/>
                <w:sz w:val="24"/>
                <w:szCs w:val="20"/>
                <w:highlight w:val="none"/>
              </w:rPr>
              <w:t>处理</w:t>
            </w:r>
            <w:r>
              <w:rPr>
                <w:rFonts w:hint="eastAsia"/>
                <w:color w:val="auto"/>
                <w:highlight w:val="none"/>
                <w:lang w:val="en-US" w:eastAsia="zh-CN"/>
              </w:rPr>
              <w:t>。</w:t>
            </w:r>
          </w:p>
          <w:p w14:paraId="6F46BB8F">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ascii="Times New Roman" w:hAnsi="Times New Roman" w:cs="Times New Roman" w:eastAsiaTheme="minorEastAsia"/>
                <w:color w:val="auto"/>
                <w:sz w:val="24"/>
                <w:szCs w:val="20"/>
                <w:highlight w:val="none"/>
              </w:rPr>
            </w:pPr>
            <w:r>
              <w:rPr>
                <w:rFonts w:hint="eastAsia" w:cs="Times New Roman"/>
                <w:color w:val="auto"/>
                <w:sz w:val="24"/>
                <w:szCs w:val="24"/>
                <w:highlight w:val="none"/>
                <w:lang w:val="en-US" w:eastAsia="zh-CN"/>
              </w:rPr>
              <w:t>（2）</w:t>
            </w:r>
            <w:r>
              <w:rPr>
                <w:rFonts w:hint="eastAsia" w:ascii="Times New Roman" w:hAnsi="Times New Roman" w:cs="Times New Roman" w:eastAsiaTheme="minorEastAsia"/>
                <w:color w:val="auto"/>
                <w:sz w:val="24"/>
                <w:szCs w:val="20"/>
                <w:highlight w:val="none"/>
                <w:lang w:val="en-US" w:eastAsia="zh-CN"/>
              </w:rPr>
              <w:t>一般工业固废</w:t>
            </w:r>
          </w:p>
          <w:p w14:paraId="4C68AEE6">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ascii="Times New Roman" w:hAnsi="Times New Roman" w:cs="Times New Roman" w:eastAsiaTheme="minorEastAsia"/>
                <w:color w:val="auto"/>
                <w:sz w:val="24"/>
                <w:szCs w:val="20"/>
                <w:highlight w:val="none"/>
                <w:lang w:val="en-US" w:eastAsia="zh-CN"/>
              </w:rPr>
            </w:pPr>
            <w:r>
              <w:rPr>
                <w:rFonts w:hint="eastAsia" w:ascii="Times New Roman" w:hAnsi="Times New Roman" w:cs="Times New Roman" w:eastAsiaTheme="minorEastAsia"/>
                <w:color w:val="auto"/>
                <w:sz w:val="24"/>
                <w:szCs w:val="20"/>
                <w:highlight w:val="none"/>
                <w:lang w:val="en-US" w:eastAsia="zh-CN"/>
              </w:rPr>
              <w:t>①不可利用废物</w:t>
            </w:r>
          </w:p>
          <w:p w14:paraId="53C05FBF">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ascii="Times New Roman" w:hAnsi="Times New Roman" w:cs="Times New Roman" w:eastAsiaTheme="minorEastAsia"/>
                <w:color w:val="auto"/>
                <w:sz w:val="24"/>
                <w:szCs w:val="20"/>
                <w:highlight w:val="none"/>
              </w:rPr>
            </w:pPr>
            <w:r>
              <w:rPr>
                <w:color w:val="auto"/>
                <w:sz w:val="24"/>
              </w:rPr>
              <w:t>不可</w:t>
            </w:r>
            <w:r>
              <w:rPr>
                <w:rFonts w:hint="eastAsia"/>
                <w:color w:val="auto"/>
                <w:sz w:val="24"/>
                <w:lang w:val="en-US" w:eastAsia="zh-CN"/>
              </w:rPr>
              <w:t>利用</w:t>
            </w:r>
            <w:r>
              <w:rPr>
                <w:color w:val="auto"/>
                <w:sz w:val="24"/>
              </w:rPr>
              <w:t>一般拆解产物（主要为废棉、麻织物、废海绵、废皮革等），产生量为</w:t>
            </w:r>
            <w:r>
              <w:rPr>
                <w:rFonts w:hint="eastAsia"/>
                <w:color w:val="auto"/>
                <w:sz w:val="24"/>
                <w:lang w:val="en-US" w:eastAsia="zh-CN"/>
              </w:rPr>
              <w:t>79.408</w:t>
            </w:r>
            <w:r>
              <w:rPr>
                <w:color w:val="auto"/>
                <w:sz w:val="24"/>
              </w:rPr>
              <w:t>t/a，</w:t>
            </w:r>
            <w:r>
              <w:rPr>
                <w:rFonts w:hint="eastAsia"/>
                <w:color w:val="auto"/>
                <w:sz w:val="24"/>
                <w:lang w:val="en-US" w:eastAsia="zh-CN"/>
              </w:rPr>
              <w:t>外售至废品收购站，少量未收集</w:t>
            </w:r>
            <w:r>
              <w:rPr>
                <w:rFonts w:hint="eastAsia"/>
                <w:color w:val="auto"/>
                <w:kern w:val="0"/>
                <w:sz w:val="24"/>
                <w:lang w:val="en-US" w:eastAsia="zh-CN" w:bidi="ar"/>
              </w:rPr>
              <w:t>与生活垃圾一起交由市政部门统一处理</w:t>
            </w:r>
            <w:r>
              <w:rPr>
                <w:color w:val="auto"/>
                <w:sz w:val="24"/>
              </w:rPr>
              <w:t>。</w:t>
            </w:r>
          </w:p>
          <w:p w14:paraId="5CEC7970">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ascii="Times New Roman" w:hAnsi="Times New Roman" w:cs="Times New Roman" w:eastAsiaTheme="minorEastAsia"/>
                <w:color w:val="auto"/>
                <w:sz w:val="24"/>
                <w:szCs w:val="20"/>
                <w:highlight w:val="none"/>
                <w:lang w:eastAsia="zh-CN"/>
              </w:rPr>
            </w:pPr>
            <w:r>
              <w:rPr>
                <w:rFonts w:hint="eastAsia" w:ascii="Times New Roman" w:hAnsi="Times New Roman" w:cs="Times New Roman" w:eastAsiaTheme="minorEastAsia"/>
                <w:color w:val="auto"/>
                <w:sz w:val="24"/>
                <w:szCs w:val="20"/>
                <w:highlight w:val="none"/>
                <w:lang w:val="en-US" w:eastAsia="zh-CN"/>
              </w:rPr>
              <w:t>②废布袋</w:t>
            </w:r>
          </w:p>
          <w:p w14:paraId="5A0823E5">
            <w:pPr>
              <w:spacing w:line="360" w:lineRule="auto"/>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本项目切割过程采用布袋除尘器处理废气，燃生物质锅炉环保措施采用布袋除尘器，布袋两年换一次，产生废布袋0.2t/2a，由除尘器厂家检修后直接带走。</w:t>
            </w:r>
          </w:p>
          <w:p w14:paraId="07372208">
            <w:pPr>
              <w:spacing w:line="360" w:lineRule="auto"/>
              <w:ind w:firstLine="480" w:firstLineChars="200"/>
              <w:rPr>
                <w:rFonts w:hint="default" w:ascii="Times New Roman" w:hAnsi="Times New Roman" w:eastAsia="宋体" w:cs="Times New Roman"/>
                <w:color w:val="auto"/>
                <w:sz w:val="24"/>
                <w:lang w:val="en-US" w:eastAsia="zh-CN"/>
              </w:rPr>
            </w:pPr>
            <w:r>
              <w:rPr>
                <w:rFonts w:hint="eastAsia"/>
                <w:color w:val="auto"/>
                <w:sz w:val="24"/>
                <w:lang w:val="en-US" w:eastAsia="zh-CN"/>
              </w:rPr>
              <w:t>③</w:t>
            </w:r>
            <w:r>
              <w:rPr>
                <w:rFonts w:hint="eastAsia" w:ascii="Times New Roman" w:hAnsi="Times New Roman" w:eastAsia="宋体" w:cs="Times New Roman"/>
                <w:color w:val="auto"/>
                <w:sz w:val="24"/>
                <w:lang w:val="en-US" w:eastAsia="zh-CN"/>
              </w:rPr>
              <w:t>铁屑及车间除尘器收尘</w:t>
            </w:r>
          </w:p>
          <w:p w14:paraId="08AE9711">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ascii="Times New Roman" w:hAnsi="Times New Roman" w:cs="Times New Roman" w:eastAsiaTheme="minorEastAsia"/>
                <w:color w:val="auto"/>
                <w:sz w:val="24"/>
                <w:szCs w:val="20"/>
                <w:highlight w:val="none"/>
                <w:lang w:val="en-US" w:eastAsia="zh-CN"/>
              </w:rPr>
            </w:pPr>
            <w:r>
              <w:rPr>
                <w:rFonts w:hint="eastAsia" w:ascii="Times New Roman" w:hAnsi="Times New Roman" w:eastAsia="宋体" w:cs="Times New Roman"/>
                <w:color w:val="auto"/>
                <w:sz w:val="24"/>
                <w:lang w:val="en-US" w:eastAsia="zh-CN"/>
              </w:rPr>
              <w:t>根据建设单位提供的资料，本项目切割过程中产生的铁屑约为5</w:t>
            </w:r>
            <w:r>
              <w:rPr>
                <w:rFonts w:hint="default" w:ascii="Times New Roman" w:hAnsi="Times New Roman" w:eastAsia="宋体" w:cs="Times New Roman"/>
                <w:color w:val="auto"/>
                <w:sz w:val="24"/>
                <w:lang w:val="en-US" w:eastAsia="zh-CN"/>
              </w:rPr>
              <w:t>t/a</w:t>
            </w:r>
            <w:r>
              <w:rPr>
                <w:rFonts w:hint="eastAsia" w:ascii="Times New Roman" w:hAnsi="Times New Roman" w:eastAsia="宋体" w:cs="Times New Roman"/>
                <w:color w:val="auto"/>
                <w:sz w:val="24"/>
                <w:lang w:val="en-US" w:eastAsia="zh-CN"/>
              </w:rPr>
              <w:t>，车间除尘器收尘主要为铁粉，产生量为0.131t/a，集中收集后外售至废品回收站。</w:t>
            </w:r>
          </w:p>
          <w:p w14:paraId="1D268FC0">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④废钢铁</w:t>
            </w:r>
          </w:p>
          <w:p w14:paraId="3EC810F2">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本项目拆解完成后的废钢铁产生量为2677.54</w:t>
            </w:r>
            <w:r>
              <w:rPr>
                <w:rFonts w:hint="default" w:ascii="Times New Roman" w:hAnsi="Times New Roman" w:eastAsia="宋体" w:cs="Times New Roman"/>
                <w:color w:val="auto"/>
                <w:sz w:val="24"/>
                <w:lang w:val="en-US" w:eastAsia="zh-CN"/>
              </w:rPr>
              <w:t>t/a</w:t>
            </w:r>
            <w:r>
              <w:rPr>
                <w:rFonts w:hint="eastAsia" w:ascii="Times New Roman" w:hAnsi="Times New Roman" w:eastAsia="宋体" w:cs="Times New Roman"/>
                <w:color w:val="auto"/>
                <w:sz w:val="24"/>
                <w:lang w:val="en-US" w:eastAsia="zh-CN"/>
              </w:rPr>
              <w:t>，集中收集后外售至废品回收站。</w:t>
            </w:r>
          </w:p>
          <w:p w14:paraId="7F86C191">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sz w:val="24"/>
                <w:lang w:val="en-US" w:eastAsia="zh-CN"/>
              </w:rPr>
              <w:t>⑤</w:t>
            </w:r>
            <w:r>
              <w:rPr>
                <w:rFonts w:hint="default" w:ascii="Times New Roman" w:hAnsi="Times New Roman" w:eastAsia="宋体" w:cs="Times New Roman"/>
                <w:color w:val="auto"/>
                <w:highlight w:val="none"/>
                <w:lang w:val="en-US" w:eastAsia="zh-CN"/>
              </w:rPr>
              <w:t>废离子交换树脂</w:t>
            </w:r>
          </w:p>
          <w:p w14:paraId="073B2FFD">
            <w:pPr>
              <w:spacing w:line="360" w:lineRule="auto"/>
              <w:ind w:firstLine="480" w:firstLineChars="200"/>
              <w:rPr>
                <w:rFonts w:hint="eastAsia"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本项目</w:t>
            </w:r>
            <w:r>
              <w:rPr>
                <w:rFonts w:hint="eastAsia" w:ascii="Times New Roman" w:hAnsi="Times New Roman" w:eastAsia="宋体" w:cs="Times New Roman"/>
                <w:color w:val="auto"/>
                <w:sz w:val="24"/>
                <w:lang w:val="en-US" w:eastAsia="zh-CN"/>
              </w:rPr>
              <w:t>锅炉房软化水制备装置会产生</w:t>
            </w:r>
            <w:r>
              <w:rPr>
                <w:rFonts w:hint="default" w:ascii="Times New Roman" w:hAnsi="Times New Roman" w:eastAsia="宋体" w:cs="Times New Roman"/>
                <w:color w:val="auto"/>
                <w:sz w:val="24"/>
                <w:lang w:val="en-US" w:eastAsia="zh-CN"/>
              </w:rPr>
              <w:t>废离子交换树脂</w:t>
            </w:r>
            <w:r>
              <w:rPr>
                <w:rFonts w:hint="eastAsia"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lang w:val="en-US" w:eastAsia="zh-CN"/>
              </w:rPr>
              <w:t>产生量约为0.</w:t>
            </w:r>
            <w:r>
              <w:rPr>
                <w:rFonts w:hint="eastAsia" w:ascii="Times New Roman" w:hAnsi="Times New Roman" w:eastAsia="宋体" w:cs="Times New Roman"/>
                <w:color w:val="auto"/>
                <w:sz w:val="24"/>
                <w:lang w:val="en-US" w:eastAsia="zh-CN"/>
              </w:rPr>
              <w:t>6</w:t>
            </w:r>
            <w:r>
              <w:rPr>
                <w:rFonts w:hint="default" w:ascii="Times New Roman" w:hAnsi="Times New Roman" w:eastAsia="宋体" w:cs="Times New Roman"/>
                <w:color w:val="auto"/>
                <w:sz w:val="24"/>
                <w:lang w:val="en-US" w:eastAsia="zh-CN"/>
              </w:rPr>
              <w:t>t/a，产生周期为</w:t>
            </w:r>
            <w:r>
              <w:rPr>
                <w:rFonts w:hint="eastAsia" w:cs="Times New Roman"/>
                <w:color w:val="auto"/>
                <w:sz w:val="24"/>
                <w:lang w:val="en-US" w:eastAsia="zh-CN"/>
              </w:rPr>
              <w:t>250天</w:t>
            </w:r>
            <w:r>
              <w:rPr>
                <w:rFonts w:hint="default" w:ascii="Times New Roman" w:hAnsi="Times New Roman" w:eastAsia="宋体" w:cs="Times New Roman"/>
                <w:color w:val="auto"/>
                <w:sz w:val="24"/>
                <w:lang w:val="en-US" w:eastAsia="zh-CN"/>
              </w:rPr>
              <w:t>，本项目产生的废离子交换树脂由厂家上门更换，更换后立即外运，不在锅炉房内存放，由厂家回收再生利用。</w:t>
            </w:r>
          </w:p>
          <w:p w14:paraId="2136471E">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eastAsia="宋体"/>
                <w:color w:val="auto"/>
                <w:highlight w:val="none"/>
                <w:lang w:eastAsia="zh-CN"/>
              </w:rPr>
            </w:pPr>
            <w:r>
              <w:rPr>
                <w:rFonts w:hint="eastAsia"/>
                <w:color w:val="auto"/>
                <w:highlight w:val="none"/>
                <w:lang w:eastAsia="zh-CN"/>
              </w:rPr>
              <w:t>⑥锅炉除尘灰和锅炉灰渣</w:t>
            </w:r>
          </w:p>
          <w:p w14:paraId="625EC4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contextualSpacing/>
              <w:textAlignment w:val="auto"/>
              <w:rPr>
                <w:rFonts w:hint="default" w:ascii="Times New Roman" w:hAnsi="Times New Roman" w:cs="Times New Roman" w:eastAsiaTheme="minorEastAsia"/>
                <w:color w:val="auto"/>
                <w:sz w:val="24"/>
                <w:szCs w:val="20"/>
                <w:highlight w:val="none"/>
                <w:lang w:val="en-US" w:eastAsia="zh-CN"/>
              </w:rPr>
            </w:pPr>
            <w:r>
              <w:rPr>
                <w:rFonts w:hint="default"/>
                <w:color w:val="auto"/>
                <w:sz w:val="24"/>
                <w:highlight w:val="none"/>
              </w:rPr>
              <w:t>本项目采用的</w:t>
            </w:r>
            <w:r>
              <w:rPr>
                <w:rFonts w:hint="eastAsia"/>
                <w:color w:val="auto"/>
                <w:sz w:val="24"/>
                <w:highlight w:val="none"/>
              </w:rPr>
              <w:t>燃</w:t>
            </w:r>
            <w:r>
              <w:rPr>
                <w:rFonts w:hint="eastAsia"/>
                <w:color w:val="auto"/>
                <w:sz w:val="24"/>
                <w:highlight w:val="none"/>
                <w:lang w:eastAsia="zh-CN"/>
              </w:rPr>
              <w:t>生物质锅炉，</w:t>
            </w:r>
            <w:r>
              <w:rPr>
                <w:rFonts w:hint="default"/>
                <w:color w:val="auto"/>
                <w:sz w:val="24"/>
                <w:highlight w:val="none"/>
              </w:rPr>
              <w:t>燃烧过程中产生的固体废为灰渣</w:t>
            </w:r>
            <w:r>
              <w:rPr>
                <w:rFonts w:hint="eastAsia"/>
                <w:color w:val="auto"/>
                <w:sz w:val="24"/>
                <w:highlight w:val="none"/>
                <w:lang w:eastAsia="zh-CN"/>
              </w:rPr>
              <w:t>。</w:t>
            </w:r>
            <w:r>
              <w:rPr>
                <w:rFonts w:hint="eastAsia" w:cs="Times New Roman" w:eastAsiaTheme="minorEastAsia"/>
                <w:color w:val="auto"/>
                <w:sz w:val="24"/>
                <w:szCs w:val="20"/>
                <w:highlight w:val="none"/>
                <w:lang w:val="en-US" w:eastAsia="zh-CN"/>
              </w:rPr>
              <w:t>燃生物质</w:t>
            </w:r>
            <w:r>
              <w:rPr>
                <w:rFonts w:hint="eastAsia" w:ascii="Times New Roman" w:hAnsi="Times New Roman" w:cs="Times New Roman" w:eastAsiaTheme="minorEastAsia"/>
                <w:color w:val="auto"/>
                <w:sz w:val="24"/>
                <w:szCs w:val="20"/>
                <w:highlight w:val="none"/>
                <w:lang w:eastAsia="zh-CN"/>
              </w:rPr>
              <w:t>锅</w:t>
            </w:r>
            <w:r>
              <w:rPr>
                <w:rFonts w:hint="default" w:ascii="Times New Roman" w:hAnsi="Times New Roman" w:cs="Times New Roman" w:eastAsiaTheme="minorEastAsia"/>
                <w:color w:val="auto"/>
                <w:sz w:val="24"/>
                <w:szCs w:val="20"/>
                <w:highlight w:val="none"/>
                <w:lang w:eastAsia="zh-CN"/>
              </w:rPr>
              <w:t>炉灰</w:t>
            </w:r>
            <w:r>
              <w:rPr>
                <w:rFonts w:hint="default" w:ascii="Times New Roman" w:hAnsi="Times New Roman" w:cs="Times New Roman" w:eastAsiaTheme="minorEastAsia"/>
                <w:color w:val="auto"/>
                <w:sz w:val="24"/>
                <w:szCs w:val="20"/>
                <w:highlight w:val="none"/>
              </w:rPr>
              <w:t>渣</w:t>
            </w:r>
            <w:r>
              <w:rPr>
                <w:rFonts w:hint="default" w:ascii="Times New Roman" w:hAnsi="Times New Roman" w:cs="Times New Roman" w:eastAsiaTheme="minorEastAsia"/>
                <w:color w:val="auto"/>
                <w:sz w:val="24"/>
                <w:szCs w:val="20"/>
                <w:highlight w:val="none"/>
                <w:lang w:eastAsia="zh-CN"/>
              </w:rPr>
              <w:t>产生量参考《污染源源强核算技术指南</w:t>
            </w:r>
            <w:r>
              <w:rPr>
                <w:rFonts w:hint="default" w:ascii="Times New Roman" w:hAnsi="Times New Roman" w:cs="Times New Roman" w:eastAsiaTheme="minorEastAsia"/>
                <w:color w:val="auto"/>
                <w:sz w:val="24"/>
                <w:szCs w:val="20"/>
                <w:highlight w:val="none"/>
                <w:lang w:val="en-US" w:eastAsia="zh-CN"/>
              </w:rPr>
              <w:t xml:space="preserve"> 锅炉</w:t>
            </w:r>
            <w:r>
              <w:rPr>
                <w:rFonts w:hint="default" w:ascii="Times New Roman" w:hAnsi="Times New Roman" w:cs="Times New Roman" w:eastAsiaTheme="minorEastAsia"/>
                <w:color w:val="auto"/>
                <w:sz w:val="24"/>
                <w:szCs w:val="20"/>
                <w:highlight w:val="none"/>
                <w:lang w:eastAsia="zh-CN"/>
              </w:rPr>
              <w:t>》（</w:t>
            </w:r>
            <w:r>
              <w:rPr>
                <w:rFonts w:hint="default" w:ascii="Times New Roman" w:hAnsi="Times New Roman" w:cs="Times New Roman" w:eastAsiaTheme="minorEastAsia"/>
                <w:color w:val="auto"/>
                <w:sz w:val="24"/>
                <w:szCs w:val="20"/>
                <w:highlight w:val="none"/>
                <w:lang w:val="en-US" w:eastAsia="zh-CN"/>
              </w:rPr>
              <w:t>HJ 991-2018</w:t>
            </w:r>
            <w:r>
              <w:rPr>
                <w:rFonts w:hint="default" w:ascii="Times New Roman" w:hAnsi="Times New Roman" w:cs="Times New Roman" w:eastAsiaTheme="minorEastAsia"/>
                <w:color w:val="auto"/>
                <w:sz w:val="24"/>
                <w:szCs w:val="20"/>
                <w:highlight w:val="none"/>
                <w:lang w:eastAsia="zh-CN"/>
              </w:rPr>
              <w:t>）中</w:t>
            </w:r>
            <w:r>
              <w:rPr>
                <w:rFonts w:hint="default" w:ascii="Times New Roman" w:hAnsi="Times New Roman" w:cs="Times New Roman" w:eastAsiaTheme="minorEastAsia"/>
                <w:color w:val="auto"/>
                <w:sz w:val="24"/>
                <w:szCs w:val="20"/>
                <w:highlight w:val="none"/>
                <w:lang w:val="en-US" w:eastAsia="zh-CN"/>
              </w:rPr>
              <w:t>8.1生物质锅炉灰渣产生量计算方法进行核算。</w:t>
            </w:r>
          </w:p>
          <w:p w14:paraId="5B2F7641">
            <w:pPr>
              <w:pStyle w:val="119"/>
              <w:keepNext w:val="0"/>
              <w:keepLines w:val="0"/>
              <w:pageBreakBefore w:val="0"/>
              <w:suppressLineNumbers w:val="0"/>
              <w:wordWrap/>
              <w:topLinePunct w:val="0"/>
              <w:bidi w:val="0"/>
              <w:spacing w:before="0" w:beforeAutospacing="0" w:after="0" w:afterAutospacing="0" w:line="360" w:lineRule="auto"/>
              <w:ind w:left="0" w:leftChars="0" w:right="0" w:rightChars="0" w:firstLine="480" w:firstLineChars="200"/>
              <w:jc w:val="center"/>
              <w:rPr>
                <w:rFonts w:hint="default"/>
                <w:color w:val="auto"/>
                <w:sz w:val="24"/>
                <w:highlight w:val="none"/>
                <w:lang w:eastAsia="en-US"/>
              </w:rPr>
            </w:pPr>
            <w:r>
              <w:rPr>
                <w:rFonts w:hint="default"/>
                <w:color w:val="auto"/>
                <w:position w:val="-28"/>
                <w:sz w:val="24"/>
                <w:highlight w:val="none"/>
              </w:rPr>
              <w:object>
                <v:shape id="_x0000_i1025" o:spt="75" type="#_x0000_t75" style="height:33.75pt;width:146.25pt;" o:ole="t" filled="f" o:preferrelative="t" stroked="f" coordsize="21600,21600">
                  <v:path/>
                  <v:fill on="f" focussize="0,0"/>
                  <v:stroke on="f"/>
                  <v:imagedata r:id="rId19" o:title=""/>
                  <o:lock v:ext="edit" aspectratio="t"/>
                  <w10:wrap type="none"/>
                  <w10:anchorlock/>
                </v:shape>
                <o:OLEObject Type="Embed" ProgID="Equation.3" ShapeID="_x0000_i1025" DrawAspect="Content" ObjectID="_1468075725" r:id="rId18">
                  <o:LockedField>false</o:LockedField>
                </o:OLEObject>
              </w:object>
            </w:r>
          </w:p>
          <w:p w14:paraId="1CF4713B">
            <w:pPr>
              <w:keepNext w:val="0"/>
              <w:keepLines w:val="0"/>
              <w:pageBreakBefore w:val="0"/>
              <w:suppressLineNumbers w:val="0"/>
              <w:wordWrap/>
              <w:topLinePunct w:val="0"/>
              <w:bidi w:val="0"/>
              <w:adjustRightInd w:val="0"/>
              <w:snapToGrid w:val="0"/>
              <w:spacing w:before="0" w:beforeAutospacing="0" w:after="0" w:afterAutospacing="0" w:line="360" w:lineRule="auto"/>
              <w:ind w:left="0" w:leftChars="0" w:right="0" w:rightChars="0" w:firstLine="480" w:firstLineChars="200"/>
              <w:rPr>
                <w:rFonts w:hint="default"/>
                <w:bCs/>
                <w:color w:val="auto"/>
                <w:sz w:val="24"/>
                <w:highlight w:val="none"/>
              </w:rPr>
            </w:pPr>
            <w:r>
              <w:rPr>
                <w:rFonts w:hint="default"/>
                <w:bCs/>
                <w:color w:val="auto"/>
                <w:sz w:val="24"/>
                <w:highlight w:val="none"/>
              </w:rPr>
              <w:t>式中：E</w:t>
            </w:r>
            <w:r>
              <w:rPr>
                <w:rFonts w:hint="default"/>
                <w:bCs/>
                <w:color w:val="auto"/>
                <w:sz w:val="24"/>
                <w:highlight w:val="none"/>
                <w:vertAlign w:val="subscript"/>
              </w:rPr>
              <w:t>hz</w:t>
            </w:r>
            <w:r>
              <w:rPr>
                <w:rFonts w:hint="default"/>
                <w:bCs/>
                <w:color w:val="auto"/>
                <w:sz w:val="24"/>
                <w:highlight w:val="none"/>
              </w:rPr>
              <w:t>—核算时段内灰渣产生量，t</w:t>
            </w:r>
          </w:p>
          <w:p w14:paraId="33A40694">
            <w:pPr>
              <w:keepNext w:val="0"/>
              <w:keepLines w:val="0"/>
              <w:pageBreakBefore w:val="0"/>
              <w:suppressLineNumbers w:val="0"/>
              <w:wordWrap/>
              <w:topLinePunct w:val="0"/>
              <w:bidi w:val="0"/>
              <w:adjustRightInd w:val="0"/>
              <w:snapToGrid w:val="0"/>
              <w:spacing w:before="0" w:beforeAutospacing="0" w:after="0" w:afterAutospacing="0" w:line="360" w:lineRule="auto"/>
              <w:ind w:left="0" w:leftChars="0" w:right="0" w:rightChars="0" w:firstLine="480" w:firstLineChars="200"/>
              <w:rPr>
                <w:rFonts w:hint="default"/>
                <w:bCs/>
                <w:color w:val="auto"/>
                <w:sz w:val="24"/>
                <w:highlight w:val="none"/>
              </w:rPr>
            </w:pPr>
            <w:r>
              <w:rPr>
                <w:rFonts w:hint="default"/>
                <w:bCs/>
                <w:color w:val="auto"/>
                <w:sz w:val="24"/>
                <w:highlight w:val="none"/>
              </w:rPr>
              <w:t>R—核算时段内锅炉燃料耗量，</w:t>
            </w:r>
            <w:r>
              <w:rPr>
                <w:rFonts w:hint="eastAsia"/>
                <w:color w:val="auto"/>
                <w:sz w:val="24"/>
                <w:highlight w:val="none"/>
                <w:lang w:val="en-US" w:eastAsia="zh-CN"/>
              </w:rPr>
              <w:t>1048.32</w:t>
            </w:r>
            <w:r>
              <w:rPr>
                <w:rFonts w:hint="default"/>
                <w:bCs/>
                <w:color w:val="auto"/>
                <w:sz w:val="24"/>
                <w:highlight w:val="none"/>
                <w:lang w:val="en-US" w:eastAsia="zh-CN"/>
              </w:rPr>
              <w:t>t</w:t>
            </w:r>
            <w:r>
              <w:rPr>
                <w:rFonts w:hint="default"/>
                <w:bCs/>
                <w:color w:val="auto"/>
                <w:sz w:val="24"/>
                <w:highlight w:val="none"/>
              </w:rPr>
              <w:t>；</w:t>
            </w:r>
          </w:p>
          <w:p w14:paraId="3520C779">
            <w:pPr>
              <w:keepNext w:val="0"/>
              <w:keepLines w:val="0"/>
              <w:pageBreakBefore w:val="0"/>
              <w:suppressLineNumbers w:val="0"/>
              <w:wordWrap/>
              <w:topLinePunct w:val="0"/>
              <w:bidi w:val="0"/>
              <w:adjustRightInd w:val="0"/>
              <w:snapToGrid w:val="0"/>
              <w:spacing w:before="0" w:beforeAutospacing="0" w:after="0" w:afterAutospacing="0" w:line="360" w:lineRule="auto"/>
              <w:ind w:left="0" w:leftChars="0" w:right="0" w:rightChars="0" w:firstLine="480" w:firstLineChars="200"/>
              <w:rPr>
                <w:rFonts w:hint="eastAsia" w:ascii="Times New Roman" w:hAnsi="Times New Roman" w:cs="Times New Roman"/>
                <w:bCs/>
                <w:color w:val="auto"/>
                <w:sz w:val="24"/>
                <w:highlight w:val="none"/>
              </w:rPr>
            </w:pPr>
            <w:r>
              <w:rPr>
                <w:rFonts w:hint="default"/>
                <w:bCs/>
                <w:color w:val="auto"/>
                <w:sz w:val="24"/>
                <w:highlight w:val="none"/>
              </w:rPr>
              <w:t>A</w:t>
            </w:r>
            <w:r>
              <w:rPr>
                <w:rFonts w:hint="default"/>
                <w:bCs/>
                <w:color w:val="auto"/>
                <w:sz w:val="24"/>
                <w:highlight w:val="none"/>
                <w:vertAlign w:val="subscript"/>
              </w:rPr>
              <w:t>ar</w:t>
            </w:r>
            <w:r>
              <w:rPr>
                <w:rFonts w:hint="default"/>
                <w:bCs/>
                <w:color w:val="auto"/>
                <w:sz w:val="24"/>
                <w:highlight w:val="none"/>
              </w:rPr>
              <w:t>—收到基灰分的质量分数，</w:t>
            </w:r>
            <w:r>
              <w:rPr>
                <w:rFonts w:hint="eastAsia"/>
                <w:color w:val="auto"/>
                <w:sz w:val="24"/>
                <w:szCs w:val="24"/>
                <w:highlight w:val="none"/>
                <w:lang w:val="en-US" w:eastAsia="zh-CN"/>
              </w:rPr>
              <w:t>3.06</w:t>
            </w:r>
            <w:r>
              <w:rPr>
                <w:rFonts w:hint="eastAsia" w:ascii="Times New Roman" w:hAnsi="Times New Roman" w:cs="Times New Roman"/>
                <w:bCs/>
                <w:color w:val="auto"/>
                <w:sz w:val="24"/>
                <w:highlight w:val="none"/>
              </w:rPr>
              <w:t>%</w:t>
            </w:r>
          </w:p>
          <w:p w14:paraId="07585F86">
            <w:pPr>
              <w:keepNext w:val="0"/>
              <w:keepLines w:val="0"/>
              <w:pageBreakBefore w:val="0"/>
              <w:suppressLineNumbers w:val="0"/>
              <w:wordWrap/>
              <w:topLinePunct w:val="0"/>
              <w:bidi w:val="0"/>
              <w:adjustRightInd w:val="0"/>
              <w:snapToGrid w:val="0"/>
              <w:spacing w:before="0" w:beforeAutospacing="0" w:after="0" w:afterAutospacing="0" w:line="360" w:lineRule="auto"/>
              <w:ind w:left="0" w:leftChars="0" w:right="0" w:rightChars="0" w:firstLine="480" w:firstLineChars="200"/>
              <w:rPr>
                <w:rFonts w:hint="default"/>
                <w:bCs/>
                <w:color w:val="auto"/>
                <w:sz w:val="24"/>
                <w:highlight w:val="none"/>
              </w:rPr>
            </w:pPr>
            <w:r>
              <w:rPr>
                <w:rFonts w:hint="default"/>
                <w:bCs/>
                <w:color w:val="auto"/>
                <w:sz w:val="24"/>
                <w:highlight w:val="none"/>
              </w:rPr>
              <w:t>Q</w:t>
            </w:r>
            <w:r>
              <w:rPr>
                <w:rFonts w:hint="default"/>
                <w:bCs/>
                <w:color w:val="auto"/>
                <w:sz w:val="24"/>
                <w:highlight w:val="none"/>
                <w:vertAlign w:val="subscript"/>
              </w:rPr>
              <w:t>net，ar</w:t>
            </w:r>
            <w:r>
              <w:rPr>
                <w:rFonts w:hint="default"/>
                <w:bCs/>
                <w:color w:val="auto"/>
                <w:sz w:val="24"/>
                <w:highlight w:val="none"/>
              </w:rPr>
              <w:t>—燃料收到基低位发热量</w:t>
            </w:r>
            <w:r>
              <w:rPr>
                <w:rFonts w:hint="default"/>
                <w:color w:val="auto"/>
                <w:sz w:val="24"/>
                <w:szCs w:val="24"/>
                <w:highlight w:val="none"/>
                <w:lang w:val="en-US" w:eastAsia="zh-CN"/>
              </w:rPr>
              <w:t>，</w:t>
            </w:r>
            <w:r>
              <w:rPr>
                <w:rFonts w:hint="eastAsia"/>
                <w:color w:val="auto"/>
                <w:sz w:val="24"/>
                <w:szCs w:val="24"/>
                <w:highlight w:val="none"/>
                <w:lang w:val="en-US" w:eastAsia="zh-CN"/>
              </w:rPr>
              <w:t>9580kJ/kg</w:t>
            </w:r>
          </w:p>
          <w:p w14:paraId="7D8C48C8">
            <w:pPr>
              <w:keepNext w:val="0"/>
              <w:keepLines w:val="0"/>
              <w:pageBreakBefore w:val="0"/>
              <w:suppressLineNumbers w:val="0"/>
              <w:wordWrap/>
              <w:topLinePunct w:val="0"/>
              <w:bidi w:val="0"/>
              <w:adjustRightInd w:val="0"/>
              <w:snapToGrid w:val="0"/>
              <w:spacing w:before="0" w:beforeAutospacing="0" w:after="0" w:afterAutospacing="0" w:line="360" w:lineRule="auto"/>
              <w:ind w:left="0" w:leftChars="0" w:right="0" w:rightChars="0" w:firstLine="480" w:firstLineChars="200"/>
              <w:rPr>
                <w:rFonts w:hint="default"/>
                <w:bCs/>
                <w:color w:val="auto"/>
                <w:sz w:val="24"/>
                <w:highlight w:val="none"/>
              </w:rPr>
            </w:pPr>
            <w:r>
              <w:rPr>
                <w:rFonts w:hint="default"/>
                <w:bCs/>
                <w:color w:val="auto"/>
                <w:sz w:val="24"/>
                <w:highlight w:val="none"/>
              </w:rPr>
              <w:t>q</w:t>
            </w:r>
            <w:r>
              <w:rPr>
                <w:rFonts w:hint="default"/>
                <w:bCs/>
                <w:color w:val="auto"/>
                <w:sz w:val="24"/>
                <w:highlight w:val="none"/>
                <w:vertAlign w:val="subscript"/>
              </w:rPr>
              <w:t>4</w:t>
            </w:r>
            <w:r>
              <w:rPr>
                <w:rFonts w:hint="default"/>
                <w:bCs/>
                <w:color w:val="auto"/>
                <w:sz w:val="24"/>
                <w:highlight w:val="none"/>
              </w:rPr>
              <w:t>—锅炉机械不完全燃烧热损失，</w:t>
            </w:r>
            <w:r>
              <w:rPr>
                <w:rFonts w:hint="eastAsia"/>
                <w:bCs/>
                <w:color w:val="auto"/>
                <w:sz w:val="24"/>
                <w:highlight w:val="none"/>
                <w:lang w:val="en-US" w:eastAsia="zh-CN"/>
              </w:rPr>
              <w:t>15</w:t>
            </w:r>
            <w:r>
              <w:rPr>
                <w:rFonts w:hint="default"/>
                <w:bCs/>
                <w:color w:val="auto"/>
                <w:sz w:val="24"/>
                <w:highlight w:val="none"/>
              </w:rPr>
              <w:t>%</w:t>
            </w:r>
          </w:p>
          <w:p w14:paraId="56C7EFAA">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经计算得出年</w:t>
            </w:r>
            <w:r>
              <w:rPr>
                <w:rFonts w:hint="eastAsia"/>
                <w:color w:val="auto"/>
                <w:lang w:val="en-US" w:eastAsia="zh-CN"/>
              </w:rPr>
              <w:t>燃生物质锅炉</w:t>
            </w:r>
            <w:r>
              <w:rPr>
                <w:rFonts w:hint="eastAsia" w:ascii="Times New Roman" w:hAnsi="Times New Roman" w:eastAsia="宋体" w:cs="Times New Roman"/>
                <w:color w:val="auto"/>
                <w:highlight w:val="none"/>
                <w:lang w:eastAsia="zh-CN"/>
              </w:rPr>
              <w:t>灰渣量E</w:t>
            </w:r>
            <w:r>
              <w:rPr>
                <w:rFonts w:hint="eastAsia" w:ascii="Times New Roman" w:hAnsi="Times New Roman" w:eastAsia="宋体" w:cs="Times New Roman"/>
                <w:color w:val="auto"/>
                <w:highlight w:val="none"/>
                <w:vertAlign w:val="subscript"/>
                <w:lang w:eastAsia="zh-CN"/>
              </w:rPr>
              <w:t>hz</w:t>
            </w:r>
            <w:r>
              <w:rPr>
                <w:rFonts w:hint="eastAsia" w:ascii="Times New Roman" w:hAnsi="Times New Roman" w:eastAsia="宋体" w:cs="Times New Roman"/>
                <w:color w:val="auto"/>
                <w:highlight w:val="none"/>
                <w:lang w:eastAsia="zh-CN"/>
              </w:rPr>
              <w:t>=</w:t>
            </w:r>
            <w:r>
              <w:rPr>
                <w:rFonts w:hint="eastAsia"/>
                <w:color w:val="auto"/>
                <w:sz w:val="24"/>
                <w:highlight w:val="none"/>
                <w:lang w:val="en-US" w:eastAsia="zh-CN"/>
              </w:rPr>
              <w:t>1048.32</w:t>
            </w:r>
            <w:r>
              <w:rPr>
                <w:rFonts w:hint="eastAsia" w:ascii="Times New Roman" w:hAnsi="Times New Roman" w:eastAsia="宋体" w:cs="Times New Roman"/>
                <w:color w:val="auto"/>
                <w:highlight w:val="none"/>
                <w:lang w:val="en-US" w:eastAsia="zh-CN"/>
              </w:rPr>
              <w:t>×（</w:t>
            </w:r>
            <w:r>
              <w:rPr>
                <w:rFonts w:hint="eastAsia" w:cs="Times New Roman"/>
                <w:color w:val="auto"/>
                <w:highlight w:val="none"/>
                <w:lang w:val="en-US" w:eastAsia="zh-CN"/>
              </w:rPr>
              <w:t>0.0306</w:t>
            </w:r>
            <w:r>
              <w:rPr>
                <w:rFonts w:hint="eastAsia" w:ascii="Times New Roman" w:hAnsi="Times New Roman" w:eastAsia="宋体" w:cs="Times New Roman"/>
                <w:color w:val="auto"/>
                <w:highlight w:val="none"/>
                <w:lang w:val="en-US" w:eastAsia="zh-CN"/>
              </w:rPr>
              <w:t>+15×</w:t>
            </w:r>
            <w:r>
              <w:rPr>
                <w:rFonts w:hint="eastAsia" w:cs="Times New Roman"/>
                <w:color w:val="auto"/>
                <w:highlight w:val="none"/>
                <w:lang w:val="en-US" w:eastAsia="zh-CN"/>
              </w:rPr>
              <w:t>9580</w:t>
            </w:r>
            <w:r>
              <w:rPr>
                <w:rFonts w:hint="eastAsia" w:ascii="Times New Roman" w:hAnsi="Times New Roman" w:eastAsia="宋体" w:cs="Times New Roman"/>
                <w:color w:val="auto"/>
                <w:highlight w:val="none"/>
                <w:lang w:val="en-US" w:eastAsia="zh-CN"/>
              </w:rPr>
              <w:t>÷100÷33870）=</w:t>
            </w:r>
            <w:r>
              <w:rPr>
                <w:rFonts w:hint="eastAsia" w:cs="Times New Roman"/>
                <w:color w:val="auto"/>
                <w:highlight w:val="none"/>
                <w:lang w:val="en-US" w:eastAsia="zh-CN"/>
              </w:rPr>
              <w:t>76.556</w:t>
            </w:r>
            <w:r>
              <w:rPr>
                <w:rFonts w:hint="eastAsia" w:ascii="Times New Roman" w:hAnsi="Times New Roman" w:eastAsia="宋体" w:cs="Times New Roman"/>
                <w:color w:val="auto"/>
                <w:highlight w:val="none"/>
                <w:lang w:eastAsia="zh-CN"/>
              </w:rPr>
              <w:t>t/a</w:t>
            </w:r>
          </w:p>
          <w:p w14:paraId="1230F25F">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ascii="Times New Roman" w:hAnsi="Times New Roman" w:cs="Times New Roman" w:eastAsiaTheme="minorEastAsia"/>
                <w:color w:val="auto"/>
                <w:sz w:val="24"/>
                <w:szCs w:val="20"/>
                <w:highlight w:val="none"/>
                <w:lang w:val="en-US" w:eastAsia="zh-CN"/>
              </w:rPr>
            </w:pPr>
            <w:r>
              <w:rPr>
                <w:rFonts w:hint="eastAsia"/>
                <w:color w:val="auto"/>
                <w:lang w:val="en-US" w:eastAsia="zh-CN"/>
              </w:rPr>
              <w:t>燃生物质</w:t>
            </w:r>
            <w:r>
              <w:rPr>
                <w:rFonts w:hint="eastAsia" w:ascii="Times New Roman" w:hAnsi="Times New Roman" w:eastAsia="宋体" w:cs="Times New Roman"/>
                <w:color w:val="auto"/>
                <w:highlight w:val="none"/>
                <w:lang w:eastAsia="zh-CN"/>
              </w:rPr>
              <w:t>锅炉燃烧产生的灰渣量为</w:t>
            </w:r>
            <w:r>
              <w:rPr>
                <w:rFonts w:hint="eastAsia" w:cs="Times New Roman"/>
                <w:color w:val="auto"/>
                <w:highlight w:val="none"/>
                <w:lang w:val="en-US" w:eastAsia="zh-CN"/>
              </w:rPr>
              <w:t>76.556</w:t>
            </w:r>
            <w:r>
              <w:rPr>
                <w:rFonts w:hint="eastAsia" w:ascii="Times New Roman" w:hAnsi="Times New Roman" w:eastAsia="宋体" w:cs="Times New Roman"/>
                <w:color w:val="auto"/>
                <w:highlight w:val="none"/>
                <w:lang w:eastAsia="zh-CN"/>
              </w:rPr>
              <w:t>t/a</w:t>
            </w:r>
            <w:r>
              <w:rPr>
                <w:rFonts w:hint="eastAsia" w:ascii="Times New Roman" w:hAnsi="Times New Roman" w:eastAsia="宋体" w:cs="Times New Roman"/>
                <w:color w:val="auto"/>
                <w:highlight w:val="none"/>
                <w:lang w:eastAsia="zh-CN"/>
              </w:rPr>
              <w:t>，灰渣中随烟气排放的飞灰（即颗粒物）</w:t>
            </w:r>
            <w:r>
              <w:rPr>
                <w:rFonts w:hint="eastAsia" w:cs="Times New Roman"/>
                <w:color w:val="auto"/>
                <w:highlight w:val="none"/>
                <w:lang w:val="en-US" w:eastAsia="zh-CN"/>
              </w:rPr>
              <w:t>0.172</w:t>
            </w:r>
            <w:r>
              <w:rPr>
                <w:rFonts w:hint="eastAsia" w:ascii="Times New Roman" w:hAnsi="Times New Roman" w:eastAsia="宋体" w:cs="Times New Roman"/>
                <w:color w:val="auto"/>
                <w:highlight w:val="none"/>
                <w:lang w:eastAsia="zh-CN"/>
              </w:rPr>
              <w:t>t/a</w:t>
            </w:r>
            <w:r>
              <w:rPr>
                <w:rFonts w:hint="eastAsia" w:ascii="Times New Roman" w:hAnsi="Times New Roman" w:eastAsia="宋体" w:cs="Times New Roman"/>
                <w:color w:val="auto"/>
                <w:highlight w:val="none"/>
                <w:lang w:eastAsia="zh-CN"/>
              </w:rPr>
              <w:t>，由布袋除尘器收集的飞灰为</w:t>
            </w:r>
            <w:r>
              <w:rPr>
                <w:rFonts w:hint="eastAsia" w:cs="Times New Roman"/>
                <w:color w:val="auto"/>
                <w:highlight w:val="none"/>
                <w:lang w:val="en-US" w:eastAsia="zh-CN"/>
              </w:rPr>
              <w:t>17.013</w:t>
            </w:r>
            <w:r>
              <w:rPr>
                <w:rFonts w:hint="eastAsia" w:ascii="Times New Roman" w:hAnsi="Times New Roman" w:eastAsia="宋体" w:cs="Times New Roman"/>
                <w:color w:val="auto"/>
                <w:highlight w:val="none"/>
                <w:lang w:eastAsia="zh-CN"/>
              </w:rPr>
              <w:t>t/a</w:t>
            </w:r>
            <w:r>
              <w:rPr>
                <w:rFonts w:hint="eastAsia" w:ascii="Times New Roman" w:hAnsi="Times New Roman" w:eastAsia="宋体" w:cs="Times New Roman"/>
                <w:color w:val="auto"/>
                <w:highlight w:val="none"/>
                <w:lang w:eastAsia="zh-CN"/>
              </w:rPr>
              <w:t>，则剩余</w:t>
            </w:r>
            <w:r>
              <w:rPr>
                <w:rFonts w:hint="eastAsia" w:cs="Times New Roman"/>
                <w:color w:val="auto"/>
                <w:highlight w:val="none"/>
                <w:lang w:val="en-US" w:eastAsia="zh-CN"/>
              </w:rPr>
              <w:t>锅炉</w:t>
            </w:r>
            <w:r>
              <w:rPr>
                <w:rFonts w:hint="eastAsia" w:ascii="Times New Roman" w:hAnsi="Times New Roman" w:eastAsia="宋体" w:cs="Times New Roman"/>
                <w:color w:val="auto"/>
                <w:highlight w:val="none"/>
                <w:lang w:eastAsia="zh-CN"/>
              </w:rPr>
              <w:t>炉渣量为</w:t>
            </w:r>
            <w:r>
              <w:rPr>
                <w:rFonts w:hint="eastAsia" w:ascii="Times New Roman" w:hAnsi="Times New Roman" w:eastAsia="宋体" w:cs="Times New Roman"/>
                <w:color w:val="auto"/>
                <w:highlight w:val="none"/>
                <w:lang w:val="en-US" w:eastAsia="zh-CN"/>
              </w:rPr>
              <w:t>59.371</w:t>
            </w:r>
            <w:r>
              <w:rPr>
                <w:rFonts w:hint="eastAsia" w:ascii="Times New Roman" w:hAnsi="Times New Roman" w:eastAsia="宋体" w:cs="Times New Roman"/>
                <w:color w:val="auto"/>
                <w:highlight w:val="none"/>
                <w:lang w:eastAsia="zh-CN"/>
              </w:rPr>
              <w:t>t/a</w:t>
            </w:r>
            <w:r>
              <w:rPr>
                <w:rFonts w:hint="eastAsia" w:ascii="Times New Roman" w:hAnsi="Times New Roman" w:eastAsia="宋体" w:cs="Times New Roman"/>
                <w:color w:val="auto"/>
                <w:highlight w:val="none"/>
                <w:lang w:eastAsia="zh-CN"/>
              </w:rPr>
              <w:t>。全部外售制肥综合利用。</w:t>
            </w:r>
          </w:p>
          <w:p w14:paraId="71B78208">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（3）危险废物</w:t>
            </w:r>
          </w:p>
          <w:p w14:paraId="64CF7354">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拆解预处理时放净的废油液</w:t>
            </w:r>
            <w:r>
              <w:rPr>
                <w:rFonts w:hint="eastAsia" w:cs="Times New Roman"/>
                <w:color w:val="auto"/>
                <w:highlight w:val="none"/>
                <w:lang w:val="en-US" w:eastAsia="zh-CN"/>
              </w:rPr>
              <w:t>及油泥</w:t>
            </w:r>
            <w:r>
              <w:rPr>
                <w:rFonts w:hint="eastAsia" w:ascii="Times New Roman" w:hAnsi="Times New Roman" w:eastAsia="宋体" w:cs="Times New Roman"/>
                <w:color w:val="auto"/>
                <w:highlight w:val="none"/>
                <w:lang w:val="en-US" w:eastAsia="zh-CN"/>
              </w:rPr>
              <w:t>、含油抹布和手套、</w:t>
            </w:r>
            <w:r>
              <w:rPr>
                <w:rFonts w:hint="eastAsia" w:cs="Times New Roman"/>
                <w:color w:val="auto"/>
                <w:highlight w:val="none"/>
                <w:lang w:val="en-US" w:eastAsia="zh-CN"/>
              </w:rPr>
              <w:t>废活性炭、废防冻液、废电路板、</w:t>
            </w:r>
            <w:r>
              <w:rPr>
                <w:rFonts w:hint="eastAsia" w:ascii="Times New Roman" w:hAnsi="Times New Roman" w:eastAsia="宋体" w:cs="Times New Roman"/>
                <w:color w:val="auto"/>
                <w:highlight w:val="none"/>
                <w:lang w:val="en-US" w:eastAsia="zh-CN"/>
              </w:rPr>
              <w:t>拆下的废铅酸蓄电池为危险废物。</w:t>
            </w:r>
          </w:p>
          <w:p w14:paraId="501AF208">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①废铅酸蓄电池</w:t>
            </w:r>
          </w:p>
          <w:p w14:paraId="124EC194">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根据物料平衡分析，本项目废蓄电池产生量为46.599t/a，根据</w:t>
            </w:r>
            <w:r>
              <w:rPr>
                <w:rFonts w:hint="eastAsia" w:ascii="Times New Roman" w:hAnsi="Times New Roman" w:eastAsia="宋体" w:cs="宋体"/>
                <w:color w:val="auto"/>
                <w:kern w:val="0"/>
                <w:sz w:val="24"/>
                <w:lang w:val="en-US" w:eastAsia="zh-CN" w:bidi="ar"/>
              </w:rPr>
              <w:t>《国家危险废物名录（2021年版）》</w:t>
            </w:r>
            <w:r>
              <w:rPr>
                <w:rFonts w:hint="eastAsia" w:cs="Times New Roman"/>
                <w:color w:val="auto"/>
                <w:sz w:val="24"/>
                <w:szCs w:val="24"/>
                <w:highlight w:val="none"/>
                <w:lang w:val="en-US" w:eastAsia="zh-CN"/>
              </w:rPr>
              <w:t>，废铅蓄电池属于危险废物，废物类别“HW31 含铅废物”，废物代码为900-052-31，经收集后放置于</w:t>
            </w:r>
            <w:r>
              <w:rPr>
                <w:rFonts w:hint="eastAsia"/>
                <w:color w:val="auto"/>
                <w:highlight w:val="none"/>
                <w:lang w:eastAsia="zh-CN"/>
              </w:rPr>
              <w:t>危废贮存点</w:t>
            </w:r>
            <w:r>
              <w:rPr>
                <w:rFonts w:hint="eastAsia" w:cs="Times New Roman"/>
                <w:color w:val="auto"/>
                <w:sz w:val="24"/>
                <w:szCs w:val="24"/>
                <w:highlight w:val="none"/>
                <w:lang w:val="en-US" w:eastAsia="zh-CN"/>
              </w:rPr>
              <w:t>，交由有资质单位处理。废铅蓄电池及废铅蓄电池拆解过程中产生的废铅板、废铅膏和酸液。本项目仅拆下蓄电池，不对蓄电池进行拆解，经收集后暂存于危废暂存点，定期交有资质单位处理。</w:t>
            </w:r>
          </w:p>
          <w:p w14:paraId="10A45F85">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②废油液及油泥</w:t>
            </w:r>
          </w:p>
          <w:p w14:paraId="79108391">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废矿物油类主要产生于发动机与变速箱废油放净；此外，报废农机因长期使用某些部位积存油垢，拆解时作干清理；拆解区地面不定期清理油垢；产生的废油液及油泥合约33.285t/a，主要为废润滑油、废机油和废柴油，根据</w:t>
            </w:r>
            <w:r>
              <w:rPr>
                <w:rFonts w:hint="eastAsia" w:ascii="Times New Roman" w:hAnsi="Times New Roman" w:eastAsia="宋体" w:cs="宋体"/>
                <w:color w:val="auto"/>
                <w:kern w:val="0"/>
                <w:sz w:val="24"/>
                <w:lang w:val="en-US" w:eastAsia="zh-CN" w:bidi="ar"/>
              </w:rPr>
              <w:t>《国家危险废物名录（2021年版）》</w:t>
            </w:r>
            <w:r>
              <w:rPr>
                <w:rFonts w:hint="eastAsia" w:cs="Times New Roman"/>
                <w:color w:val="auto"/>
                <w:sz w:val="24"/>
                <w:szCs w:val="24"/>
                <w:highlight w:val="none"/>
                <w:lang w:val="en-US" w:eastAsia="zh-CN"/>
              </w:rPr>
              <w:t xml:space="preserve">，废油液及油泥属于危险废物，废物类别“HW08 </w:t>
            </w:r>
            <w:r>
              <w:rPr>
                <w:rFonts w:ascii="Helvetica" w:hAnsi="Helvetica" w:eastAsia="Helvetica" w:cs="Helvetica"/>
                <w:i w:val="0"/>
                <w:iCs w:val="0"/>
                <w:caps w:val="0"/>
                <w:color w:val="auto"/>
                <w:spacing w:val="0"/>
                <w:sz w:val="21"/>
                <w:szCs w:val="21"/>
                <w:shd w:val="clear" w:fill="FFFFFF"/>
              </w:rPr>
              <w:t>废矿物油与含矿物油废物</w:t>
            </w:r>
            <w:r>
              <w:rPr>
                <w:rFonts w:hint="eastAsia" w:cs="Times New Roman"/>
                <w:color w:val="auto"/>
                <w:sz w:val="24"/>
                <w:szCs w:val="24"/>
                <w:highlight w:val="none"/>
                <w:lang w:val="en-US" w:eastAsia="zh-CN"/>
              </w:rPr>
              <w:t>”，废物代码为900-199-08，经收集后暂存于危废暂存点，定期交有资质单位处理。</w:t>
            </w:r>
          </w:p>
          <w:p w14:paraId="5E50759C">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③含油抹布及手套</w:t>
            </w:r>
          </w:p>
          <w:p w14:paraId="6B8FFB9F">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在清理油垢时会产生含油抹布和手套，本项目产生约1t/a，</w:t>
            </w:r>
            <w:r>
              <w:rPr>
                <w:rFonts w:hint="eastAsia"/>
                <w:color w:val="auto"/>
                <w:highlight w:val="none"/>
                <w:lang w:eastAsia="zh-CN"/>
              </w:rPr>
              <w:t>根据</w:t>
            </w:r>
            <w:r>
              <w:rPr>
                <w:rFonts w:hint="eastAsia" w:ascii="Times New Roman" w:hAnsi="Times New Roman" w:eastAsia="宋体" w:cs="宋体"/>
                <w:color w:val="auto"/>
                <w:kern w:val="0"/>
                <w:sz w:val="24"/>
                <w:lang w:val="en-US" w:eastAsia="zh-CN" w:bidi="ar"/>
              </w:rPr>
              <w:t>《国家危险废物名录（2021年版）》</w:t>
            </w:r>
            <w:r>
              <w:rPr>
                <w:rFonts w:hint="eastAsia"/>
                <w:color w:val="auto"/>
                <w:highlight w:val="none"/>
                <w:lang w:eastAsia="zh-CN"/>
              </w:rPr>
              <w:t>，废抹布、</w:t>
            </w:r>
            <w:r>
              <w:rPr>
                <w:rFonts w:hint="eastAsia"/>
                <w:color w:val="auto"/>
                <w:highlight w:val="none"/>
                <w:lang w:val="en-US" w:eastAsia="zh-CN"/>
              </w:rPr>
              <w:t>废</w:t>
            </w:r>
            <w:r>
              <w:rPr>
                <w:rFonts w:hint="eastAsia"/>
                <w:color w:val="auto"/>
                <w:highlight w:val="none"/>
                <w:lang w:eastAsia="zh-CN"/>
              </w:rPr>
              <w:t>含油手套</w:t>
            </w:r>
            <w:r>
              <w:rPr>
                <w:rFonts w:hint="eastAsia"/>
                <w:color w:val="auto"/>
                <w:highlight w:val="none"/>
                <w:lang w:val="en-US" w:eastAsia="zh-CN"/>
              </w:rPr>
              <w:t>属于危险废物，废物类别“</w:t>
            </w:r>
            <w:r>
              <w:rPr>
                <w:rFonts w:hint="eastAsia"/>
                <w:color w:val="auto"/>
                <w:highlight w:val="none"/>
                <w:lang w:eastAsia="zh-CN"/>
              </w:rPr>
              <w:t>HW49</w:t>
            </w:r>
            <w:r>
              <w:rPr>
                <w:rFonts w:hint="eastAsia"/>
                <w:color w:val="auto"/>
                <w:highlight w:val="none"/>
                <w:lang w:val="en-US" w:eastAsia="zh-CN"/>
              </w:rPr>
              <w:t xml:space="preserve"> </w:t>
            </w:r>
            <w:r>
              <w:rPr>
                <w:rFonts w:hint="eastAsia"/>
                <w:color w:val="auto"/>
                <w:highlight w:val="none"/>
                <w:lang w:eastAsia="zh-CN"/>
              </w:rPr>
              <w:t>其他废物</w:t>
            </w:r>
            <w:r>
              <w:rPr>
                <w:rFonts w:hint="eastAsia"/>
                <w:color w:val="auto"/>
                <w:highlight w:val="none"/>
                <w:lang w:val="en-US" w:eastAsia="zh-CN"/>
              </w:rPr>
              <w:t>”，</w:t>
            </w:r>
            <w:r>
              <w:rPr>
                <w:rFonts w:hint="eastAsia"/>
                <w:color w:val="auto"/>
                <w:highlight w:val="none"/>
                <w:lang w:eastAsia="zh-CN"/>
              </w:rPr>
              <w:t>废物代码为900-041-49，</w:t>
            </w:r>
            <w:r>
              <w:rPr>
                <w:rFonts w:hint="eastAsia" w:cs="Times New Roman"/>
                <w:color w:val="auto"/>
                <w:sz w:val="24"/>
                <w:szCs w:val="24"/>
                <w:highlight w:val="none"/>
                <w:lang w:val="en-US" w:eastAsia="zh-CN"/>
              </w:rPr>
              <w:t>含油抹布及手套</w:t>
            </w:r>
            <w:r>
              <w:rPr>
                <w:rFonts w:hint="eastAsia"/>
                <w:color w:val="auto"/>
                <w:highlight w:val="none"/>
                <w:lang w:eastAsia="zh-CN"/>
              </w:rPr>
              <w:t>用防漏袋盛装后存放于危废贮存点，交由有资质单位处理。</w:t>
            </w:r>
          </w:p>
          <w:p w14:paraId="3FB17327">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④废活性炭</w:t>
            </w:r>
          </w:p>
          <w:p w14:paraId="2EBFB417">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本项目采用高标准蜂窝活性炭作为吸附剂，碘值为800mg/g，其对挥发性有机物吸附饱和率为15%，即1t活性炭吸附约150kg左右有机废气。根据工程分析，项目活性炭吸收有机废气量为0.027t/a，则需活性炭量为</w:t>
            </w:r>
            <w:r>
              <w:rPr>
                <w:rFonts w:hint="eastAsia" w:cs="Times New Roman"/>
                <w:color w:val="auto"/>
                <w:sz w:val="24"/>
                <w:szCs w:val="24"/>
                <w:highlight w:val="none"/>
                <w:lang w:val="en-US" w:eastAsia="zh-CN"/>
              </w:rPr>
              <w:t>0.18</w:t>
            </w:r>
            <w:r>
              <w:rPr>
                <w:rFonts w:hint="eastAsia" w:ascii="Times New Roman" w:hAnsi="Times New Roman" w:eastAsia="宋体" w:cs="Times New Roman"/>
                <w:color w:val="auto"/>
                <w:sz w:val="24"/>
                <w:szCs w:val="24"/>
                <w:highlight w:val="none"/>
                <w:lang w:val="en-US" w:eastAsia="zh-CN"/>
              </w:rPr>
              <w:t>t，废活性炭产生量为0.027t/a。本项目每</w:t>
            </w:r>
            <w:r>
              <w:rPr>
                <w:rFonts w:hint="eastAsia" w:cs="Times New Roman"/>
                <w:color w:val="auto"/>
                <w:sz w:val="24"/>
                <w:szCs w:val="24"/>
                <w:highlight w:val="none"/>
                <w:lang w:val="en-US" w:eastAsia="zh-CN"/>
              </w:rPr>
              <w:t>6</w:t>
            </w:r>
            <w:r>
              <w:rPr>
                <w:rFonts w:hint="eastAsia" w:ascii="Times New Roman" w:hAnsi="Times New Roman" w:eastAsia="宋体" w:cs="Times New Roman"/>
                <w:color w:val="auto"/>
                <w:sz w:val="24"/>
                <w:szCs w:val="24"/>
                <w:highlight w:val="none"/>
                <w:lang w:val="en-US" w:eastAsia="zh-CN"/>
              </w:rPr>
              <w:t>个月更换一次活性炭。</w:t>
            </w:r>
            <w:r>
              <w:rPr>
                <w:rFonts w:hint="eastAsia" w:cs="Times New Roman"/>
                <w:color w:val="auto"/>
                <w:highlight w:val="none"/>
                <w:lang w:val="en-US" w:eastAsia="zh-CN"/>
              </w:rPr>
              <w:t>根据《国家危险废物名录（2021年版）》可知，废活性炭属于危险废物，废物类别“HW49 其他废物”，废物代码为900-039-49，经收集后放置于危废贮存点，交由有资质单位处理。</w:t>
            </w:r>
          </w:p>
          <w:p w14:paraId="3D272E47">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⑤废防冻液</w:t>
            </w:r>
          </w:p>
          <w:p w14:paraId="0C330523">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废油放净过程会产生部分废防冻液，产生量约2.378t/a，根据《国家危险废物名录》（2021版）可知，废防冻液属于危险废物，废物类别“HW06 废有机溶剂与含有机溶剂废物”，废物代码为900-404-06，</w:t>
            </w:r>
            <w:r>
              <w:rPr>
                <w:rFonts w:hint="eastAsia" w:cs="Times New Roman"/>
                <w:color w:val="auto"/>
                <w:highlight w:val="none"/>
                <w:lang w:val="en-US" w:eastAsia="zh-CN"/>
              </w:rPr>
              <w:t>经收集后放置于危废贮存点，交由有资质单位处理。</w:t>
            </w:r>
          </w:p>
          <w:p w14:paraId="492655B6">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⑥废电路板</w:t>
            </w:r>
          </w:p>
          <w:p w14:paraId="4F562B47">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本项目废电路板产生量为2.853t/a，根据《国家危险废物名录》（2021版），废电路板属于危险废物，废物类别为“HW49 其他废物”，废物代码为900-045-49。本项目仅拆下电路板，不对电路板进行拆解。</w:t>
            </w:r>
            <w:r>
              <w:rPr>
                <w:rFonts w:hint="eastAsia" w:cs="Times New Roman"/>
                <w:color w:val="auto"/>
                <w:highlight w:val="none"/>
                <w:lang w:val="en-US" w:eastAsia="zh-CN"/>
              </w:rPr>
              <w:t>经收集后放置于危废贮存点，交由有资质单位处理。</w:t>
            </w:r>
          </w:p>
          <w:p w14:paraId="5654CB2F">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ascii="Tahoma"/>
                <w:color w:val="auto"/>
                <w:highlight w:val="none"/>
              </w:rPr>
            </w:pPr>
            <w:r>
              <w:rPr>
                <w:rFonts w:hint="default"/>
                <w:color w:val="auto"/>
                <w:highlight w:val="none"/>
              </w:rPr>
              <w:t>根据</w:t>
            </w:r>
            <w:r>
              <w:rPr>
                <w:rFonts w:hint="eastAsia" w:ascii="Times New Roman" w:hAnsi="Times New Roman" w:eastAsia="宋体" w:cs="Times New Roman"/>
                <w:color w:val="auto"/>
                <w:kern w:val="0"/>
                <w:sz w:val="24"/>
                <w:szCs w:val="28"/>
                <w:lang w:val="en-US" w:eastAsia="zh-CN" w:bidi="ar-SA"/>
              </w:rPr>
              <w:t>《固体废物分类与代码目录（2024年）》（公告2024年第4号）</w:t>
            </w:r>
            <w:r>
              <w:rPr>
                <w:rFonts w:hint="default"/>
                <w:color w:val="auto"/>
                <w:highlight w:val="none"/>
              </w:rPr>
              <w:t>，项目固废产生情况详见表4-</w:t>
            </w:r>
            <w:r>
              <w:rPr>
                <w:rFonts w:hint="eastAsia"/>
                <w:color w:val="auto"/>
                <w:highlight w:val="none"/>
                <w:lang w:val="en-US" w:eastAsia="zh-CN"/>
              </w:rPr>
              <w:t>17、4-18</w:t>
            </w:r>
            <w:r>
              <w:rPr>
                <w:rFonts w:hint="default" w:eastAsia="宋体"/>
                <w:color w:val="auto"/>
                <w:highlight w:val="none"/>
              </w:rPr>
              <w:t>。</w:t>
            </w:r>
          </w:p>
          <w:p w14:paraId="3159EBD6">
            <w:pPr>
              <w:pStyle w:val="112"/>
              <w:keepNext w:val="0"/>
              <w:keepLines w:val="0"/>
              <w:pageBreakBefore w:val="0"/>
              <w:suppressLineNumbers w:val="0"/>
              <w:wordWrap/>
              <w:bidi w:val="0"/>
              <w:spacing w:before="0" w:beforeAutospacing="0" w:after="0" w:afterAutospacing="0" w:line="240" w:lineRule="auto"/>
              <w:ind w:left="0" w:leftChars="0" w:right="0"/>
              <w:rPr>
                <w:rFonts w:hint="default" w:ascii="Times New Roman" w:hAnsi="Times New Roman" w:eastAsia="宋体" w:cs="Times New Roman"/>
                <w:b/>
                <w:bCs/>
                <w:iCs/>
                <w:color w:val="auto"/>
                <w:kern w:val="0"/>
                <w:sz w:val="21"/>
                <w:szCs w:val="21"/>
                <w:highlight w:val="none"/>
                <w:lang w:val="en-US" w:eastAsia="zh-CN" w:bidi="ar-SA"/>
              </w:rPr>
            </w:pPr>
            <w:r>
              <w:rPr>
                <w:rFonts w:hint="default" w:ascii="Times New Roman" w:hAnsi="Times New Roman" w:eastAsia="宋体" w:cs="Times New Roman"/>
                <w:b/>
                <w:bCs/>
                <w:iCs/>
                <w:color w:val="auto"/>
                <w:kern w:val="0"/>
                <w:sz w:val="21"/>
                <w:szCs w:val="21"/>
                <w:highlight w:val="none"/>
                <w:lang w:val="en-US" w:eastAsia="zh-CN" w:bidi="ar-SA"/>
              </w:rPr>
              <w:t>表4-</w:t>
            </w:r>
            <w:r>
              <w:rPr>
                <w:rFonts w:hint="eastAsia" w:ascii="Times New Roman" w:cs="Times New Roman"/>
                <w:b/>
                <w:bCs/>
                <w:iCs/>
                <w:color w:val="auto"/>
                <w:kern w:val="0"/>
                <w:sz w:val="21"/>
                <w:szCs w:val="21"/>
                <w:highlight w:val="none"/>
                <w:lang w:val="en-US" w:eastAsia="zh-CN" w:bidi="ar-SA"/>
              </w:rPr>
              <w:t>17</w:t>
            </w:r>
            <w:r>
              <w:rPr>
                <w:rFonts w:hint="default" w:ascii="Times New Roman" w:hAnsi="Times New Roman" w:eastAsia="宋体" w:cs="Times New Roman"/>
                <w:b/>
                <w:bCs/>
                <w:iCs/>
                <w:color w:val="auto"/>
                <w:kern w:val="0"/>
                <w:sz w:val="21"/>
                <w:szCs w:val="21"/>
                <w:highlight w:val="none"/>
                <w:lang w:val="en-US" w:eastAsia="zh-CN" w:bidi="ar-SA"/>
              </w:rPr>
              <w:t xml:space="preserve">  本项目固废汇总表</w:t>
            </w:r>
          </w:p>
          <w:tbl>
            <w:tblPr>
              <w:tblStyle w:val="31"/>
              <w:tblW w:w="499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44"/>
              <w:gridCol w:w="1498"/>
              <w:gridCol w:w="1220"/>
              <w:gridCol w:w="1354"/>
              <w:gridCol w:w="1350"/>
              <w:gridCol w:w="1674"/>
            </w:tblGrid>
            <w:tr w14:paraId="7BB7CC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41" w:type="pct"/>
                  <w:vMerge w:val="restart"/>
                  <w:noWrap w:val="0"/>
                  <w:vAlign w:val="center"/>
                </w:tcPr>
                <w:p w14:paraId="4D2717F2">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eastAsia"/>
                      <w:b w:val="0"/>
                      <w:bCs w:val="0"/>
                      <w:color w:val="auto"/>
                      <w:szCs w:val="21"/>
                      <w:highlight w:val="none"/>
                      <w:lang w:val="en-US" w:eastAsia="zh-CN"/>
                    </w:rPr>
                  </w:pPr>
                  <w:r>
                    <w:rPr>
                      <w:rFonts w:hint="eastAsia"/>
                      <w:b w:val="0"/>
                      <w:bCs w:val="0"/>
                      <w:color w:val="auto"/>
                      <w:szCs w:val="21"/>
                      <w:highlight w:val="none"/>
                      <w:lang w:val="en-US" w:eastAsia="zh-CN"/>
                    </w:rPr>
                    <w:t>生产</w:t>
                  </w:r>
                </w:p>
                <w:p w14:paraId="034F3468">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b w:val="0"/>
                      <w:bCs w:val="0"/>
                      <w:color w:val="auto"/>
                      <w:szCs w:val="21"/>
                      <w:highlight w:val="none"/>
                    </w:rPr>
                  </w:pPr>
                  <w:r>
                    <w:rPr>
                      <w:rFonts w:hint="default"/>
                      <w:b w:val="0"/>
                      <w:bCs w:val="0"/>
                      <w:color w:val="auto"/>
                      <w:szCs w:val="21"/>
                      <w:highlight w:val="none"/>
                    </w:rPr>
                    <w:t>工序</w:t>
                  </w:r>
                </w:p>
              </w:tc>
              <w:tc>
                <w:tcPr>
                  <w:tcW w:w="920" w:type="pct"/>
                  <w:noWrap w:val="0"/>
                  <w:vAlign w:val="center"/>
                </w:tcPr>
                <w:p w14:paraId="34912467">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b w:val="0"/>
                      <w:bCs w:val="0"/>
                      <w:color w:val="auto"/>
                      <w:szCs w:val="21"/>
                      <w:highlight w:val="none"/>
                    </w:rPr>
                  </w:pPr>
                  <w:r>
                    <w:rPr>
                      <w:rFonts w:hint="default"/>
                      <w:b w:val="0"/>
                      <w:bCs w:val="0"/>
                      <w:color w:val="auto"/>
                      <w:szCs w:val="21"/>
                      <w:highlight w:val="none"/>
                    </w:rPr>
                    <w:t>固体废物名称</w:t>
                  </w:r>
                </w:p>
              </w:tc>
              <w:tc>
                <w:tcPr>
                  <w:tcW w:w="749" w:type="pct"/>
                  <w:noWrap w:val="0"/>
                  <w:vAlign w:val="center"/>
                </w:tcPr>
                <w:p w14:paraId="432809AA">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b w:val="0"/>
                      <w:bCs w:val="0"/>
                      <w:color w:val="auto"/>
                      <w:szCs w:val="21"/>
                      <w:highlight w:val="none"/>
                    </w:rPr>
                  </w:pPr>
                  <w:r>
                    <w:rPr>
                      <w:rFonts w:hint="default"/>
                      <w:b w:val="0"/>
                      <w:bCs w:val="0"/>
                      <w:color w:val="auto"/>
                      <w:szCs w:val="21"/>
                      <w:highlight w:val="none"/>
                    </w:rPr>
                    <w:t>固废</w:t>
                  </w:r>
                </w:p>
                <w:p w14:paraId="21ABF6A2">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b w:val="0"/>
                      <w:bCs w:val="0"/>
                      <w:color w:val="auto"/>
                      <w:szCs w:val="21"/>
                      <w:highlight w:val="none"/>
                    </w:rPr>
                  </w:pPr>
                  <w:r>
                    <w:rPr>
                      <w:rFonts w:hint="default"/>
                      <w:b w:val="0"/>
                      <w:bCs w:val="0"/>
                      <w:color w:val="auto"/>
                      <w:szCs w:val="21"/>
                      <w:highlight w:val="none"/>
                    </w:rPr>
                    <w:t>属性</w:t>
                  </w:r>
                </w:p>
              </w:tc>
              <w:tc>
                <w:tcPr>
                  <w:tcW w:w="831" w:type="pct"/>
                  <w:noWrap w:val="0"/>
                  <w:vAlign w:val="center"/>
                </w:tcPr>
                <w:p w14:paraId="7C05CFE3">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b w:val="0"/>
                      <w:bCs w:val="0"/>
                      <w:color w:val="auto"/>
                      <w:szCs w:val="21"/>
                      <w:highlight w:val="none"/>
                    </w:rPr>
                  </w:pPr>
                  <w:r>
                    <w:rPr>
                      <w:rFonts w:hint="default"/>
                      <w:b w:val="0"/>
                      <w:bCs w:val="0"/>
                      <w:color w:val="auto"/>
                      <w:szCs w:val="21"/>
                      <w:highlight w:val="none"/>
                    </w:rPr>
                    <w:t>固废代码</w:t>
                  </w:r>
                </w:p>
              </w:tc>
              <w:tc>
                <w:tcPr>
                  <w:tcW w:w="829" w:type="pct"/>
                  <w:noWrap w:val="0"/>
                  <w:vAlign w:val="center"/>
                </w:tcPr>
                <w:p w14:paraId="41DE5F4C">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b w:val="0"/>
                      <w:bCs w:val="0"/>
                      <w:color w:val="auto"/>
                      <w:szCs w:val="21"/>
                      <w:highlight w:val="none"/>
                    </w:rPr>
                  </w:pPr>
                  <w:r>
                    <w:rPr>
                      <w:rFonts w:hint="default"/>
                      <w:b w:val="0"/>
                      <w:bCs w:val="0"/>
                      <w:color w:val="auto"/>
                      <w:szCs w:val="21"/>
                      <w:highlight w:val="none"/>
                    </w:rPr>
                    <w:t>产生量</w:t>
                  </w:r>
                </w:p>
                <w:p w14:paraId="78260C7C">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b w:val="0"/>
                      <w:bCs w:val="0"/>
                      <w:color w:val="auto"/>
                      <w:szCs w:val="21"/>
                      <w:highlight w:val="none"/>
                    </w:rPr>
                  </w:pPr>
                  <w:r>
                    <w:rPr>
                      <w:rFonts w:hint="default"/>
                      <w:b w:val="0"/>
                      <w:bCs w:val="0"/>
                      <w:color w:val="auto"/>
                      <w:szCs w:val="21"/>
                      <w:highlight w:val="none"/>
                    </w:rPr>
                    <w:t>（t/a）</w:t>
                  </w:r>
                </w:p>
              </w:tc>
              <w:tc>
                <w:tcPr>
                  <w:tcW w:w="1028" w:type="pct"/>
                  <w:noWrap w:val="0"/>
                  <w:vAlign w:val="center"/>
                </w:tcPr>
                <w:p w14:paraId="49415653">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b w:val="0"/>
                      <w:bCs w:val="0"/>
                      <w:color w:val="auto"/>
                      <w:szCs w:val="21"/>
                      <w:highlight w:val="none"/>
                    </w:rPr>
                  </w:pPr>
                  <w:r>
                    <w:rPr>
                      <w:rFonts w:hint="default"/>
                      <w:b w:val="0"/>
                      <w:bCs w:val="0"/>
                      <w:color w:val="auto"/>
                      <w:szCs w:val="21"/>
                      <w:highlight w:val="none"/>
                    </w:rPr>
                    <w:t>最终</w:t>
                  </w:r>
                </w:p>
                <w:p w14:paraId="28820F9A">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b w:val="0"/>
                      <w:bCs w:val="0"/>
                      <w:color w:val="auto"/>
                      <w:szCs w:val="21"/>
                      <w:highlight w:val="none"/>
                    </w:rPr>
                  </w:pPr>
                  <w:r>
                    <w:rPr>
                      <w:rFonts w:hint="default"/>
                      <w:b w:val="0"/>
                      <w:bCs w:val="0"/>
                      <w:color w:val="auto"/>
                      <w:szCs w:val="21"/>
                      <w:highlight w:val="none"/>
                    </w:rPr>
                    <w:t>去向</w:t>
                  </w:r>
                </w:p>
              </w:tc>
            </w:tr>
            <w:tr w14:paraId="53E024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 w:hRule="atLeast"/>
                <w:jc w:val="center"/>
              </w:trPr>
              <w:tc>
                <w:tcPr>
                  <w:tcW w:w="641" w:type="pct"/>
                  <w:vMerge w:val="continue"/>
                  <w:noWrap w:val="0"/>
                  <w:vAlign w:val="center"/>
                </w:tcPr>
                <w:p w14:paraId="39A40775">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color w:val="auto"/>
                      <w:szCs w:val="21"/>
                      <w:highlight w:val="none"/>
                    </w:rPr>
                  </w:pPr>
                </w:p>
              </w:tc>
              <w:tc>
                <w:tcPr>
                  <w:tcW w:w="920" w:type="pct"/>
                  <w:noWrap w:val="0"/>
                  <w:vAlign w:val="center"/>
                </w:tcPr>
                <w:p w14:paraId="284C4774">
                  <w:pPr>
                    <w:keepNext w:val="0"/>
                    <w:keepLines w:val="0"/>
                    <w:pageBreakBefore w:val="0"/>
                    <w:suppressLineNumbers w:val="0"/>
                    <w:wordWrap/>
                    <w:bidi w:val="0"/>
                    <w:adjustRightInd w:val="0"/>
                    <w:snapToGrid w:val="0"/>
                    <w:spacing w:before="0" w:beforeAutospacing="0" w:after="0" w:afterAutospacing="0" w:line="240" w:lineRule="auto"/>
                    <w:ind w:left="0" w:leftChars="0" w:right="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不可利用废物</w:t>
                  </w:r>
                </w:p>
              </w:tc>
              <w:tc>
                <w:tcPr>
                  <w:tcW w:w="749" w:type="pct"/>
                  <w:noWrap w:val="0"/>
                  <w:vAlign w:val="center"/>
                </w:tcPr>
                <w:p w14:paraId="26E75EC4">
                  <w:pPr>
                    <w:keepNext w:val="0"/>
                    <w:keepLines w:val="0"/>
                    <w:pageBreakBefore w:val="0"/>
                    <w:suppressLineNumbers w:val="0"/>
                    <w:wordWrap/>
                    <w:bidi w:val="0"/>
                    <w:adjustRightInd w:val="0"/>
                    <w:snapToGrid w:val="0"/>
                    <w:spacing w:before="0" w:beforeAutospacing="0" w:after="0" w:afterAutospacing="0" w:line="240" w:lineRule="auto"/>
                    <w:ind w:left="0" w:leftChars="0" w:right="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一般固废</w:t>
                  </w:r>
                </w:p>
              </w:tc>
              <w:tc>
                <w:tcPr>
                  <w:tcW w:w="831" w:type="pct"/>
                  <w:noWrap w:val="0"/>
                  <w:vAlign w:val="center"/>
                </w:tcPr>
                <w:p w14:paraId="7AA6705D">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900-099-S17</w:t>
                  </w:r>
                </w:p>
              </w:tc>
              <w:tc>
                <w:tcPr>
                  <w:tcW w:w="829" w:type="pct"/>
                  <w:noWrap w:val="0"/>
                  <w:vAlign w:val="center"/>
                </w:tcPr>
                <w:p w14:paraId="322741BF">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eastAsia="宋体"/>
                      <w:b w:val="0"/>
                      <w:bCs w:val="0"/>
                      <w:color w:val="auto"/>
                      <w:szCs w:val="21"/>
                      <w:highlight w:val="none"/>
                      <w:lang w:val="en-US" w:eastAsia="zh-CN"/>
                    </w:rPr>
                  </w:pPr>
                  <w:r>
                    <w:rPr>
                      <w:rFonts w:hint="eastAsia" w:eastAsia="宋体"/>
                      <w:b w:val="0"/>
                      <w:bCs w:val="0"/>
                      <w:color w:val="auto"/>
                      <w:szCs w:val="21"/>
                      <w:highlight w:val="none"/>
                      <w:lang w:val="en-US" w:eastAsia="zh-CN"/>
                    </w:rPr>
                    <w:t>79.408t/a</w:t>
                  </w:r>
                </w:p>
              </w:tc>
              <w:tc>
                <w:tcPr>
                  <w:tcW w:w="1028" w:type="pct"/>
                  <w:noWrap w:val="0"/>
                  <w:vAlign w:val="center"/>
                </w:tcPr>
                <w:p w14:paraId="5299C8A0">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eastAsia" w:eastAsia="宋体"/>
                      <w:b w:val="0"/>
                      <w:bCs w:val="0"/>
                      <w:color w:val="auto"/>
                      <w:szCs w:val="21"/>
                      <w:highlight w:val="none"/>
                      <w:lang w:val="en-US" w:eastAsia="zh-CN"/>
                    </w:rPr>
                  </w:pPr>
                  <w:r>
                    <w:rPr>
                      <w:rFonts w:hint="eastAsia" w:eastAsia="宋体"/>
                      <w:b w:val="0"/>
                      <w:bCs w:val="0"/>
                      <w:color w:val="auto"/>
                      <w:szCs w:val="21"/>
                      <w:highlight w:val="none"/>
                      <w:lang w:val="en-US" w:eastAsia="zh-CN"/>
                    </w:rPr>
                    <w:t>外售至废品收购站，少量未收集与生活垃圾一起交由市政部门统一处理</w:t>
                  </w:r>
                </w:p>
              </w:tc>
            </w:tr>
            <w:tr w14:paraId="0C7941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41" w:type="pct"/>
                  <w:vMerge w:val="continue"/>
                  <w:noWrap w:val="0"/>
                  <w:vAlign w:val="center"/>
                </w:tcPr>
                <w:p w14:paraId="4E1AE933">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color w:val="auto"/>
                      <w:szCs w:val="21"/>
                      <w:highlight w:val="none"/>
                    </w:rPr>
                  </w:pPr>
                </w:p>
              </w:tc>
              <w:tc>
                <w:tcPr>
                  <w:tcW w:w="920" w:type="pct"/>
                  <w:noWrap w:val="0"/>
                  <w:vAlign w:val="center"/>
                </w:tcPr>
                <w:p w14:paraId="2A21452F">
                  <w:pPr>
                    <w:keepNext w:val="0"/>
                    <w:keepLines w:val="0"/>
                    <w:pageBreakBefore w:val="0"/>
                    <w:suppressLineNumbers w:val="0"/>
                    <w:wordWrap/>
                    <w:bidi w:val="0"/>
                    <w:adjustRightInd w:val="0"/>
                    <w:snapToGrid w:val="0"/>
                    <w:spacing w:before="0" w:beforeAutospacing="0" w:after="0" w:afterAutospacing="0" w:line="240" w:lineRule="auto"/>
                    <w:ind w:left="0" w:leftChars="0" w:right="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废布袋</w:t>
                  </w:r>
                </w:p>
              </w:tc>
              <w:tc>
                <w:tcPr>
                  <w:tcW w:w="749" w:type="pct"/>
                  <w:noWrap w:val="0"/>
                  <w:vAlign w:val="center"/>
                </w:tcPr>
                <w:p w14:paraId="30CB646E">
                  <w:pPr>
                    <w:keepNext w:val="0"/>
                    <w:keepLines w:val="0"/>
                    <w:pageBreakBefore w:val="0"/>
                    <w:suppressLineNumbers w:val="0"/>
                    <w:wordWrap/>
                    <w:bidi w:val="0"/>
                    <w:adjustRightInd w:val="0"/>
                    <w:snapToGrid w:val="0"/>
                    <w:spacing w:before="0" w:beforeAutospacing="0" w:after="0" w:afterAutospacing="0" w:line="240" w:lineRule="auto"/>
                    <w:ind w:left="0" w:leftChars="0" w:right="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一般固废</w:t>
                  </w:r>
                </w:p>
              </w:tc>
              <w:tc>
                <w:tcPr>
                  <w:tcW w:w="831" w:type="pct"/>
                  <w:noWrap w:val="0"/>
                  <w:vAlign w:val="center"/>
                </w:tcPr>
                <w:p w14:paraId="4AFF76A9">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900-099-S17</w:t>
                  </w:r>
                </w:p>
              </w:tc>
              <w:tc>
                <w:tcPr>
                  <w:tcW w:w="829" w:type="pct"/>
                  <w:noWrap w:val="0"/>
                  <w:vAlign w:val="center"/>
                </w:tcPr>
                <w:p w14:paraId="4A42C262">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b w:val="0"/>
                      <w:bCs w:val="0"/>
                      <w:color w:val="auto"/>
                      <w:szCs w:val="21"/>
                      <w:highlight w:val="none"/>
                      <w:lang w:val="en-US" w:eastAsia="zh-CN"/>
                    </w:rPr>
                  </w:pPr>
                  <w:r>
                    <w:rPr>
                      <w:rFonts w:hint="eastAsia"/>
                      <w:b w:val="0"/>
                      <w:bCs w:val="0"/>
                      <w:color w:val="auto"/>
                      <w:szCs w:val="21"/>
                      <w:highlight w:val="none"/>
                      <w:lang w:val="en-US" w:eastAsia="zh-CN"/>
                    </w:rPr>
                    <w:t>0.2t/2a</w:t>
                  </w:r>
                </w:p>
              </w:tc>
              <w:tc>
                <w:tcPr>
                  <w:tcW w:w="1028" w:type="pct"/>
                  <w:noWrap w:val="0"/>
                  <w:vAlign w:val="center"/>
                </w:tcPr>
                <w:p w14:paraId="534CB262">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由除尘器厂家检修后直接带走</w:t>
                  </w:r>
                </w:p>
              </w:tc>
            </w:tr>
            <w:tr w14:paraId="736C2F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41" w:type="pct"/>
                  <w:vMerge w:val="continue"/>
                  <w:noWrap w:val="0"/>
                  <w:vAlign w:val="center"/>
                </w:tcPr>
                <w:p w14:paraId="716E459C">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color w:val="auto"/>
                      <w:szCs w:val="21"/>
                      <w:highlight w:val="none"/>
                    </w:rPr>
                  </w:pPr>
                </w:p>
              </w:tc>
              <w:tc>
                <w:tcPr>
                  <w:tcW w:w="920" w:type="pct"/>
                  <w:noWrap w:val="0"/>
                  <w:vAlign w:val="center"/>
                </w:tcPr>
                <w:p w14:paraId="58840341">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铁屑及车间除尘器收尘</w:t>
                  </w:r>
                </w:p>
              </w:tc>
              <w:tc>
                <w:tcPr>
                  <w:tcW w:w="749" w:type="pct"/>
                  <w:noWrap w:val="0"/>
                  <w:vAlign w:val="center"/>
                </w:tcPr>
                <w:p w14:paraId="31727A60">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一般固废</w:t>
                  </w:r>
                </w:p>
              </w:tc>
              <w:tc>
                <w:tcPr>
                  <w:tcW w:w="831" w:type="pct"/>
                  <w:noWrap w:val="0"/>
                  <w:vAlign w:val="center"/>
                </w:tcPr>
                <w:p w14:paraId="3F291400">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900-099-S17</w:t>
                  </w:r>
                </w:p>
              </w:tc>
              <w:tc>
                <w:tcPr>
                  <w:tcW w:w="829" w:type="pct"/>
                  <w:noWrap w:val="0"/>
                  <w:vAlign w:val="center"/>
                </w:tcPr>
                <w:p w14:paraId="7B49A3A7">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eastAsia="宋体"/>
                      <w:b w:val="0"/>
                      <w:bCs w:val="0"/>
                      <w:color w:val="auto"/>
                      <w:szCs w:val="21"/>
                      <w:highlight w:val="none"/>
                      <w:lang w:val="en-US" w:eastAsia="zh-CN"/>
                    </w:rPr>
                  </w:pPr>
                  <w:r>
                    <w:rPr>
                      <w:rFonts w:hint="eastAsia"/>
                      <w:b w:val="0"/>
                      <w:bCs w:val="0"/>
                      <w:color w:val="auto"/>
                      <w:szCs w:val="21"/>
                      <w:highlight w:val="none"/>
                      <w:lang w:val="en-US" w:eastAsia="zh-CN"/>
                    </w:rPr>
                    <w:t>5</w:t>
                  </w:r>
                  <w:r>
                    <w:rPr>
                      <w:rFonts w:hint="eastAsia" w:eastAsia="宋体"/>
                      <w:b w:val="0"/>
                      <w:bCs w:val="0"/>
                      <w:color w:val="auto"/>
                      <w:szCs w:val="21"/>
                      <w:highlight w:val="none"/>
                      <w:lang w:val="en-US" w:eastAsia="zh-CN"/>
                    </w:rPr>
                    <w:t>.131t/a</w:t>
                  </w:r>
                </w:p>
              </w:tc>
              <w:tc>
                <w:tcPr>
                  <w:tcW w:w="1028" w:type="pct"/>
                  <w:vMerge w:val="restart"/>
                  <w:noWrap w:val="0"/>
                  <w:vAlign w:val="center"/>
                </w:tcPr>
                <w:p w14:paraId="1DBA90AF">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eastAsia" w:eastAsia="宋体"/>
                      <w:b w:val="0"/>
                      <w:bCs w:val="0"/>
                      <w:color w:val="auto"/>
                      <w:szCs w:val="21"/>
                      <w:highlight w:val="none"/>
                      <w:lang w:val="en-US" w:eastAsia="zh-CN"/>
                    </w:rPr>
                  </w:pPr>
                  <w:r>
                    <w:rPr>
                      <w:rFonts w:hint="eastAsia" w:eastAsia="宋体"/>
                      <w:b w:val="0"/>
                      <w:bCs w:val="0"/>
                      <w:color w:val="auto"/>
                      <w:szCs w:val="21"/>
                      <w:highlight w:val="none"/>
                      <w:lang w:val="en-US" w:eastAsia="zh-CN"/>
                    </w:rPr>
                    <w:t>集中收集后外售至废品回收站</w:t>
                  </w:r>
                </w:p>
              </w:tc>
            </w:tr>
            <w:tr w14:paraId="054600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41" w:type="pct"/>
                  <w:vMerge w:val="continue"/>
                  <w:noWrap w:val="0"/>
                  <w:vAlign w:val="center"/>
                </w:tcPr>
                <w:p w14:paraId="06DF3DBD">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color w:val="auto"/>
                      <w:szCs w:val="21"/>
                      <w:highlight w:val="none"/>
                    </w:rPr>
                  </w:pPr>
                </w:p>
              </w:tc>
              <w:tc>
                <w:tcPr>
                  <w:tcW w:w="920" w:type="pct"/>
                  <w:noWrap w:val="0"/>
                  <w:vAlign w:val="center"/>
                </w:tcPr>
                <w:p w14:paraId="26E59D0D">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废钢铁</w:t>
                  </w:r>
                </w:p>
              </w:tc>
              <w:tc>
                <w:tcPr>
                  <w:tcW w:w="749" w:type="pct"/>
                  <w:noWrap w:val="0"/>
                  <w:vAlign w:val="center"/>
                </w:tcPr>
                <w:p w14:paraId="4CD3854A">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一般固废</w:t>
                  </w:r>
                </w:p>
              </w:tc>
              <w:tc>
                <w:tcPr>
                  <w:tcW w:w="831" w:type="pct"/>
                  <w:noWrap w:val="0"/>
                  <w:vAlign w:val="center"/>
                </w:tcPr>
                <w:p w14:paraId="22192524">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900-001-S17</w:t>
                  </w:r>
                </w:p>
              </w:tc>
              <w:tc>
                <w:tcPr>
                  <w:tcW w:w="829" w:type="pct"/>
                  <w:noWrap w:val="0"/>
                  <w:vAlign w:val="center"/>
                </w:tcPr>
                <w:p w14:paraId="271524BE">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b w:val="0"/>
                      <w:bCs w:val="0"/>
                      <w:color w:val="auto"/>
                      <w:szCs w:val="21"/>
                      <w:highlight w:val="none"/>
                      <w:lang w:val="en-US" w:eastAsia="zh-CN"/>
                    </w:rPr>
                  </w:pPr>
                  <w:r>
                    <w:rPr>
                      <w:rFonts w:hint="eastAsia"/>
                      <w:b w:val="0"/>
                      <w:bCs w:val="0"/>
                      <w:color w:val="auto"/>
                      <w:szCs w:val="21"/>
                      <w:highlight w:val="none"/>
                      <w:lang w:val="en-US" w:eastAsia="zh-CN"/>
                    </w:rPr>
                    <w:t>2677.54t/a</w:t>
                  </w:r>
                </w:p>
              </w:tc>
              <w:tc>
                <w:tcPr>
                  <w:tcW w:w="1028" w:type="pct"/>
                  <w:vMerge w:val="continue"/>
                  <w:noWrap w:val="0"/>
                  <w:vAlign w:val="center"/>
                </w:tcPr>
                <w:p w14:paraId="222F1452">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0"/>
                      <w:sz w:val="21"/>
                      <w:szCs w:val="20"/>
                      <w:highlight w:val="none"/>
                      <w:lang w:val="en-US" w:eastAsia="zh-CN" w:bidi="ar-SA"/>
                    </w:rPr>
                  </w:pPr>
                </w:p>
              </w:tc>
            </w:tr>
            <w:tr w14:paraId="167AF3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41" w:type="pct"/>
                  <w:vMerge w:val="continue"/>
                  <w:noWrap w:val="0"/>
                  <w:vAlign w:val="center"/>
                </w:tcPr>
                <w:p w14:paraId="616AD277">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color w:val="auto"/>
                      <w:szCs w:val="21"/>
                      <w:highlight w:val="none"/>
                    </w:rPr>
                  </w:pPr>
                </w:p>
              </w:tc>
              <w:tc>
                <w:tcPr>
                  <w:tcW w:w="920" w:type="pct"/>
                  <w:shd w:val="clear" w:color="auto" w:fill="auto"/>
                  <w:noWrap w:val="0"/>
                  <w:vAlign w:val="center"/>
                </w:tcPr>
                <w:p w14:paraId="4759216E">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废离子交换树脂</w:t>
                  </w:r>
                </w:p>
              </w:tc>
              <w:tc>
                <w:tcPr>
                  <w:tcW w:w="749" w:type="pct"/>
                  <w:shd w:val="clear" w:color="auto" w:fill="auto"/>
                  <w:noWrap w:val="0"/>
                  <w:vAlign w:val="center"/>
                </w:tcPr>
                <w:p w14:paraId="55D23C6B">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一般固废</w:t>
                  </w:r>
                </w:p>
              </w:tc>
              <w:tc>
                <w:tcPr>
                  <w:tcW w:w="831" w:type="pct"/>
                  <w:shd w:val="clear" w:color="auto" w:fill="auto"/>
                  <w:noWrap w:val="0"/>
                  <w:vAlign w:val="center"/>
                </w:tcPr>
                <w:p w14:paraId="7F48C35B">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900-008-S59</w:t>
                  </w:r>
                </w:p>
              </w:tc>
              <w:tc>
                <w:tcPr>
                  <w:tcW w:w="829" w:type="pct"/>
                  <w:shd w:val="clear" w:color="auto" w:fill="auto"/>
                  <w:noWrap w:val="0"/>
                  <w:vAlign w:val="center"/>
                </w:tcPr>
                <w:p w14:paraId="7885709C">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eastAsia="宋体"/>
                      <w:b w:val="0"/>
                      <w:bCs w:val="0"/>
                      <w:color w:val="auto"/>
                      <w:szCs w:val="21"/>
                      <w:highlight w:val="none"/>
                      <w:lang w:val="en-US" w:eastAsia="zh-CN"/>
                    </w:rPr>
                  </w:pPr>
                  <w:r>
                    <w:rPr>
                      <w:rFonts w:hint="eastAsia" w:eastAsia="宋体"/>
                      <w:b w:val="0"/>
                      <w:bCs w:val="0"/>
                      <w:color w:val="auto"/>
                      <w:szCs w:val="21"/>
                      <w:highlight w:val="none"/>
                      <w:lang w:val="en-US" w:eastAsia="zh-CN"/>
                    </w:rPr>
                    <w:t>0.6t/a</w:t>
                  </w:r>
                </w:p>
              </w:tc>
              <w:tc>
                <w:tcPr>
                  <w:tcW w:w="1028" w:type="pct"/>
                  <w:noWrap w:val="0"/>
                  <w:vAlign w:val="center"/>
                </w:tcPr>
                <w:p w14:paraId="21D8F49B">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eastAsia" w:eastAsia="宋体"/>
                      <w:b w:val="0"/>
                      <w:bCs w:val="0"/>
                      <w:color w:val="auto"/>
                      <w:szCs w:val="21"/>
                      <w:highlight w:val="none"/>
                      <w:lang w:val="en-US" w:eastAsia="zh-CN"/>
                    </w:rPr>
                  </w:pPr>
                  <w:r>
                    <w:rPr>
                      <w:rFonts w:hint="default" w:eastAsia="宋体"/>
                      <w:b w:val="0"/>
                      <w:bCs w:val="0"/>
                      <w:color w:val="auto"/>
                      <w:szCs w:val="21"/>
                      <w:highlight w:val="none"/>
                      <w:lang w:val="en-US" w:eastAsia="zh-CN"/>
                    </w:rPr>
                    <w:t>更换后立即外运，不在锅炉房内存放，由厂家回收再生利用</w:t>
                  </w:r>
                </w:p>
              </w:tc>
            </w:tr>
            <w:tr w14:paraId="3C08BE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41" w:type="pct"/>
                  <w:vMerge w:val="continue"/>
                  <w:noWrap w:val="0"/>
                  <w:vAlign w:val="center"/>
                </w:tcPr>
                <w:p w14:paraId="0DAD593D">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color w:val="auto"/>
                      <w:szCs w:val="21"/>
                      <w:highlight w:val="none"/>
                    </w:rPr>
                  </w:pPr>
                </w:p>
              </w:tc>
              <w:tc>
                <w:tcPr>
                  <w:tcW w:w="920" w:type="pct"/>
                  <w:noWrap w:val="0"/>
                  <w:vAlign w:val="center"/>
                </w:tcPr>
                <w:p w14:paraId="36CBC721">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锅炉除尘灰和锅炉灰渣</w:t>
                  </w:r>
                </w:p>
              </w:tc>
              <w:tc>
                <w:tcPr>
                  <w:tcW w:w="749" w:type="pct"/>
                  <w:noWrap w:val="0"/>
                  <w:vAlign w:val="center"/>
                </w:tcPr>
                <w:p w14:paraId="156756D4">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eastAsia"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一般固废</w:t>
                  </w:r>
                </w:p>
              </w:tc>
              <w:tc>
                <w:tcPr>
                  <w:tcW w:w="831" w:type="pct"/>
                  <w:noWrap w:val="0"/>
                  <w:vAlign w:val="center"/>
                </w:tcPr>
                <w:p w14:paraId="5A6AFF79">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900-099-S59</w:t>
                  </w:r>
                </w:p>
              </w:tc>
              <w:tc>
                <w:tcPr>
                  <w:tcW w:w="829" w:type="pct"/>
                  <w:noWrap w:val="0"/>
                  <w:vAlign w:val="center"/>
                </w:tcPr>
                <w:p w14:paraId="78A932F2">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eastAsia="宋体"/>
                      <w:b w:val="0"/>
                      <w:bCs w:val="0"/>
                      <w:color w:val="auto"/>
                      <w:szCs w:val="21"/>
                      <w:highlight w:val="none"/>
                      <w:lang w:val="en-US" w:eastAsia="zh-CN"/>
                    </w:rPr>
                  </w:pPr>
                  <w:r>
                    <w:rPr>
                      <w:rFonts w:hint="eastAsia" w:eastAsia="宋体"/>
                      <w:b w:val="0"/>
                      <w:bCs w:val="0"/>
                      <w:color w:val="auto"/>
                      <w:szCs w:val="21"/>
                      <w:highlight w:val="none"/>
                      <w:lang w:val="en-US" w:eastAsia="zh-CN"/>
                    </w:rPr>
                    <w:t>76.384t/a</w:t>
                  </w:r>
                </w:p>
              </w:tc>
              <w:tc>
                <w:tcPr>
                  <w:tcW w:w="1028" w:type="pct"/>
                  <w:noWrap w:val="0"/>
                  <w:vAlign w:val="center"/>
                </w:tcPr>
                <w:p w14:paraId="3B040BEA">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eastAsia" w:eastAsia="宋体"/>
                      <w:b w:val="0"/>
                      <w:bCs w:val="0"/>
                      <w:color w:val="auto"/>
                      <w:szCs w:val="21"/>
                      <w:highlight w:val="none"/>
                      <w:lang w:val="en-US" w:eastAsia="zh-CN"/>
                    </w:rPr>
                  </w:pPr>
                  <w:r>
                    <w:rPr>
                      <w:rFonts w:hint="eastAsia" w:eastAsia="宋体"/>
                      <w:b w:val="0"/>
                      <w:bCs w:val="0"/>
                      <w:color w:val="auto"/>
                      <w:szCs w:val="21"/>
                      <w:highlight w:val="none"/>
                      <w:lang w:val="en-US" w:eastAsia="zh-CN"/>
                    </w:rPr>
                    <w:t>全部外售制肥综合利用</w:t>
                  </w:r>
                </w:p>
              </w:tc>
            </w:tr>
            <w:tr w14:paraId="21CE23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41" w:type="pct"/>
                  <w:vMerge w:val="continue"/>
                  <w:noWrap w:val="0"/>
                  <w:vAlign w:val="center"/>
                </w:tcPr>
                <w:p w14:paraId="1F2735BA">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color w:val="auto"/>
                      <w:szCs w:val="21"/>
                      <w:highlight w:val="none"/>
                    </w:rPr>
                  </w:pPr>
                </w:p>
              </w:tc>
              <w:tc>
                <w:tcPr>
                  <w:tcW w:w="920" w:type="pct"/>
                  <w:noWrap w:val="0"/>
                  <w:vAlign w:val="center"/>
                </w:tcPr>
                <w:p w14:paraId="1506CA00">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default" w:cs="Times New Roman"/>
                      <w:color w:val="auto"/>
                      <w:highlight w:val="none"/>
                      <w:lang w:val="en-US" w:eastAsia="zh-CN"/>
                    </w:rPr>
                  </w:pPr>
                  <w:r>
                    <w:rPr>
                      <w:rFonts w:hint="eastAsia" w:cs="Times New Roman"/>
                      <w:color w:val="auto"/>
                      <w:highlight w:val="none"/>
                      <w:lang w:val="en-US" w:eastAsia="zh-CN"/>
                    </w:rPr>
                    <w:t>废铅酸蓄电池</w:t>
                  </w:r>
                </w:p>
              </w:tc>
              <w:tc>
                <w:tcPr>
                  <w:tcW w:w="749" w:type="pct"/>
                  <w:noWrap w:val="0"/>
                  <w:vAlign w:val="center"/>
                </w:tcPr>
                <w:p w14:paraId="42D33148">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危险废物</w:t>
                  </w:r>
                </w:p>
              </w:tc>
              <w:tc>
                <w:tcPr>
                  <w:tcW w:w="831" w:type="pct"/>
                  <w:noWrap w:val="0"/>
                  <w:vAlign w:val="center"/>
                </w:tcPr>
                <w:p w14:paraId="274F02D1">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900-052-31</w:t>
                  </w:r>
                </w:p>
              </w:tc>
              <w:tc>
                <w:tcPr>
                  <w:tcW w:w="829" w:type="pct"/>
                  <w:noWrap w:val="0"/>
                  <w:vAlign w:val="center"/>
                </w:tcPr>
                <w:p w14:paraId="78F1451D">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b w:val="0"/>
                      <w:bCs w:val="0"/>
                      <w:color w:val="auto"/>
                      <w:szCs w:val="21"/>
                      <w:highlight w:val="none"/>
                      <w:lang w:val="en-US" w:eastAsia="zh-CN"/>
                    </w:rPr>
                  </w:pPr>
                  <w:r>
                    <w:rPr>
                      <w:rFonts w:hint="eastAsia"/>
                      <w:b w:val="0"/>
                      <w:bCs w:val="0"/>
                      <w:color w:val="auto"/>
                      <w:szCs w:val="21"/>
                      <w:highlight w:val="none"/>
                      <w:lang w:val="en-US" w:eastAsia="zh-CN"/>
                    </w:rPr>
                    <w:t>46.599t/a</w:t>
                  </w:r>
                </w:p>
              </w:tc>
              <w:tc>
                <w:tcPr>
                  <w:tcW w:w="1028" w:type="pct"/>
                  <w:vMerge w:val="restart"/>
                  <w:noWrap w:val="0"/>
                  <w:vAlign w:val="center"/>
                </w:tcPr>
                <w:p w14:paraId="01897898">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eastAsia" w:ascii="Times New Roman" w:hAnsi="Times New Roman" w:eastAsia="宋体" w:cs="Times New Roman"/>
                      <w:b w:val="0"/>
                      <w:bCs w:val="0"/>
                      <w:color w:val="auto"/>
                      <w:kern w:val="0"/>
                      <w:sz w:val="21"/>
                      <w:szCs w:val="21"/>
                      <w:highlight w:val="none"/>
                      <w:lang w:val="en-US" w:eastAsia="zh-CN" w:bidi="ar-SA"/>
                    </w:rPr>
                  </w:pPr>
                  <w:r>
                    <w:rPr>
                      <w:rFonts w:hint="default" w:cs="Times New Roman"/>
                      <w:color w:val="auto"/>
                      <w:kern w:val="0"/>
                      <w:sz w:val="21"/>
                      <w:szCs w:val="21"/>
                      <w:highlight w:val="none"/>
                      <w:lang w:val="en-US" w:eastAsia="zh-CN" w:bidi="ar-SA"/>
                    </w:rPr>
                    <w:t>暂存于</w:t>
                  </w:r>
                  <w:r>
                    <w:rPr>
                      <w:rFonts w:hint="eastAsia" w:cs="Times New Roman"/>
                      <w:color w:val="auto"/>
                      <w:kern w:val="0"/>
                      <w:sz w:val="21"/>
                      <w:szCs w:val="21"/>
                      <w:highlight w:val="none"/>
                      <w:lang w:val="en-US" w:eastAsia="zh-CN" w:bidi="ar-SA"/>
                    </w:rPr>
                    <w:t>危废贮存点</w:t>
                  </w:r>
                  <w:r>
                    <w:rPr>
                      <w:rFonts w:hint="default" w:cs="Times New Roman"/>
                      <w:color w:val="auto"/>
                      <w:kern w:val="0"/>
                      <w:sz w:val="21"/>
                      <w:szCs w:val="21"/>
                      <w:highlight w:val="none"/>
                      <w:lang w:val="en-US" w:eastAsia="zh-CN" w:bidi="ar-SA"/>
                    </w:rPr>
                    <w:t>，交由有危险废物处置资质单位处置</w:t>
                  </w:r>
                </w:p>
              </w:tc>
            </w:tr>
            <w:tr w14:paraId="3D5DDD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41" w:type="pct"/>
                  <w:vMerge w:val="continue"/>
                  <w:noWrap w:val="0"/>
                  <w:vAlign w:val="center"/>
                </w:tcPr>
                <w:p w14:paraId="6376747F">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color w:val="auto"/>
                      <w:szCs w:val="21"/>
                      <w:highlight w:val="none"/>
                    </w:rPr>
                  </w:pPr>
                </w:p>
              </w:tc>
              <w:tc>
                <w:tcPr>
                  <w:tcW w:w="920" w:type="pct"/>
                  <w:noWrap w:val="0"/>
                  <w:vAlign w:val="center"/>
                </w:tcPr>
                <w:p w14:paraId="56785183">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default" w:cs="Times New Roman"/>
                      <w:color w:val="auto"/>
                      <w:highlight w:val="none"/>
                      <w:lang w:val="en-US" w:eastAsia="zh-CN"/>
                    </w:rPr>
                  </w:pPr>
                  <w:r>
                    <w:rPr>
                      <w:rFonts w:hint="eastAsia" w:cs="Times New Roman"/>
                      <w:color w:val="auto"/>
                      <w:highlight w:val="none"/>
                      <w:lang w:val="en-US" w:eastAsia="zh-CN"/>
                    </w:rPr>
                    <w:t>废油液及油泥</w:t>
                  </w:r>
                </w:p>
              </w:tc>
              <w:tc>
                <w:tcPr>
                  <w:tcW w:w="749" w:type="pct"/>
                  <w:noWrap w:val="0"/>
                  <w:vAlign w:val="center"/>
                </w:tcPr>
                <w:p w14:paraId="7B63B13E">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eastAsia"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危险废物</w:t>
                  </w:r>
                </w:p>
              </w:tc>
              <w:tc>
                <w:tcPr>
                  <w:tcW w:w="831" w:type="pct"/>
                  <w:noWrap w:val="0"/>
                  <w:vAlign w:val="center"/>
                </w:tcPr>
                <w:p w14:paraId="5893A953">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900-199-08</w:t>
                  </w:r>
                </w:p>
              </w:tc>
              <w:tc>
                <w:tcPr>
                  <w:tcW w:w="829" w:type="pct"/>
                  <w:noWrap w:val="0"/>
                  <w:vAlign w:val="center"/>
                </w:tcPr>
                <w:p w14:paraId="232DE2E0">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b w:val="0"/>
                      <w:bCs w:val="0"/>
                      <w:color w:val="auto"/>
                      <w:szCs w:val="21"/>
                      <w:highlight w:val="none"/>
                      <w:lang w:val="en-US" w:eastAsia="zh-CN"/>
                    </w:rPr>
                  </w:pPr>
                  <w:r>
                    <w:rPr>
                      <w:rFonts w:hint="eastAsia"/>
                      <w:b w:val="0"/>
                      <w:bCs w:val="0"/>
                      <w:color w:val="auto"/>
                      <w:szCs w:val="21"/>
                      <w:highlight w:val="none"/>
                      <w:lang w:val="en-US" w:eastAsia="zh-CN"/>
                    </w:rPr>
                    <w:t>33.285t/a</w:t>
                  </w:r>
                </w:p>
              </w:tc>
              <w:tc>
                <w:tcPr>
                  <w:tcW w:w="1028" w:type="pct"/>
                  <w:vMerge w:val="continue"/>
                  <w:noWrap w:val="0"/>
                  <w:vAlign w:val="center"/>
                </w:tcPr>
                <w:p w14:paraId="06D20A30">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eastAsia" w:ascii="Times New Roman" w:hAnsi="Times New Roman" w:eastAsia="宋体" w:cs="Times New Roman"/>
                      <w:b w:val="0"/>
                      <w:bCs w:val="0"/>
                      <w:color w:val="auto"/>
                      <w:kern w:val="0"/>
                      <w:sz w:val="21"/>
                      <w:szCs w:val="21"/>
                      <w:highlight w:val="none"/>
                      <w:lang w:val="en-US" w:eastAsia="zh-CN" w:bidi="ar-SA"/>
                    </w:rPr>
                  </w:pPr>
                </w:p>
              </w:tc>
            </w:tr>
            <w:tr w14:paraId="2B4639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41" w:type="pct"/>
                  <w:vMerge w:val="continue"/>
                  <w:noWrap w:val="0"/>
                  <w:vAlign w:val="center"/>
                </w:tcPr>
                <w:p w14:paraId="04F13362">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color w:val="auto"/>
                      <w:szCs w:val="21"/>
                      <w:highlight w:val="none"/>
                    </w:rPr>
                  </w:pPr>
                </w:p>
              </w:tc>
              <w:tc>
                <w:tcPr>
                  <w:tcW w:w="920" w:type="pct"/>
                  <w:noWrap w:val="0"/>
                  <w:vAlign w:val="center"/>
                </w:tcPr>
                <w:p w14:paraId="1F0BCC26">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default" w:cs="Times New Roman"/>
                      <w:color w:val="auto"/>
                      <w:highlight w:val="none"/>
                      <w:lang w:val="en-US" w:eastAsia="zh-CN"/>
                    </w:rPr>
                  </w:pPr>
                  <w:r>
                    <w:rPr>
                      <w:rFonts w:hint="eastAsia" w:cs="Times New Roman"/>
                      <w:color w:val="auto"/>
                      <w:highlight w:val="none"/>
                      <w:lang w:val="en-US" w:eastAsia="zh-CN"/>
                    </w:rPr>
                    <w:t>含油抹布及手套</w:t>
                  </w:r>
                </w:p>
              </w:tc>
              <w:tc>
                <w:tcPr>
                  <w:tcW w:w="749" w:type="pct"/>
                  <w:noWrap w:val="0"/>
                  <w:vAlign w:val="center"/>
                </w:tcPr>
                <w:p w14:paraId="35C82074">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eastAsia"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危险废物</w:t>
                  </w:r>
                </w:p>
              </w:tc>
              <w:tc>
                <w:tcPr>
                  <w:tcW w:w="831" w:type="pct"/>
                  <w:noWrap w:val="0"/>
                  <w:vAlign w:val="center"/>
                </w:tcPr>
                <w:p w14:paraId="0CEBCEF8">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900-041-49</w:t>
                  </w:r>
                </w:p>
              </w:tc>
              <w:tc>
                <w:tcPr>
                  <w:tcW w:w="829" w:type="pct"/>
                  <w:noWrap w:val="0"/>
                  <w:vAlign w:val="center"/>
                </w:tcPr>
                <w:p w14:paraId="42C6581D">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b w:val="0"/>
                      <w:bCs w:val="0"/>
                      <w:color w:val="auto"/>
                      <w:szCs w:val="21"/>
                      <w:highlight w:val="none"/>
                      <w:lang w:val="en-US" w:eastAsia="zh-CN"/>
                    </w:rPr>
                  </w:pPr>
                  <w:r>
                    <w:rPr>
                      <w:rFonts w:hint="eastAsia"/>
                      <w:b w:val="0"/>
                      <w:bCs w:val="0"/>
                      <w:color w:val="auto"/>
                      <w:szCs w:val="21"/>
                      <w:highlight w:val="none"/>
                      <w:lang w:val="en-US" w:eastAsia="zh-CN"/>
                    </w:rPr>
                    <w:t>1t/a</w:t>
                  </w:r>
                </w:p>
              </w:tc>
              <w:tc>
                <w:tcPr>
                  <w:tcW w:w="1028" w:type="pct"/>
                  <w:vMerge w:val="continue"/>
                  <w:noWrap w:val="0"/>
                  <w:vAlign w:val="center"/>
                </w:tcPr>
                <w:p w14:paraId="09CFA747">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eastAsia" w:ascii="Times New Roman" w:hAnsi="Times New Roman" w:eastAsia="宋体" w:cs="Times New Roman"/>
                      <w:b w:val="0"/>
                      <w:bCs w:val="0"/>
                      <w:color w:val="auto"/>
                      <w:kern w:val="0"/>
                      <w:sz w:val="21"/>
                      <w:szCs w:val="21"/>
                      <w:highlight w:val="none"/>
                      <w:lang w:val="en-US" w:eastAsia="zh-CN" w:bidi="ar-SA"/>
                    </w:rPr>
                  </w:pPr>
                </w:p>
              </w:tc>
            </w:tr>
            <w:tr w14:paraId="32BB10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41" w:type="pct"/>
                  <w:vMerge w:val="continue"/>
                  <w:noWrap w:val="0"/>
                  <w:vAlign w:val="center"/>
                </w:tcPr>
                <w:p w14:paraId="4BE52FDF">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color w:val="auto"/>
                      <w:szCs w:val="21"/>
                      <w:highlight w:val="none"/>
                    </w:rPr>
                  </w:pPr>
                </w:p>
              </w:tc>
              <w:tc>
                <w:tcPr>
                  <w:tcW w:w="920" w:type="pct"/>
                  <w:noWrap w:val="0"/>
                  <w:vAlign w:val="center"/>
                </w:tcPr>
                <w:p w14:paraId="6F425E2A">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default" w:cs="Times New Roman"/>
                      <w:color w:val="auto"/>
                      <w:highlight w:val="none"/>
                      <w:lang w:val="en-US" w:eastAsia="zh-CN"/>
                    </w:rPr>
                  </w:pPr>
                  <w:r>
                    <w:rPr>
                      <w:rFonts w:hint="eastAsia" w:cs="Times New Roman"/>
                      <w:color w:val="auto"/>
                      <w:highlight w:val="none"/>
                      <w:lang w:val="en-US" w:eastAsia="zh-CN"/>
                    </w:rPr>
                    <w:t>废活性炭</w:t>
                  </w:r>
                </w:p>
              </w:tc>
              <w:tc>
                <w:tcPr>
                  <w:tcW w:w="749" w:type="pct"/>
                  <w:noWrap w:val="0"/>
                  <w:vAlign w:val="center"/>
                </w:tcPr>
                <w:p w14:paraId="76964F0E">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危险废物</w:t>
                  </w:r>
                </w:p>
              </w:tc>
              <w:tc>
                <w:tcPr>
                  <w:tcW w:w="831" w:type="pct"/>
                  <w:noWrap w:val="0"/>
                  <w:vAlign w:val="center"/>
                </w:tcPr>
                <w:p w14:paraId="2A8C8647">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900-039-49</w:t>
                  </w:r>
                </w:p>
              </w:tc>
              <w:tc>
                <w:tcPr>
                  <w:tcW w:w="829" w:type="pct"/>
                  <w:noWrap w:val="0"/>
                  <w:vAlign w:val="center"/>
                </w:tcPr>
                <w:p w14:paraId="46F45652">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b w:val="0"/>
                      <w:bCs w:val="0"/>
                      <w:color w:val="auto"/>
                      <w:szCs w:val="21"/>
                      <w:highlight w:val="none"/>
                      <w:lang w:val="en-US" w:eastAsia="zh-CN"/>
                    </w:rPr>
                  </w:pPr>
                  <w:r>
                    <w:rPr>
                      <w:rFonts w:hint="eastAsia"/>
                      <w:b w:val="0"/>
                      <w:bCs w:val="0"/>
                      <w:color w:val="auto"/>
                      <w:szCs w:val="21"/>
                      <w:highlight w:val="none"/>
                      <w:lang w:val="en-US" w:eastAsia="zh-CN"/>
                    </w:rPr>
                    <w:t>0.027t/a</w:t>
                  </w:r>
                </w:p>
              </w:tc>
              <w:tc>
                <w:tcPr>
                  <w:tcW w:w="1028" w:type="pct"/>
                  <w:vMerge w:val="continue"/>
                  <w:noWrap w:val="0"/>
                  <w:vAlign w:val="center"/>
                </w:tcPr>
                <w:p w14:paraId="72439449">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eastAsia" w:ascii="Times New Roman" w:hAnsi="Times New Roman" w:eastAsia="宋体" w:cs="Times New Roman"/>
                      <w:b w:val="0"/>
                      <w:bCs w:val="0"/>
                      <w:color w:val="auto"/>
                      <w:kern w:val="0"/>
                      <w:sz w:val="21"/>
                      <w:szCs w:val="21"/>
                      <w:highlight w:val="none"/>
                      <w:lang w:val="en-US" w:eastAsia="zh-CN" w:bidi="ar-SA"/>
                    </w:rPr>
                  </w:pPr>
                </w:p>
              </w:tc>
            </w:tr>
            <w:tr w14:paraId="3FA073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41" w:type="pct"/>
                  <w:vMerge w:val="continue"/>
                  <w:noWrap w:val="0"/>
                  <w:vAlign w:val="center"/>
                </w:tcPr>
                <w:p w14:paraId="03C22A1F">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color w:val="auto"/>
                      <w:szCs w:val="21"/>
                      <w:highlight w:val="none"/>
                    </w:rPr>
                  </w:pPr>
                </w:p>
              </w:tc>
              <w:tc>
                <w:tcPr>
                  <w:tcW w:w="920" w:type="pct"/>
                  <w:noWrap w:val="0"/>
                  <w:vAlign w:val="center"/>
                </w:tcPr>
                <w:p w14:paraId="01823A5A">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废防冻液</w:t>
                  </w:r>
                </w:p>
              </w:tc>
              <w:tc>
                <w:tcPr>
                  <w:tcW w:w="749" w:type="pct"/>
                  <w:noWrap w:val="0"/>
                  <w:vAlign w:val="center"/>
                </w:tcPr>
                <w:p w14:paraId="420B17C3">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eastAsia"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危险废物</w:t>
                  </w:r>
                </w:p>
              </w:tc>
              <w:tc>
                <w:tcPr>
                  <w:tcW w:w="831" w:type="pct"/>
                  <w:noWrap w:val="0"/>
                  <w:vAlign w:val="center"/>
                </w:tcPr>
                <w:p w14:paraId="6F26D9B4">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900-404-06</w:t>
                  </w:r>
                </w:p>
              </w:tc>
              <w:tc>
                <w:tcPr>
                  <w:tcW w:w="829" w:type="pct"/>
                  <w:noWrap w:val="0"/>
                  <w:vAlign w:val="center"/>
                </w:tcPr>
                <w:p w14:paraId="5B89F1A9">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2.378t/a</w:t>
                  </w:r>
                </w:p>
              </w:tc>
              <w:tc>
                <w:tcPr>
                  <w:tcW w:w="1028" w:type="pct"/>
                  <w:vMerge w:val="continue"/>
                  <w:noWrap w:val="0"/>
                  <w:vAlign w:val="center"/>
                </w:tcPr>
                <w:p w14:paraId="755EF646">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eastAsia" w:ascii="Times New Roman" w:hAnsi="Times New Roman" w:eastAsia="宋体" w:cs="Times New Roman"/>
                      <w:b w:val="0"/>
                      <w:bCs w:val="0"/>
                      <w:color w:val="auto"/>
                      <w:kern w:val="0"/>
                      <w:sz w:val="21"/>
                      <w:szCs w:val="21"/>
                      <w:highlight w:val="none"/>
                      <w:lang w:val="en-US" w:eastAsia="zh-CN" w:bidi="ar-SA"/>
                    </w:rPr>
                  </w:pPr>
                </w:p>
              </w:tc>
            </w:tr>
            <w:tr w14:paraId="080B46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41" w:type="pct"/>
                  <w:vMerge w:val="continue"/>
                  <w:noWrap w:val="0"/>
                  <w:vAlign w:val="center"/>
                </w:tcPr>
                <w:p w14:paraId="1250FB14">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color w:val="auto"/>
                      <w:szCs w:val="21"/>
                      <w:highlight w:val="none"/>
                    </w:rPr>
                  </w:pPr>
                </w:p>
              </w:tc>
              <w:tc>
                <w:tcPr>
                  <w:tcW w:w="920" w:type="pct"/>
                  <w:noWrap w:val="0"/>
                  <w:vAlign w:val="center"/>
                </w:tcPr>
                <w:p w14:paraId="5461DB5E">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废电路板</w:t>
                  </w:r>
                </w:p>
              </w:tc>
              <w:tc>
                <w:tcPr>
                  <w:tcW w:w="749" w:type="pct"/>
                  <w:noWrap w:val="0"/>
                  <w:vAlign w:val="center"/>
                </w:tcPr>
                <w:p w14:paraId="3AB2A205">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危险废物</w:t>
                  </w:r>
                </w:p>
              </w:tc>
              <w:tc>
                <w:tcPr>
                  <w:tcW w:w="831" w:type="pct"/>
                  <w:noWrap w:val="0"/>
                  <w:vAlign w:val="center"/>
                </w:tcPr>
                <w:p w14:paraId="561E858C">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900-045-49</w:t>
                  </w:r>
                </w:p>
              </w:tc>
              <w:tc>
                <w:tcPr>
                  <w:tcW w:w="829" w:type="pct"/>
                  <w:noWrap w:val="0"/>
                  <w:vAlign w:val="center"/>
                </w:tcPr>
                <w:p w14:paraId="5E992C59">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b w:val="0"/>
                      <w:bCs w:val="0"/>
                      <w:color w:val="auto"/>
                      <w:szCs w:val="21"/>
                      <w:highlight w:val="none"/>
                      <w:lang w:val="en-US" w:eastAsia="zh-CN"/>
                    </w:rPr>
                  </w:pPr>
                  <w:r>
                    <w:rPr>
                      <w:rFonts w:hint="eastAsia"/>
                      <w:b w:val="0"/>
                      <w:bCs w:val="0"/>
                      <w:color w:val="auto"/>
                      <w:szCs w:val="21"/>
                      <w:highlight w:val="none"/>
                      <w:lang w:val="en-US" w:eastAsia="zh-CN"/>
                    </w:rPr>
                    <w:t>2.853t/a</w:t>
                  </w:r>
                </w:p>
              </w:tc>
              <w:tc>
                <w:tcPr>
                  <w:tcW w:w="1028" w:type="pct"/>
                  <w:vMerge w:val="continue"/>
                  <w:noWrap w:val="0"/>
                  <w:vAlign w:val="center"/>
                </w:tcPr>
                <w:p w14:paraId="303AF5BA">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eastAsia" w:ascii="Times New Roman" w:hAnsi="Times New Roman" w:eastAsia="宋体" w:cs="Times New Roman"/>
                      <w:b w:val="0"/>
                      <w:bCs w:val="0"/>
                      <w:color w:val="auto"/>
                      <w:kern w:val="0"/>
                      <w:sz w:val="21"/>
                      <w:szCs w:val="21"/>
                      <w:highlight w:val="none"/>
                      <w:lang w:val="en-US" w:eastAsia="zh-CN" w:bidi="ar-SA"/>
                    </w:rPr>
                  </w:pPr>
                </w:p>
              </w:tc>
            </w:tr>
            <w:tr w14:paraId="1FACF1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6" w:hRule="atLeast"/>
                <w:jc w:val="center"/>
              </w:trPr>
              <w:tc>
                <w:tcPr>
                  <w:tcW w:w="641" w:type="pct"/>
                  <w:noWrap w:val="0"/>
                  <w:vAlign w:val="center"/>
                </w:tcPr>
                <w:p w14:paraId="31AFE783">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eastAsia"/>
                      <w:color w:val="auto"/>
                      <w:szCs w:val="21"/>
                      <w:highlight w:val="none"/>
                      <w:lang w:val="en-US" w:eastAsia="zh-CN"/>
                    </w:rPr>
                  </w:pPr>
                  <w:r>
                    <w:rPr>
                      <w:rFonts w:hint="eastAsia"/>
                      <w:color w:val="auto"/>
                      <w:szCs w:val="21"/>
                      <w:highlight w:val="none"/>
                      <w:lang w:val="en-US" w:eastAsia="zh-CN"/>
                    </w:rPr>
                    <w:t>员工</w:t>
                  </w:r>
                </w:p>
                <w:p w14:paraId="30274C31">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color w:val="auto"/>
                      <w:szCs w:val="21"/>
                      <w:highlight w:val="none"/>
                    </w:rPr>
                  </w:pPr>
                  <w:r>
                    <w:rPr>
                      <w:rFonts w:hint="default"/>
                      <w:color w:val="auto"/>
                      <w:szCs w:val="21"/>
                      <w:highlight w:val="none"/>
                    </w:rPr>
                    <w:t>生活</w:t>
                  </w:r>
                </w:p>
              </w:tc>
              <w:tc>
                <w:tcPr>
                  <w:tcW w:w="920" w:type="pct"/>
                  <w:noWrap w:val="0"/>
                  <w:vAlign w:val="center"/>
                </w:tcPr>
                <w:p w14:paraId="19B9BC5C">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color w:val="auto"/>
                      <w:szCs w:val="21"/>
                      <w:highlight w:val="none"/>
                    </w:rPr>
                  </w:pPr>
                  <w:r>
                    <w:rPr>
                      <w:rFonts w:hint="default"/>
                      <w:color w:val="auto"/>
                      <w:szCs w:val="21"/>
                      <w:highlight w:val="none"/>
                    </w:rPr>
                    <w:t>生活垃圾</w:t>
                  </w:r>
                </w:p>
              </w:tc>
              <w:tc>
                <w:tcPr>
                  <w:tcW w:w="749" w:type="pct"/>
                  <w:noWrap w:val="0"/>
                  <w:vAlign w:val="center"/>
                </w:tcPr>
                <w:p w14:paraId="1F4BDC5B">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color w:val="auto"/>
                      <w:szCs w:val="21"/>
                      <w:highlight w:val="none"/>
                    </w:rPr>
                  </w:pPr>
                  <w:r>
                    <w:rPr>
                      <w:rFonts w:hint="default"/>
                      <w:color w:val="auto"/>
                      <w:szCs w:val="21"/>
                      <w:highlight w:val="none"/>
                    </w:rPr>
                    <w:t>一般固废</w:t>
                  </w:r>
                </w:p>
              </w:tc>
              <w:tc>
                <w:tcPr>
                  <w:tcW w:w="831" w:type="pct"/>
                  <w:noWrap w:val="0"/>
                  <w:vAlign w:val="center"/>
                </w:tcPr>
                <w:p w14:paraId="63AC8010">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eastAsia" w:eastAsia="宋体"/>
                      <w:color w:val="auto"/>
                      <w:szCs w:val="21"/>
                      <w:highlight w:val="none"/>
                      <w:lang w:val="en-US" w:eastAsia="zh-CN"/>
                    </w:rPr>
                  </w:pPr>
                  <w:r>
                    <w:rPr>
                      <w:rFonts w:hint="eastAsia"/>
                      <w:color w:val="auto"/>
                      <w:szCs w:val="21"/>
                      <w:highlight w:val="none"/>
                      <w:lang w:val="en-US" w:eastAsia="zh-CN"/>
                    </w:rPr>
                    <w:t>/</w:t>
                  </w:r>
                </w:p>
              </w:tc>
              <w:tc>
                <w:tcPr>
                  <w:tcW w:w="829" w:type="pct"/>
                  <w:noWrap w:val="0"/>
                  <w:vAlign w:val="center"/>
                </w:tcPr>
                <w:p w14:paraId="4DB46F0F">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1.5</w:t>
                  </w:r>
                  <w:r>
                    <w:rPr>
                      <w:rFonts w:hint="default" w:ascii="Times New Roman" w:hAnsi="Times New Roman" w:eastAsia="宋体" w:cs="Times New Roman"/>
                      <w:b w:val="0"/>
                      <w:bCs w:val="0"/>
                      <w:color w:val="auto"/>
                      <w:kern w:val="0"/>
                      <w:sz w:val="21"/>
                      <w:szCs w:val="21"/>
                      <w:highlight w:val="none"/>
                      <w:lang w:val="en-US" w:eastAsia="zh-CN" w:bidi="ar-SA"/>
                    </w:rPr>
                    <w:t>t/a</w:t>
                  </w:r>
                </w:p>
              </w:tc>
              <w:tc>
                <w:tcPr>
                  <w:tcW w:w="1028" w:type="pct"/>
                  <w:noWrap w:val="0"/>
                  <w:vAlign w:val="center"/>
                </w:tcPr>
                <w:p w14:paraId="46A211A2">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由市政环卫部门统一处理</w:t>
                  </w:r>
                </w:p>
              </w:tc>
            </w:tr>
          </w:tbl>
          <w:p w14:paraId="099B327B">
            <w:pPr>
              <w:jc w:val="center"/>
              <w:rPr>
                <w:b/>
                <w:bCs/>
                <w:iCs/>
                <w:color w:val="auto"/>
                <w:kern w:val="0"/>
                <w:szCs w:val="21"/>
              </w:rPr>
            </w:pPr>
            <w:r>
              <w:rPr>
                <w:b/>
                <w:bCs/>
                <w:iCs/>
                <w:color w:val="auto"/>
                <w:kern w:val="0"/>
                <w:szCs w:val="21"/>
              </w:rPr>
              <w:t>表</w:t>
            </w:r>
            <w:r>
              <w:rPr>
                <w:rFonts w:hint="eastAsia"/>
                <w:b/>
                <w:bCs/>
                <w:iCs/>
                <w:color w:val="auto"/>
                <w:kern w:val="0"/>
                <w:szCs w:val="21"/>
              </w:rPr>
              <w:t>4-1</w:t>
            </w:r>
            <w:r>
              <w:rPr>
                <w:rFonts w:hint="eastAsia"/>
                <w:b/>
                <w:bCs/>
                <w:iCs/>
                <w:color w:val="auto"/>
                <w:kern w:val="0"/>
                <w:szCs w:val="21"/>
                <w:lang w:val="en-US" w:eastAsia="zh-CN"/>
              </w:rPr>
              <w:t>8</w:t>
            </w:r>
            <w:r>
              <w:rPr>
                <w:rFonts w:hint="eastAsia"/>
                <w:b/>
                <w:bCs/>
                <w:iCs/>
                <w:color w:val="auto"/>
                <w:kern w:val="0"/>
                <w:szCs w:val="21"/>
              </w:rPr>
              <w:t xml:space="preserve">  </w:t>
            </w:r>
            <w:r>
              <w:rPr>
                <w:b/>
                <w:bCs/>
                <w:iCs/>
                <w:color w:val="auto"/>
                <w:kern w:val="0"/>
                <w:szCs w:val="21"/>
              </w:rPr>
              <w:t>本项目危险废物产生量及处置情况表</w:t>
            </w:r>
          </w:p>
          <w:tbl>
            <w:tblPr>
              <w:tblStyle w:val="31"/>
              <w:tblW w:w="499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0"/>
              <w:gridCol w:w="688"/>
              <w:gridCol w:w="1043"/>
              <w:gridCol w:w="1252"/>
              <w:gridCol w:w="731"/>
              <w:gridCol w:w="953"/>
              <w:gridCol w:w="417"/>
              <w:gridCol w:w="849"/>
              <w:gridCol w:w="625"/>
              <w:gridCol w:w="536"/>
              <w:gridCol w:w="636"/>
            </w:tblGrid>
            <w:tr w14:paraId="147661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5" w:hRule="atLeast"/>
                <w:jc w:val="center"/>
              </w:trPr>
              <w:tc>
                <w:tcPr>
                  <w:tcW w:w="251" w:type="pct"/>
                  <w:vAlign w:val="center"/>
                </w:tcPr>
                <w:p w14:paraId="417ECFE2">
                  <w:pPr>
                    <w:topLinePunct/>
                    <w:spacing w:line="360" w:lineRule="auto"/>
                    <w:jc w:val="center"/>
                    <w:rPr>
                      <w:color w:val="auto"/>
                      <w:kern w:val="0"/>
                      <w:sz w:val="21"/>
                      <w:szCs w:val="21"/>
                      <w:lang w:val="en-GB"/>
                    </w:rPr>
                  </w:pPr>
                  <w:r>
                    <w:rPr>
                      <w:color w:val="auto"/>
                      <w:kern w:val="0"/>
                      <w:sz w:val="21"/>
                      <w:szCs w:val="21"/>
                      <w:lang w:val="en-GB"/>
                    </w:rPr>
                    <w:t>序号</w:t>
                  </w:r>
                </w:p>
              </w:tc>
              <w:tc>
                <w:tcPr>
                  <w:tcW w:w="422" w:type="pct"/>
                  <w:vAlign w:val="center"/>
                </w:tcPr>
                <w:p w14:paraId="4D6291FF">
                  <w:pPr>
                    <w:topLinePunct/>
                    <w:spacing w:line="360" w:lineRule="auto"/>
                    <w:jc w:val="center"/>
                    <w:rPr>
                      <w:color w:val="auto"/>
                      <w:kern w:val="0"/>
                      <w:sz w:val="21"/>
                      <w:szCs w:val="21"/>
                      <w:lang w:val="en-GB"/>
                    </w:rPr>
                  </w:pPr>
                  <w:r>
                    <w:rPr>
                      <w:color w:val="auto"/>
                      <w:kern w:val="0"/>
                      <w:sz w:val="21"/>
                      <w:szCs w:val="21"/>
                      <w:lang w:val="en-GB"/>
                    </w:rPr>
                    <w:t>危险废物名称</w:t>
                  </w:r>
                </w:p>
              </w:tc>
              <w:tc>
                <w:tcPr>
                  <w:tcW w:w="640" w:type="pct"/>
                  <w:vAlign w:val="center"/>
                </w:tcPr>
                <w:p w14:paraId="5516A3AF">
                  <w:pPr>
                    <w:topLinePunct/>
                    <w:spacing w:line="360" w:lineRule="auto"/>
                    <w:jc w:val="center"/>
                    <w:rPr>
                      <w:color w:val="auto"/>
                      <w:kern w:val="0"/>
                      <w:sz w:val="21"/>
                      <w:szCs w:val="21"/>
                      <w:lang w:val="en-GB"/>
                    </w:rPr>
                  </w:pPr>
                  <w:r>
                    <w:rPr>
                      <w:color w:val="auto"/>
                      <w:kern w:val="0"/>
                      <w:sz w:val="21"/>
                      <w:szCs w:val="21"/>
                      <w:lang w:val="en-GB"/>
                    </w:rPr>
                    <w:t>危险废物类别</w:t>
                  </w:r>
                </w:p>
              </w:tc>
              <w:tc>
                <w:tcPr>
                  <w:tcW w:w="769" w:type="pct"/>
                  <w:vAlign w:val="center"/>
                </w:tcPr>
                <w:p w14:paraId="2AF3B373">
                  <w:pPr>
                    <w:topLinePunct/>
                    <w:spacing w:line="360" w:lineRule="auto"/>
                    <w:jc w:val="center"/>
                    <w:rPr>
                      <w:color w:val="auto"/>
                      <w:kern w:val="0"/>
                      <w:sz w:val="21"/>
                      <w:szCs w:val="21"/>
                      <w:lang w:val="en-GB"/>
                    </w:rPr>
                  </w:pPr>
                  <w:r>
                    <w:rPr>
                      <w:color w:val="auto"/>
                      <w:kern w:val="0"/>
                      <w:sz w:val="21"/>
                      <w:szCs w:val="21"/>
                      <w:lang w:val="en-GB"/>
                    </w:rPr>
                    <w:t>危险废物代码</w:t>
                  </w:r>
                </w:p>
              </w:tc>
              <w:tc>
                <w:tcPr>
                  <w:tcW w:w="449" w:type="pct"/>
                  <w:vAlign w:val="center"/>
                </w:tcPr>
                <w:p w14:paraId="75CF203C">
                  <w:pPr>
                    <w:topLinePunct/>
                    <w:spacing w:line="360" w:lineRule="auto"/>
                    <w:jc w:val="center"/>
                    <w:rPr>
                      <w:color w:val="auto"/>
                      <w:kern w:val="0"/>
                      <w:sz w:val="21"/>
                      <w:szCs w:val="21"/>
                      <w:lang w:val="en-GB"/>
                    </w:rPr>
                  </w:pPr>
                  <w:r>
                    <w:rPr>
                      <w:color w:val="auto"/>
                      <w:kern w:val="0"/>
                      <w:sz w:val="21"/>
                      <w:szCs w:val="21"/>
                      <w:lang w:val="en-GB"/>
                    </w:rPr>
                    <w:t>产生量（</w:t>
                  </w:r>
                  <w:r>
                    <w:rPr>
                      <w:color w:val="auto"/>
                      <w:kern w:val="0"/>
                      <w:sz w:val="21"/>
                      <w:szCs w:val="21"/>
                    </w:rPr>
                    <w:t>t</w:t>
                  </w:r>
                  <w:r>
                    <w:rPr>
                      <w:color w:val="auto"/>
                      <w:kern w:val="0"/>
                      <w:sz w:val="21"/>
                      <w:szCs w:val="21"/>
                      <w:lang w:val="en-GB"/>
                    </w:rPr>
                    <w:t>/</w:t>
                  </w:r>
                  <w:r>
                    <w:rPr>
                      <w:color w:val="auto"/>
                      <w:kern w:val="0"/>
                      <w:sz w:val="21"/>
                      <w:szCs w:val="21"/>
                    </w:rPr>
                    <w:t>a</w:t>
                  </w:r>
                  <w:r>
                    <w:rPr>
                      <w:color w:val="auto"/>
                      <w:kern w:val="0"/>
                      <w:sz w:val="21"/>
                      <w:szCs w:val="21"/>
                      <w:lang w:val="en-GB"/>
                    </w:rPr>
                    <w:t>）</w:t>
                  </w:r>
                </w:p>
              </w:tc>
              <w:tc>
                <w:tcPr>
                  <w:tcW w:w="585" w:type="pct"/>
                  <w:vAlign w:val="center"/>
                </w:tcPr>
                <w:p w14:paraId="452FE331">
                  <w:pPr>
                    <w:topLinePunct/>
                    <w:spacing w:line="360" w:lineRule="auto"/>
                    <w:jc w:val="center"/>
                    <w:rPr>
                      <w:color w:val="auto"/>
                      <w:kern w:val="0"/>
                      <w:sz w:val="21"/>
                      <w:szCs w:val="21"/>
                      <w:lang w:val="en-GB"/>
                    </w:rPr>
                  </w:pPr>
                  <w:r>
                    <w:rPr>
                      <w:color w:val="auto"/>
                      <w:kern w:val="0"/>
                      <w:sz w:val="21"/>
                      <w:szCs w:val="21"/>
                      <w:lang w:val="en-GB"/>
                    </w:rPr>
                    <w:t>产生</w:t>
                  </w:r>
                </w:p>
                <w:p w14:paraId="67D56EB0">
                  <w:pPr>
                    <w:topLinePunct/>
                    <w:spacing w:line="360" w:lineRule="auto"/>
                    <w:jc w:val="center"/>
                    <w:rPr>
                      <w:color w:val="auto"/>
                      <w:kern w:val="0"/>
                      <w:sz w:val="21"/>
                      <w:szCs w:val="21"/>
                      <w:lang w:val="en-GB"/>
                    </w:rPr>
                  </w:pPr>
                  <w:r>
                    <w:rPr>
                      <w:color w:val="auto"/>
                      <w:kern w:val="0"/>
                      <w:sz w:val="21"/>
                      <w:szCs w:val="21"/>
                      <w:lang w:val="en-GB"/>
                    </w:rPr>
                    <w:t>工序及装置</w:t>
                  </w:r>
                </w:p>
              </w:tc>
              <w:tc>
                <w:tcPr>
                  <w:tcW w:w="256" w:type="pct"/>
                  <w:vAlign w:val="center"/>
                </w:tcPr>
                <w:p w14:paraId="3B98C0C9">
                  <w:pPr>
                    <w:topLinePunct/>
                    <w:spacing w:line="360" w:lineRule="auto"/>
                    <w:jc w:val="center"/>
                    <w:rPr>
                      <w:color w:val="auto"/>
                      <w:kern w:val="0"/>
                      <w:sz w:val="21"/>
                      <w:szCs w:val="21"/>
                      <w:lang w:val="en-GB"/>
                    </w:rPr>
                  </w:pPr>
                  <w:r>
                    <w:rPr>
                      <w:color w:val="auto"/>
                      <w:kern w:val="0"/>
                      <w:sz w:val="21"/>
                      <w:szCs w:val="21"/>
                      <w:lang w:val="en-GB"/>
                    </w:rPr>
                    <w:t>形态</w:t>
                  </w:r>
                </w:p>
              </w:tc>
              <w:tc>
                <w:tcPr>
                  <w:tcW w:w="521" w:type="pct"/>
                  <w:vAlign w:val="center"/>
                </w:tcPr>
                <w:p w14:paraId="2D6B3085">
                  <w:pPr>
                    <w:topLinePunct/>
                    <w:spacing w:line="360" w:lineRule="auto"/>
                    <w:jc w:val="center"/>
                    <w:rPr>
                      <w:color w:val="auto"/>
                      <w:kern w:val="0"/>
                      <w:sz w:val="21"/>
                      <w:szCs w:val="21"/>
                      <w:lang w:val="en-GB"/>
                    </w:rPr>
                  </w:pPr>
                  <w:r>
                    <w:rPr>
                      <w:color w:val="auto"/>
                      <w:kern w:val="0"/>
                      <w:sz w:val="21"/>
                      <w:szCs w:val="21"/>
                      <w:lang w:val="en-GB"/>
                    </w:rPr>
                    <w:t>有害成分</w:t>
                  </w:r>
                </w:p>
              </w:tc>
              <w:tc>
                <w:tcPr>
                  <w:tcW w:w="383" w:type="pct"/>
                  <w:vAlign w:val="center"/>
                </w:tcPr>
                <w:p w14:paraId="4ACFB4DE">
                  <w:pPr>
                    <w:topLinePunct/>
                    <w:spacing w:line="360" w:lineRule="auto"/>
                    <w:jc w:val="center"/>
                    <w:rPr>
                      <w:color w:val="auto"/>
                      <w:kern w:val="0"/>
                      <w:sz w:val="21"/>
                      <w:szCs w:val="21"/>
                      <w:lang w:val="en-GB"/>
                    </w:rPr>
                  </w:pPr>
                  <w:r>
                    <w:rPr>
                      <w:color w:val="auto"/>
                      <w:kern w:val="0"/>
                      <w:sz w:val="21"/>
                      <w:szCs w:val="21"/>
                      <w:lang w:val="en-GB"/>
                    </w:rPr>
                    <w:t>产废周期</w:t>
                  </w:r>
                </w:p>
              </w:tc>
              <w:tc>
                <w:tcPr>
                  <w:tcW w:w="329" w:type="pct"/>
                  <w:vAlign w:val="center"/>
                </w:tcPr>
                <w:p w14:paraId="4B9ED38A">
                  <w:pPr>
                    <w:topLinePunct/>
                    <w:spacing w:line="360" w:lineRule="auto"/>
                    <w:jc w:val="center"/>
                    <w:rPr>
                      <w:color w:val="auto"/>
                      <w:kern w:val="0"/>
                      <w:sz w:val="21"/>
                      <w:szCs w:val="21"/>
                      <w:lang w:val="en-GB"/>
                    </w:rPr>
                  </w:pPr>
                  <w:r>
                    <w:rPr>
                      <w:color w:val="auto"/>
                      <w:kern w:val="0"/>
                      <w:sz w:val="21"/>
                      <w:szCs w:val="21"/>
                      <w:lang w:val="en-GB"/>
                    </w:rPr>
                    <w:t>危险</w:t>
                  </w:r>
                </w:p>
                <w:p w14:paraId="48D03C7B">
                  <w:pPr>
                    <w:topLinePunct/>
                    <w:spacing w:line="360" w:lineRule="auto"/>
                    <w:jc w:val="center"/>
                    <w:rPr>
                      <w:color w:val="auto"/>
                      <w:kern w:val="0"/>
                      <w:sz w:val="21"/>
                      <w:szCs w:val="21"/>
                      <w:lang w:val="en-GB"/>
                    </w:rPr>
                  </w:pPr>
                  <w:r>
                    <w:rPr>
                      <w:color w:val="auto"/>
                      <w:kern w:val="0"/>
                      <w:sz w:val="21"/>
                      <w:szCs w:val="21"/>
                      <w:lang w:val="en-GB"/>
                    </w:rPr>
                    <w:t>特性</w:t>
                  </w:r>
                </w:p>
              </w:tc>
              <w:tc>
                <w:tcPr>
                  <w:tcW w:w="390" w:type="pct"/>
                  <w:vAlign w:val="center"/>
                </w:tcPr>
                <w:p w14:paraId="4F7366A8">
                  <w:pPr>
                    <w:topLinePunct/>
                    <w:spacing w:line="360" w:lineRule="auto"/>
                    <w:jc w:val="center"/>
                    <w:rPr>
                      <w:color w:val="auto"/>
                      <w:kern w:val="0"/>
                      <w:sz w:val="21"/>
                      <w:szCs w:val="21"/>
                    </w:rPr>
                  </w:pPr>
                  <w:r>
                    <w:rPr>
                      <w:color w:val="auto"/>
                      <w:kern w:val="0"/>
                      <w:sz w:val="21"/>
                      <w:szCs w:val="21"/>
                      <w:lang w:val="en-GB"/>
                    </w:rPr>
                    <w:t>污染防治措施</w:t>
                  </w:r>
                </w:p>
              </w:tc>
            </w:tr>
            <w:tr w14:paraId="5E4E6B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01" w:hRule="atLeast"/>
                <w:jc w:val="center"/>
              </w:trPr>
              <w:tc>
                <w:tcPr>
                  <w:tcW w:w="251" w:type="pct"/>
                  <w:vAlign w:val="center"/>
                </w:tcPr>
                <w:p w14:paraId="73683248">
                  <w:pPr>
                    <w:topLinePunct/>
                    <w:spacing w:line="360" w:lineRule="auto"/>
                    <w:jc w:val="center"/>
                    <w:rPr>
                      <w:rFonts w:hint="default" w:ascii="Times New Roman" w:hAnsi="Times New Roman" w:eastAsia="宋体" w:cs="Times New Roman"/>
                      <w:color w:val="auto"/>
                      <w:kern w:val="0"/>
                      <w:sz w:val="21"/>
                      <w:szCs w:val="21"/>
                      <w:lang w:val="en-US" w:eastAsia="zh-CN" w:bidi="ar-SA"/>
                    </w:rPr>
                  </w:pPr>
                  <w:r>
                    <w:rPr>
                      <w:rFonts w:hint="eastAsia"/>
                      <w:color w:val="auto"/>
                      <w:kern w:val="0"/>
                      <w:sz w:val="21"/>
                      <w:szCs w:val="21"/>
                      <w:lang w:val="en-US" w:eastAsia="zh-CN"/>
                    </w:rPr>
                    <w:t>1</w:t>
                  </w:r>
                </w:p>
              </w:tc>
              <w:tc>
                <w:tcPr>
                  <w:tcW w:w="422" w:type="pct"/>
                  <w:vAlign w:val="center"/>
                </w:tcPr>
                <w:p w14:paraId="7897C180">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highlight w:val="none"/>
                      <w:lang w:val="en-US" w:eastAsia="zh-CN"/>
                    </w:rPr>
                    <w:t>废铅酸蓄电池</w:t>
                  </w:r>
                </w:p>
              </w:tc>
              <w:tc>
                <w:tcPr>
                  <w:tcW w:w="640" w:type="pct"/>
                  <w:vAlign w:val="center"/>
                </w:tcPr>
                <w:p w14:paraId="492E6759">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HW31 含铅废物</w:t>
                  </w:r>
                </w:p>
              </w:tc>
              <w:tc>
                <w:tcPr>
                  <w:tcW w:w="1252" w:type="dxa"/>
                  <w:vAlign w:val="center"/>
                </w:tcPr>
                <w:p w14:paraId="6F83E893">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color w:val="auto"/>
                      <w:kern w:val="0"/>
                      <w:sz w:val="21"/>
                      <w:szCs w:val="21"/>
                      <w:lang w:val="zh-CN" w:eastAsia="zh-CN"/>
                    </w:rPr>
                  </w:pPr>
                  <w:r>
                    <w:rPr>
                      <w:rFonts w:hint="eastAsia" w:ascii="Times New Roman" w:hAnsi="Times New Roman" w:eastAsia="宋体" w:cs="Times New Roman"/>
                      <w:b w:val="0"/>
                      <w:bCs w:val="0"/>
                      <w:color w:val="auto"/>
                      <w:kern w:val="0"/>
                      <w:sz w:val="21"/>
                      <w:szCs w:val="21"/>
                      <w:highlight w:val="none"/>
                      <w:lang w:val="en-US" w:eastAsia="zh-CN" w:bidi="ar-SA"/>
                    </w:rPr>
                    <w:t>900-052-31</w:t>
                  </w:r>
                </w:p>
              </w:tc>
              <w:tc>
                <w:tcPr>
                  <w:tcW w:w="731" w:type="dxa"/>
                  <w:vAlign w:val="center"/>
                </w:tcPr>
                <w:p w14:paraId="5FA2C89B">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ascii="Times New Roman" w:hAnsi="Times New Roman" w:eastAsia="宋体" w:cs="Times New Roman"/>
                      <w:color w:val="auto"/>
                      <w:kern w:val="0"/>
                      <w:sz w:val="21"/>
                      <w:szCs w:val="21"/>
                      <w:lang w:val="en-US" w:eastAsia="zh-CN"/>
                    </w:rPr>
                  </w:pPr>
                  <w:r>
                    <w:rPr>
                      <w:rFonts w:hint="eastAsia"/>
                      <w:b w:val="0"/>
                      <w:bCs w:val="0"/>
                      <w:color w:val="auto"/>
                      <w:szCs w:val="21"/>
                      <w:highlight w:val="none"/>
                      <w:lang w:val="en-US" w:eastAsia="zh-CN"/>
                    </w:rPr>
                    <w:t>46.599t/a</w:t>
                  </w:r>
                </w:p>
              </w:tc>
              <w:tc>
                <w:tcPr>
                  <w:tcW w:w="585" w:type="pct"/>
                  <w:vAlign w:val="center"/>
                </w:tcPr>
                <w:p w14:paraId="04DB4573">
                  <w:pPr>
                    <w:topLinePunct/>
                    <w:spacing w:line="360" w:lineRule="auto"/>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拆解</w:t>
                  </w:r>
                </w:p>
              </w:tc>
              <w:tc>
                <w:tcPr>
                  <w:tcW w:w="256" w:type="pct"/>
                  <w:vAlign w:val="center"/>
                </w:tcPr>
                <w:p w14:paraId="652812F1">
                  <w:pPr>
                    <w:topLinePunct/>
                    <w:spacing w:line="360" w:lineRule="auto"/>
                    <w:jc w:val="center"/>
                    <w:rPr>
                      <w:rFonts w:hint="eastAsia"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固态</w:t>
                  </w:r>
                </w:p>
              </w:tc>
              <w:tc>
                <w:tcPr>
                  <w:tcW w:w="521" w:type="pct"/>
                  <w:vAlign w:val="center"/>
                </w:tcPr>
                <w:p w14:paraId="71B99818">
                  <w:pPr>
                    <w:topLinePunct/>
                    <w:spacing w:line="360" w:lineRule="auto"/>
                    <w:jc w:val="center"/>
                    <w:rPr>
                      <w:rFonts w:hint="eastAsia"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重金属、电解液</w:t>
                  </w:r>
                </w:p>
              </w:tc>
              <w:tc>
                <w:tcPr>
                  <w:tcW w:w="383" w:type="pct"/>
                  <w:vAlign w:val="center"/>
                </w:tcPr>
                <w:p w14:paraId="70208FC6">
                  <w:pPr>
                    <w:topLinePunct/>
                    <w:spacing w:line="36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329" w:type="pct"/>
                  <w:vAlign w:val="center"/>
                </w:tcPr>
                <w:p w14:paraId="2C88243D">
                  <w:pPr>
                    <w:topLinePunct/>
                    <w:spacing w:line="360" w:lineRule="auto"/>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T、C</w:t>
                  </w:r>
                </w:p>
              </w:tc>
              <w:tc>
                <w:tcPr>
                  <w:tcW w:w="390" w:type="pct"/>
                  <w:vMerge w:val="restart"/>
                  <w:vAlign w:val="center"/>
                </w:tcPr>
                <w:p w14:paraId="474C6ED9">
                  <w:pPr>
                    <w:topLinePunct/>
                    <w:spacing w:line="360" w:lineRule="auto"/>
                    <w:jc w:val="center"/>
                    <w:rPr>
                      <w:rFonts w:hint="eastAsia"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危废贮存点</w:t>
                  </w:r>
                  <w:r>
                    <w:rPr>
                      <w:rFonts w:hint="eastAsia" w:ascii="Times New Roman" w:hAnsi="Times New Roman" w:eastAsia="宋体" w:cs="Times New Roman"/>
                      <w:color w:val="auto"/>
                      <w:kern w:val="0"/>
                      <w:sz w:val="21"/>
                      <w:szCs w:val="21"/>
                      <w:lang w:val="en-US" w:eastAsia="zh-CN"/>
                    </w:rPr>
                    <w:t>分类暂存后，交有资质公司处理</w:t>
                  </w:r>
                </w:p>
              </w:tc>
            </w:tr>
            <w:tr w14:paraId="7EFFAF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 w:type="pct"/>
                  <w:vAlign w:val="center"/>
                </w:tcPr>
                <w:p w14:paraId="1085A12C">
                  <w:pPr>
                    <w:topLinePunct/>
                    <w:spacing w:line="360" w:lineRule="auto"/>
                    <w:jc w:val="center"/>
                    <w:rPr>
                      <w:rFonts w:hint="default"/>
                      <w:color w:val="auto"/>
                      <w:kern w:val="0"/>
                      <w:sz w:val="21"/>
                      <w:szCs w:val="21"/>
                      <w:lang w:val="en-US" w:eastAsia="zh-CN"/>
                    </w:rPr>
                  </w:pPr>
                  <w:r>
                    <w:rPr>
                      <w:rFonts w:hint="eastAsia"/>
                      <w:color w:val="auto"/>
                      <w:kern w:val="0"/>
                      <w:sz w:val="21"/>
                      <w:szCs w:val="21"/>
                      <w:lang w:val="en-US" w:eastAsia="zh-CN"/>
                    </w:rPr>
                    <w:t>2</w:t>
                  </w:r>
                </w:p>
              </w:tc>
              <w:tc>
                <w:tcPr>
                  <w:tcW w:w="422" w:type="pct"/>
                  <w:vAlign w:val="center"/>
                </w:tcPr>
                <w:p w14:paraId="63820604">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highlight w:val="none"/>
                      <w:lang w:val="en-US" w:eastAsia="zh-CN"/>
                    </w:rPr>
                    <w:t>废油液及油泥</w:t>
                  </w:r>
                </w:p>
              </w:tc>
              <w:tc>
                <w:tcPr>
                  <w:tcW w:w="640" w:type="pct"/>
                  <w:vAlign w:val="center"/>
                </w:tcPr>
                <w:p w14:paraId="73C51F08">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HW08 废矿物油与含矿物油废物</w:t>
                  </w:r>
                </w:p>
              </w:tc>
              <w:tc>
                <w:tcPr>
                  <w:tcW w:w="1252" w:type="dxa"/>
                  <w:vAlign w:val="center"/>
                </w:tcPr>
                <w:p w14:paraId="2D1C5B70">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b w:val="0"/>
                      <w:bCs w:val="0"/>
                      <w:color w:val="auto"/>
                      <w:kern w:val="0"/>
                      <w:sz w:val="21"/>
                      <w:szCs w:val="21"/>
                      <w:highlight w:val="none"/>
                      <w:lang w:val="en-US" w:eastAsia="zh-CN" w:bidi="ar-SA"/>
                    </w:rPr>
                    <w:t>900-199-08</w:t>
                  </w:r>
                </w:p>
              </w:tc>
              <w:tc>
                <w:tcPr>
                  <w:tcW w:w="731" w:type="dxa"/>
                  <w:vAlign w:val="center"/>
                </w:tcPr>
                <w:p w14:paraId="7720E0C5">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color w:val="auto"/>
                      <w:kern w:val="0"/>
                      <w:sz w:val="21"/>
                      <w:szCs w:val="21"/>
                      <w:lang w:val="en-US" w:eastAsia="zh-CN"/>
                    </w:rPr>
                  </w:pPr>
                  <w:r>
                    <w:rPr>
                      <w:rFonts w:hint="eastAsia"/>
                      <w:b w:val="0"/>
                      <w:bCs w:val="0"/>
                      <w:color w:val="auto"/>
                      <w:szCs w:val="21"/>
                      <w:highlight w:val="none"/>
                      <w:lang w:val="en-US" w:eastAsia="zh-CN"/>
                    </w:rPr>
                    <w:t>33.285t/a</w:t>
                  </w:r>
                </w:p>
              </w:tc>
              <w:tc>
                <w:tcPr>
                  <w:tcW w:w="585" w:type="pct"/>
                  <w:vAlign w:val="center"/>
                </w:tcPr>
                <w:p w14:paraId="03D7C2C8">
                  <w:pPr>
                    <w:topLinePunct/>
                    <w:spacing w:line="360" w:lineRule="auto"/>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拆解</w:t>
                  </w:r>
                </w:p>
              </w:tc>
              <w:tc>
                <w:tcPr>
                  <w:tcW w:w="256" w:type="pct"/>
                  <w:vAlign w:val="center"/>
                </w:tcPr>
                <w:p w14:paraId="0C6DC312">
                  <w:pPr>
                    <w:topLinePunct/>
                    <w:spacing w:line="360" w:lineRule="auto"/>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液态</w:t>
                  </w:r>
                </w:p>
              </w:tc>
              <w:tc>
                <w:tcPr>
                  <w:tcW w:w="521" w:type="pct"/>
                  <w:vAlign w:val="center"/>
                </w:tcPr>
                <w:p w14:paraId="796FE1F1">
                  <w:pPr>
                    <w:topLinePunct/>
                    <w:spacing w:line="360" w:lineRule="auto"/>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有机物</w:t>
                  </w:r>
                </w:p>
              </w:tc>
              <w:tc>
                <w:tcPr>
                  <w:tcW w:w="383" w:type="pct"/>
                  <w:vAlign w:val="center"/>
                </w:tcPr>
                <w:p w14:paraId="498301D1">
                  <w:pPr>
                    <w:topLinePunct/>
                    <w:spacing w:line="360" w:lineRule="auto"/>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w:t>
                  </w:r>
                </w:p>
              </w:tc>
              <w:tc>
                <w:tcPr>
                  <w:tcW w:w="329" w:type="pct"/>
                  <w:vAlign w:val="center"/>
                </w:tcPr>
                <w:p w14:paraId="53C4F4CD">
                  <w:pPr>
                    <w:topLinePunct/>
                    <w:spacing w:line="360" w:lineRule="auto"/>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T、I</w:t>
                  </w:r>
                </w:p>
              </w:tc>
              <w:tc>
                <w:tcPr>
                  <w:tcW w:w="390" w:type="pct"/>
                  <w:vMerge w:val="continue"/>
                  <w:vAlign w:val="center"/>
                </w:tcPr>
                <w:p w14:paraId="3D08CB80">
                  <w:pPr>
                    <w:topLinePunct/>
                    <w:spacing w:line="360" w:lineRule="auto"/>
                    <w:jc w:val="center"/>
                    <w:rPr>
                      <w:rFonts w:hint="eastAsia" w:ascii="Times New Roman" w:hAnsi="Times New Roman" w:eastAsia="宋体" w:cs="Times New Roman"/>
                      <w:color w:val="auto"/>
                      <w:kern w:val="0"/>
                      <w:sz w:val="21"/>
                      <w:szCs w:val="21"/>
                      <w:lang w:val="en-US" w:eastAsia="zh-CN"/>
                    </w:rPr>
                  </w:pPr>
                </w:p>
              </w:tc>
            </w:tr>
            <w:tr w14:paraId="001D11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 w:type="pct"/>
                  <w:vAlign w:val="center"/>
                </w:tcPr>
                <w:p w14:paraId="0EA4BCF3">
                  <w:pPr>
                    <w:topLinePunct/>
                    <w:spacing w:line="360" w:lineRule="auto"/>
                    <w:jc w:val="center"/>
                    <w:rPr>
                      <w:rFonts w:hint="default"/>
                      <w:color w:val="auto"/>
                      <w:kern w:val="0"/>
                      <w:sz w:val="21"/>
                      <w:szCs w:val="21"/>
                      <w:lang w:val="en-US" w:eastAsia="zh-CN"/>
                    </w:rPr>
                  </w:pPr>
                  <w:r>
                    <w:rPr>
                      <w:rFonts w:hint="eastAsia"/>
                      <w:color w:val="auto"/>
                      <w:kern w:val="0"/>
                      <w:sz w:val="21"/>
                      <w:szCs w:val="21"/>
                      <w:lang w:val="en-US" w:eastAsia="zh-CN"/>
                    </w:rPr>
                    <w:t>3</w:t>
                  </w:r>
                </w:p>
              </w:tc>
              <w:tc>
                <w:tcPr>
                  <w:tcW w:w="422" w:type="pct"/>
                  <w:vAlign w:val="center"/>
                </w:tcPr>
                <w:p w14:paraId="34ACE589">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0"/>
                      <w:sz w:val="21"/>
                      <w:szCs w:val="21"/>
                      <w:lang w:val="en-US" w:eastAsia="zh-CN"/>
                    </w:rPr>
                  </w:pPr>
                  <w:r>
                    <w:rPr>
                      <w:rFonts w:hint="eastAsia" w:cs="Times New Roman"/>
                      <w:color w:val="auto"/>
                      <w:highlight w:val="none"/>
                      <w:lang w:val="en-US" w:eastAsia="zh-CN"/>
                    </w:rPr>
                    <w:t>含油抹布及手套</w:t>
                  </w:r>
                </w:p>
              </w:tc>
              <w:tc>
                <w:tcPr>
                  <w:tcW w:w="640" w:type="pct"/>
                  <w:vAlign w:val="center"/>
                </w:tcPr>
                <w:p w14:paraId="677A5F66">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HW49 其他废物</w:t>
                  </w:r>
                </w:p>
              </w:tc>
              <w:tc>
                <w:tcPr>
                  <w:tcW w:w="1252" w:type="dxa"/>
                  <w:vAlign w:val="center"/>
                </w:tcPr>
                <w:p w14:paraId="1498D4E6">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b w:val="0"/>
                      <w:bCs w:val="0"/>
                      <w:color w:val="auto"/>
                      <w:kern w:val="0"/>
                      <w:sz w:val="21"/>
                      <w:szCs w:val="21"/>
                      <w:highlight w:val="none"/>
                      <w:lang w:val="en-US" w:eastAsia="zh-CN" w:bidi="ar-SA"/>
                    </w:rPr>
                    <w:t>900-041-49</w:t>
                  </w:r>
                </w:p>
              </w:tc>
              <w:tc>
                <w:tcPr>
                  <w:tcW w:w="731" w:type="dxa"/>
                  <w:vAlign w:val="center"/>
                </w:tcPr>
                <w:p w14:paraId="52F9B9C0">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color w:val="auto"/>
                      <w:kern w:val="0"/>
                      <w:sz w:val="21"/>
                      <w:szCs w:val="21"/>
                      <w:lang w:val="en-US" w:eastAsia="zh-CN"/>
                    </w:rPr>
                  </w:pPr>
                  <w:r>
                    <w:rPr>
                      <w:rFonts w:hint="eastAsia"/>
                      <w:b w:val="0"/>
                      <w:bCs w:val="0"/>
                      <w:color w:val="auto"/>
                      <w:szCs w:val="21"/>
                      <w:highlight w:val="none"/>
                      <w:lang w:val="en-US" w:eastAsia="zh-CN"/>
                    </w:rPr>
                    <w:t>1t/a</w:t>
                  </w:r>
                </w:p>
              </w:tc>
              <w:tc>
                <w:tcPr>
                  <w:tcW w:w="585" w:type="pct"/>
                  <w:vAlign w:val="center"/>
                </w:tcPr>
                <w:p w14:paraId="44B4E279">
                  <w:pPr>
                    <w:topLinePunct/>
                    <w:spacing w:line="360" w:lineRule="auto"/>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拆解</w:t>
                  </w:r>
                </w:p>
              </w:tc>
              <w:tc>
                <w:tcPr>
                  <w:tcW w:w="256" w:type="pct"/>
                  <w:vAlign w:val="center"/>
                </w:tcPr>
                <w:p w14:paraId="4EFCB9F1">
                  <w:pPr>
                    <w:topLinePunct/>
                    <w:spacing w:line="360" w:lineRule="auto"/>
                    <w:jc w:val="center"/>
                    <w:rPr>
                      <w:rFonts w:hint="eastAsia"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固态</w:t>
                  </w:r>
                </w:p>
              </w:tc>
              <w:tc>
                <w:tcPr>
                  <w:tcW w:w="521" w:type="pct"/>
                  <w:vAlign w:val="center"/>
                </w:tcPr>
                <w:p w14:paraId="0C11C182">
                  <w:pPr>
                    <w:topLinePunct/>
                    <w:spacing w:line="36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有机物</w:t>
                  </w:r>
                </w:p>
              </w:tc>
              <w:tc>
                <w:tcPr>
                  <w:tcW w:w="383" w:type="pct"/>
                  <w:vAlign w:val="center"/>
                </w:tcPr>
                <w:p w14:paraId="6141D46D">
                  <w:pPr>
                    <w:topLinePunct/>
                    <w:spacing w:line="360" w:lineRule="auto"/>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w:t>
                  </w:r>
                </w:p>
              </w:tc>
              <w:tc>
                <w:tcPr>
                  <w:tcW w:w="329" w:type="pct"/>
                  <w:vAlign w:val="center"/>
                </w:tcPr>
                <w:p w14:paraId="58E29D44">
                  <w:pPr>
                    <w:topLinePunct/>
                    <w:spacing w:line="360" w:lineRule="auto"/>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T、In</w:t>
                  </w:r>
                </w:p>
              </w:tc>
              <w:tc>
                <w:tcPr>
                  <w:tcW w:w="390" w:type="pct"/>
                  <w:vMerge w:val="continue"/>
                  <w:vAlign w:val="center"/>
                </w:tcPr>
                <w:p w14:paraId="7571F42B">
                  <w:pPr>
                    <w:topLinePunct/>
                    <w:spacing w:line="360" w:lineRule="auto"/>
                    <w:jc w:val="center"/>
                    <w:rPr>
                      <w:rFonts w:hint="eastAsia" w:ascii="Times New Roman" w:hAnsi="Times New Roman" w:eastAsia="宋体" w:cs="Times New Roman"/>
                      <w:color w:val="auto"/>
                      <w:kern w:val="0"/>
                      <w:sz w:val="21"/>
                      <w:szCs w:val="21"/>
                      <w:lang w:val="en-US" w:eastAsia="zh-CN"/>
                    </w:rPr>
                  </w:pPr>
                </w:p>
              </w:tc>
            </w:tr>
            <w:tr w14:paraId="1AAFF9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 w:type="pct"/>
                  <w:vAlign w:val="center"/>
                </w:tcPr>
                <w:p w14:paraId="186ACF3F">
                  <w:pPr>
                    <w:topLinePunct/>
                    <w:spacing w:line="360" w:lineRule="auto"/>
                    <w:jc w:val="center"/>
                    <w:rPr>
                      <w:rFonts w:hint="default"/>
                      <w:color w:val="auto"/>
                      <w:kern w:val="0"/>
                      <w:sz w:val="21"/>
                      <w:szCs w:val="21"/>
                      <w:lang w:val="en-US" w:eastAsia="zh-CN"/>
                    </w:rPr>
                  </w:pPr>
                  <w:r>
                    <w:rPr>
                      <w:rFonts w:hint="eastAsia"/>
                      <w:color w:val="auto"/>
                      <w:kern w:val="0"/>
                      <w:sz w:val="21"/>
                      <w:szCs w:val="21"/>
                      <w:lang w:val="en-US" w:eastAsia="zh-CN"/>
                    </w:rPr>
                    <w:t>4</w:t>
                  </w:r>
                </w:p>
              </w:tc>
              <w:tc>
                <w:tcPr>
                  <w:tcW w:w="422" w:type="pct"/>
                  <w:shd w:val="clear" w:color="auto" w:fill="auto"/>
                  <w:vAlign w:val="center"/>
                </w:tcPr>
                <w:p w14:paraId="3969AB18">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highlight w:val="none"/>
                      <w:lang w:val="en-US" w:eastAsia="zh-CN"/>
                    </w:rPr>
                    <w:t>废活性炭</w:t>
                  </w:r>
                </w:p>
              </w:tc>
              <w:tc>
                <w:tcPr>
                  <w:tcW w:w="640" w:type="pct"/>
                  <w:shd w:val="clear" w:color="auto" w:fill="auto"/>
                  <w:vAlign w:val="center"/>
                </w:tcPr>
                <w:p w14:paraId="69B3BA78">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HW49 其他废物</w:t>
                  </w:r>
                </w:p>
              </w:tc>
              <w:tc>
                <w:tcPr>
                  <w:tcW w:w="1252" w:type="dxa"/>
                  <w:shd w:val="clear" w:color="auto" w:fill="auto"/>
                  <w:vAlign w:val="center"/>
                </w:tcPr>
                <w:p w14:paraId="5A1048DA">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900-039-49</w:t>
                  </w:r>
                </w:p>
              </w:tc>
              <w:tc>
                <w:tcPr>
                  <w:tcW w:w="731" w:type="dxa"/>
                  <w:shd w:val="clear" w:color="auto" w:fill="auto"/>
                  <w:vAlign w:val="center"/>
                </w:tcPr>
                <w:p w14:paraId="523B113D">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color w:val="auto"/>
                      <w:kern w:val="0"/>
                      <w:sz w:val="21"/>
                      <w:szCs w:val="21"/>
                      <w:lang w:val="en-US" w:eastAsia="zh-CN" w:bidi="ar-SA"/>
                    </w:rPr>
                  </w:pPr>
                  <w:r>
                    <w:rPr>
                      <w:rFonts w:hint="eastAsia"/>
                      <w:b w:val="0"/>
                      <w:bCs w:val="0"/>
                      <w:color w:val="auto"/>
                      <w:szCs w:val="21"/>
                      <w:highlight w:val="none"/>
                      <w:lang w:val="en-US" w:eastAsia="zh-CN"/>
                    </w:rPr>
                    <w:t>0.027t/a</w:t>
                  </w:r>
                </w:p>
              </w:tc>
              <w:tc>
                <w:tcPr>
                  <w:tcW w:w="585" w:type="pct"/>
                  <w:shd w:val="clear" w:color="auto" w:fill="auto"/>
                  <w:vAlign w:val="center"/>
                </w:tcPr>
                <w:p w14:paraId="4A2C010B">
                  <w:pPr>
                    <w:topLinePunct/>
                    <w:spacing w:line="360" w:lineRule="auto"/>
                    <w:jc w:val="center"/>
                    <w:rPr>
                      <w:rFonts w:hint="eastAsia" w:cs="Times New Roman"/>
                      <w:color w:val="auto"/>
                      <w:kern w:val="0"/>
                      <w:sz w:val="21"/>
                      <w:szCs w:val="21"/>
                      <w:lang w:val="en-US" w:eastAsia="zh-CN" w:bidi="ar-SA"/>
                    </w:rPr>
                  </w:pPr>
                  <w:r>
                    <w:rPr>
                      <w:rFonts w:hint="eastAsia" w:cs="Times New Roman"/>
                      <w:color w:val="auto"/>
                      <w:kern w:val="0"/>
                      <w:sz w:val="21"/>
                      <w:szCs w:val="21"/>
                      <w:lang w:val="en-US" w:eastAsia="zh-CN" w:bidi="ar-SA"/>
                    </w:rPr>
                    <w:t>废气</w:t>
                  </w:r>
                </w:p>
                <w:p w14:paraId="329EDD2D">
                  <w:pPr>
                    <w:topLinePunct/>
                    <w:spacing w:line="360" w:lineRule="auto"/>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处理</w:t>
                  </w:r>
                </w:p>
              </w:tc>
              <w:tc>
                <w:tcPr>
                  <w:tcW w:w="256" w:type="pct"/>
                  <w:shd w:val="clear" w:color="auto" w:fill="auto"/>
                  <w:vAlign w:val="center"/>
                </w:tcPr>
                <w:p w14:paraId="232A2DA9">
                  <w:pPr>
                    <w:topLinePunct/>
                    <w:spacing w:line="36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固态</w:t>
                  </w:r>
                </w:p>
              </w:tc>
              <w:tc>
                <w:tcPr>
                  <w:tcW w:w="521" w:type="pct"/>
                  <w:shd w:val="clear" w:color="auto" w:fill="auto"/>
                  <w:vAlign w:val="center"/>
                </w:tcPr>
                <w:p w14:paraId="23BB4620">
                  <w:pPr>
                    <w:topLinePunct/>
                    <w:spacing w:line="360" w:lineRule="auto"/>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有机物</w:t>
                  </w:r>
                </w:p>
              </w:tc>
              <w:tc>
                <w:tcPr>
                  <w:tcW w:w="383" w:type="pct"/>
                  <w:shd w:val="clear" w:color="auto" w:fill="auto"/>
                  <w:vAlign w:val="center"/>
                </w:tcPr>
                <w:p w14:paraId="74FE90DF">
                  <w:pPr>
                    <w:topLinePunct/>
                    <w:spacing w:line="360" w:lineRule="auto"/>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六个月</w:t>
                  </w:r>
                </w:p>
              </w:tc>
              <w:tc>
                <w:tcPr>
                  <w:tcW w:w="329" w:type="pct"/>
                  <w:shd w:val="clear" w:color="auto" w:fill="auto"/>
                  <w:vAlign w:val="center"/>
                </w:tcPr>
                <w:p w14:paraId="195808EE">
                  <w:pPr>
                    <w:topLinePunct/>
                    <w:spacing w:line="36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T</w:t>
                  </w:r>
                </w:p>
              </w:tc>
              <w:tc>
                <w:tcPr>
                  <w:tcW w:w="390" w:type="pct"/>
                  <w:vMerge w:val="continue"/>
                  <w:vAlign w:val="center"/>
                </w:tcPr>
                <w:p w14:paraId="532C9539">
                  <w:pPr>
                    <w:topLinePunct/>
                    <w:spacing w:line="360" w:lineRule="auto"/>
                    <w:jc w:val="center"/>
                    <w:rPr>
                      <w:rFonts w:hint="eastAsia" w:ascii="Times New Roman" w:hAnsi="Times New Roman" w:eastAsia="宋体" w:cs="Times New Roman"/>
                      <w:color w:val="auto"/>
                      <w:kern w:val="0"/>
                      <w:sz w:val="21"/>
                      <w:szCs w:val="21"/>
                      <w:lang w:val="en-US" w:eastAsia="zh-CN"/>
                    </w:rPr>
                  </w:pPr>
                </w:p>
              </w:tc>
            </w:tr>
            <w:tr w14:paraId="4F2176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 w:type="pct"/>
                  <w:vAlign w:val="center"/>
                </w:tcPr>
                <w:p w14:paraId="7A64194B">
                  <w:pPr>
                    <w:topLinePunct/>
                    <w:spacing w:line="360" w:lineRule="auto"/>
                    <w:jc w:val="center"/>
                    <w:rPr>
                      <w:rFonts w:hint="default"/>
                      <w:color w:val="auto"/>
                      <w:kern w:val="0"/>
                      <w:sz w:val="21"/>
                      <w:szCs w:val="21"/>
                      <w:lang w:val="en-US" w:eastAsia="zh-CN"/>
                    </w:rPr>
                  </w:pPr>
                  <w:r>
                    <w:rPr>
                      <w:rFonts w:hint="eastAsia"/>
                      <w:color w:val="auto"/>
                      <w:kern w:val="0"/>
                      <w:sz w:val="21"/>
                      <w:szCs w:val="21"/>
                      <w:lang w:val="en-US" w:eastAsia="zh-CN"/>
                    </w:rPr>
                    <w:t>5</w:t>
                  </w:r>
                </w:p>
              </w:tc>
              <w:tc>
                <w:tcPr>
                  <w:tcW w:w="422" w:type="pct"/>
                  <w:shd w:val="clear" w:color="auto" w:fill="auto"/>
                  <w:vAlign w:val="center"/>
                </w:tcPr>
                <w:p w14:paraId="708045E2">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2"/>
                      <w:sz w:val="21"/>
                      <w:szCs w:val="24"/>
                      <w:highlight w:val="none"/>
                      <w:lang w:val="en-US" w:eastAsia="zh-CN" w:bidi="ar-SA"/>
                    </w:rPr>
                    <w:t>废防冻液</w:t>
                  </w:r>
                </w:p>
              </w:tc>
              <w:tc>
                <w:tcPr>
                  <w:tcW w:w="640" w:type="pct"/>
                  <w:shd w:val="clear" w:color="auto" w:fill="auto"/>
                  <w:vAlign w:val="center"/>
                </w:tcPr>
                <w:p w14:paraId="27126163">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HW06 废有机溶剂与含有机溶剂废物</w:t>
                  </w:r>
                </w:p>
              </w:tc>
              <w:tc>
                <w:tcPr>
                  <w:tcW w:w="1252" w:type="dxa"/>
                  <w:shd w:val="clear" w:color="auto" w:fill="auto"/>
                  <w:vAlign w:val="center"/>
                </w:tcPr>
                <w:p w14:paraId="3D12ADA4">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900-404-06</w:t>
                  </w:r>
                </w:p>
              </w:tc>
              <w:tc>
                <w:tcPr>
                  <w:tcW w:w="731" w:type="dxa"/>
                  <w:shd w:val="clear" w:color="auto" w:fill="auto"/>
                  <w:vAlign w:val="center"/>
                </w:tcPr>
                <w:p w14:paraId="7EFD57F8">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color w:val="auto"/>
                      <w:kern w:val="0"/>
                      <w:sz w:val="21"/>
                      <w:szCs w:val="21"/>
                      <w:lang w:val="en-US" w:eastAsia="zh-CN" w:bidi="ar-SA"/>
                    </w:rPr>
                  </w:pPr>
                  <w:r>
                    <w:rPr>
                      <w:rFonts w:hint="eastAsia"/>
                      <w:b w:val="0"/>
                      <w:bCs w:val="0"/>
                      <w:color w:val="auto"/>
                      <w:szCs w:val="21"/>
                      <w:highlight w:val="none"/>
                      <w:lang w:val="en-US" w:eastAsia="zh-CN"/>
                    </w:rPr>
                    <w:t>2.378t/a</w:t>
                  </w:r>
                </w:p>
              </w:tc>
              <w:tc>
                <w:tcPr>
                  <w:tcW w:w="585" w:type="pct"/>
                  <w:shd w:val="clear" w:color="auto" w:fill="auto"/>
                  <w:vAlign w:val="center"/>
                </w:tcPr>
                <w:p w14:paraId="51B2F5E2">
                  <w:pPr>
                    <w:topLinePunct/>
                    <w:spacing w:line="36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拆解</w:t>
                  </w:r>
                </w:p>
              </w:tc>
              <w:tc>
                <w:tcPr>
                  <w:tcW w:w="256" w:type="pct"/>
                  <w:shd w:val="clear" w:color="auto" w:fill="auto"/>
                  <w:vAlign w:val="center"/>
                </w:tcPr>
                <w:p w14:paraId="4A0C9BFA">
                  <w:pPr>
                    <w:topLinePunct/>
                    <w:spacing w:line="360" w:lineRule="auto"/>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液态</w:t>
                  </w:r>
                </w:p>
              </w:tc>
              <w:tc>
                <w:tcPr>
                  <w:tcW w:w="521" w:type="pct"/>
                  <w:shd w:val="clear" w:color="auto" w:fill="auto"/>
                  <w:vAlign w:val="center"/>
                </w:tcPr>
                <w:p w14:paraId="354DA962">
                  <w:pPr>
                    <w:topLinePunct/>
                    <w:spacing w:line="360" w:lineRule="auto"/>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有机物</w:t>
                  </w:r>
                </w:p>
              </w:tc>
              <w:tc>
                <w:tcPr>
                  <w:tcW w:w="383" w:type="pct"/>
                  <w:shd w:val="clear" w:color="auto" w:fill="auto"/>
                  <w:vAlign w:val="center"/>
                </w:tcPr>
                <w:p w14:paraId="5BAAFB96">
                  <w:pPr>
                    <w:topLinePunct/>
                    <w:spacing w:line="360" w:lineRule="auto"/>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w:t>
                  </w:r>
                </w:p>
              </w:tc>
              <w:tc>
                <w:tcPr>
                  <w:tcW w:w="329" w:type="pct"/>
                  <w:shd w:val="clear" w:color="auto" w:fill="auto"/>
                  <w:vAlign w:val="center"/>
                </w:tcPr>
                <w:p w14:paraId="0BE60D45">
                  <w:pPr>
                    <w:topLinePunct/>
                    <w:spacing w:line="360" w:lineRule="auto"/>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T、I、R</w:t>
                  </w:r>
                </w:p>
              </w:tc>
              <w:tc>
                <w:tcPr>
                  <w:tcW w:w="390" w:type="pct"/>
                  <w:vMerge w:val="continue"/>
                  <w:vAlign w:val="center"/>
                </w:tcPr>
                <w:p w14:paraId="06C33499">
                  <w:pPr>
                    <w:topLinePunct/>
                    <w:spacing w:line="360" w:lineRule="auto"/>
                    <w:jc w:val="center"/>
                    <w:rPr>
                      <w:rFonts w:hint="eastAsia" w:ascii="Times New Roman" w:hAnsi="Times New Roman" w:eastAsia="宋体" w:cs="Times New Roman"/>
                      <w:color w:val="auto"/>
                      <w:kern w:val="0"/>
                      <w:sz w:val="21"/>
                      <w:szCs w:val="21"/>
                      <w:lang w:val="en-US" w:eastAsia="zh-CN"/>
                    </w:rPr>
                  </w:pPr>
                </w:p>
              </w:tc>
            </w:tr>
            <w:tr w14:paraId="63BEAB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 w:type="pct"/>
                  <w:vAlign w:val="center"/>
                </w:tcPr>
                <w:p w14:paraId="16906AF6">
                  <w:pPr>
                    <w:topLinePunct/>
                    <w:spacing w:line="360" w:lineRule="auto"/>
                    <w:jc w:val="center"/>
                    <w:rPr>
                      <w:rFonts w:hint="default"/>
                      <w:color w:val="auto"/>
                      <w:kern w:val="0"/>
                      <w:sz w:val="21"/>
                      <w:szCs w:val="21"/>
                      <w:lang w:val="en-US" w:eastAsia="zh-CN"/>
                    </w:rPr>
                  </w:pPr>
                  <w:r>
                    <w:rPr>
                      <w:rFonts w:hint="eastAsia"/>
                      <w:color w:val="auto"/>
                      <w:kern w:val="0"/>
                      <w:sz w:val="21"/>
                      <w:szCs w:val="21"/>
                      <w:lang w:val="en-US" w:eastAsia="zh-CN"/>
                    </w:rPr>
                    <w:t>6</w:t>
                  </w:r>
                </w:p>
              </w:tc>
              <w:tc>
                <w:tcPr>
                  <w:tcW w:w="422" w:type="pct"/>
                  <w:shd w:val="clear" w:color="auto" w:fill="auto"/>
                  <w:vAlign w:val="center"/>
                </w:tcPr>
                <w:p w14:paraId="1B7852A0">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2"/>
                      <w:sz w:val="21"/>
                      <w:szCs w:val="24"/>
                      <w:highlight w:val="none"/>
                      <w:lang w:val="en-US" w:eastAsia="zh-CN" w:bidi="ar-SA"/>
                    </w:rPr>
                    <w:t>废电路板</w:t>
                  </w:r>
                </w:p>
              </w:tc>
              <w:tc>
                <w:tcPr>
                  <w:tcW w:w="640" w:type="pct"/>
                  <w:shd w:val="clear" w:color="auto" w:fill="auto"/>
                  <w:vAlign w:val="center"/>
                </w:tcPr>
                <w:p w14:paraId="7280C72D">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HW49 其他废物</w:t>
                  </w:r>
                </w:p>
              </w:tc>
              <w:tc>
                <w:tcPr>
                  <w:tcW w:w="1252" w:type="dxa"/>
                  <w:shd w:val="clear" w:color="auto" w:fill="auto"/>
                  <w:vAlign w:val="center"/>
                </w:tcPr>
                <w:p w14:paraId="760A8F1F">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900-045-49</w:t>
                  </w:r>
                </w:p>
              </w:tc>
              <w:tc>
                <w:tcPr>
                  <w:tcW w:w="731" w:type="dxa"/>
                  <w:shd w:val="clear" w:color="auto" w:fill="auto"/>
                  <w:vAlign w:val="center"/>
                </w:tcPr>
                <w:p w14:paraId="15C77D28">
                  <w:pPr>
                    <w:pStyle w:val="110"/>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b w:val="0"/>
                      <w:bCs w:val="0"/>
                      <w:color w:val="auto"/>
                      <w:sz w:val="21"/>
                      <w:szCs w:val="21"/>
                      <w:highlight w:val="none"/>
                      <w:lang w:val="en-US" w:eastAsia="zh-CN"/>
                    </w:rPr>
                  </w:pPr>
                  <w:r>
                    <w:rPr>
                      <w:rFonts w:hint="eastAsia"/>
                      <w:b w:val="0"/>
                      <w:bCs w:val="0"/>
                      <w:color w:val="auto"/>
                      <w:szCs w:val="21"/>
                      <w:highlight w:val="none"/>
                      <w:lang w:val="en-US" w:eastAsia="zh-CN"/>
                    </w:rPr>
                    <w:t>2.853t/a</w:t>
                  </w:r>
                </w:p>
              </w:tc>
              <w:tc>
                <w:tcPr>
                  <w:tcW w:w="585" w:type="pct"/>
                  <w:shd w:val="clear" w:color="auto" w:fill="auto"/>
                  <w:vAlign w:val="center"/>
                </w:tcPr>
                <w:p w14:paraId="760A6A0D">
                  <w:pPr>
                    <w:topLinePunct/>
                    <w:spacing w:line="360" w:lineRule="auto"/>
                    <w:jc w:val="center"/>
                    <w:rPr>
                      <w:rFonts w:hint="default" w:cs="Times New Roman"/>
                      <w:color w:val="auto"/>
                      <w:kern w:val="0"/>
                      <w:sz w:val="21"/>
                      <w:szCs w:val="21"/>
                      <w:lang w:val="en-US" w:eastAsia="zh-CN"/>
                    </w:rPr>
                  </w:pPr>
                  <w:r>
                    <w:rPr>
                      <w:rFonts w:hint="eastAsia" w:cs="Times New Roman"/>
                      <w:color w:val="auto"/>
                      <w:kern w:val="0"/>
                      <w:sz w:val="21"/>
                      <w:szCs w:val="21"/>
                      <w:lang w:val="en-US" w:eastAsia="zh-CN"/>
                    </w:rPr>
                    <w:t>拆解</w:t>
                  </w:r>
                </w:p>
              </w:tc>
              <w:tc>
                <w:tcPr>
                  <w:tcW w:w="256" w:type="pct"/>
                  <w:shd w:val="clear" w:color="auto" w:fill="auto"/>
                  <w:vAlign w:val="center"/>
                </w:tcPr>
                <w:p w14:paraId="19ADB706">
                  <w:pPr>
                    <w:topLinePunct/>
                    <w:spacing w:line="360" w:lineRule="auto"/>
                    <w:jc w:val="center"/>
                    <w:rPr>
                      <w:rFonts w:hint="default" w:cs="Times New Roman"/>
                      <w:color w:val="auto"/>
                      <w:kern w:val="0"/>
                      <w:sz w:val="21"/>
                      <w:szCs w:val="21"/>
                      <w:lang w:val="en-US" w:eastAsia="zh-CN"/>
                    </w:rPr>
                  </w:pPr>
                  <w:r>
                    <w:rPr>
                      <w:rFonts w:hint="eastAsia" w:cs="Times New Roman"/>
                      <w:color w:val="auto"/>
                      <w:kern w:val="0"/>
                      <w:sz w:val="21"/>
                      <w:szCs w:val="21"/>
                      <w:lang w:val="en-US" w:eastAsia="zh-CN"/>
                    </w:rPr>
                    <w:t>固态</w:t>
                  </w:r>
                </w:p>
              </w:tc>
              <w:tc>
                <w:tcPr>
                  <w:tcW w:w="521" w:type="pct"/>
                  <w:shd w:val="clear" w:color="auto" w:fill="auto"/>
                  <w:vAlign w:val="center"/>
                </w:tcPr>
                <w:p w14:paraId="78FCC21A">
                  <w:pPr>
                    <w:topLinePunct/>
                    <w:spacing w:line="360" w:lineRule="auto"/>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有机物</w:t>
                  </w:r>
                </w:p>
              </w:tc>
              <w:tc>
                <w:tcPr>
                  <w:tcW w:w="383" w:type="pct"/>
                  <w:shd w:val="clear" w:color="auto" w:fill="auto"/>
                  <w:vAlign w:val="center"/>
                </w:tcPr>
                <w:p w14:paraId="3E46E346">
                  <w:pPr>
                    <w:topLinePunct/>
                    <w:spacing w:line="360" w:lineRule="auto"/>
                    <w:jc w:val="center"/>
                    <w:rPr>
                      <w:rFonts w:hint="default" w:cs="Times New Roman"/>
                      <w:color w:val="auto"/>
                      <w:kern w:val="0"/>
                      <w:sz w:val="21"/>
                      <w:szCs w:val="21"/>
                      <w:lang w:val="en-US" w:eastAsia="zh-CN"/>
                    </w:rPr>
                  </w:pPr>
                  <w:r>
                    <w:rPr>
                      <w:rFonts w:hint="eastAsia" w:cs="Times New Roman"/>
                      <w:color w:val="auto"/>
                      <w:kern w:val="0"/>
                      <w:sz w:val="21"/>
                      <w:szCs w:val="21"/>
                      <w:lang w:val="en-US" w:eastAsia="zh-CN"/>
                    </w:rPr>
                    <w:t>/</w:t>
                  </w:r>
                </w:p>
              </w:tc>
              <w:tc>
                <w:tcPr>
                  <w:tcW w:w="329" w:type="pct"/>
                  <w:shd w:val="clear" w:color="auto" w:fill="auto"/>
                  <w:vAlign w:val="center"/>
                </w:tcPr>
                <w:p w14:paraId="62741A2D">
                  <w:pPr>
                    <w:topLinePunct/>
                    <w:spacing w:line="360" w:lineRule="auto"/>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T</w:t>
                  </w:r>
                </w:p>
              </w:tc>
              <w:tc>
                <w:tcPr>
                  <w:tcW w:w="390" w:type="pct"/>
                  <w:vMerge w:val="continue"/>
                  <w:vAlign w:val="center"/>
                </w:tcPr>
                <w:p w14:paraId="4B30CDC2">
                  <w:pPr>
                    <w:topLinePunct/>
                    <w:spacing w:line="360" w:lineRule="auto"/>
                    <w:jc w:val="center"/>
                    <w:rPr>
                      <w:rFonts w:hint="eastAsia" w:ascii="Times New Roman" w:hAnsi="Times New Roman" w:eastAsia="宋体" w:cs="Times New Roman"/>
                      <w:color w:val="auto"/>
                      <w:kern w:val="0"/>
                      <w:sz w:val="21"/>
                      <w:szCs w:val="21"/>
                      <w:lang w:val="en-US" w:eastAsia="zh-CN"/>
                    </w:rPr>
                  </w:pPr>
                </w:p>
              </w:tc>
            </w:tr>
          </w:tbl>
          <w:p w14:paraId="005D07FE">
            <w:pPr>
              <w:pStyle w:val="118"/>
              <w:rPr>
                <w:rFonts w:ascii="Times New Roman" w:hAnsi="Times New Roman" w:eastAsia="宋体" w:cs="Times New Roman"/>
                <w:color w:val="auto"/>
              </w:rPr>
            </w:pPr>
            <w:r>
              <w:rPr>
                <w:rFonts w:hint="eastAsia" w:ascii="Times New Roman" w:hAnsi="Times New Roman" w:eastAsia="宋体" w:cs="Times New Roman"/>
                <w:color w:val="auto"/>
              </w:rPr>
              <w:t>2、</w:t>
            </w:r>
            <w:r>
              <w:rPr>
                <w:rFonts w:hint="eastAsia" w:cs="Times New Roman"/>
                <w:color w:val="auto"/>
                <w:lang w:eastAsia="zh-CN"/>
              </w:rPr>
              <w:t>危废贮存点</w:t>
            </w:r>
            <w:r>
              <w:rPr>
                <w:rFonts w:hint="eastAsia" w:ascii="Times New Roman" w:hAnsi="Times New Roman" w:eastAsia="宋体" w:cs="Times New Roman"/>
                <w:color w:val="auto"/>
              </w:rPr>
              <w:t>应</w:t>
            </w:r>
            <w:r>
              <w:rPr>
                <w:rFonts w:ascii="Times New Roman" w:hAnsi="Times New Roman" w:eastAsia="宋体" w:cs="Times New Roman"/>
                <w:color w:val="auto"/>
              </w:rPr>
              <w:t>采取以下污染防治措施</w:t>
            </w:r>
            <w:r>
              <w:rPr>
                <w:rFonts w:hint="eastAsia" w:ascii="Times New Roman" w:hAnsi="Times New Roman" w:eastAsia="宋体" w:cs="Times New Roman"/>
                <w:color w:val="auto"/>
              </w:rPr>
              <w:t>：</w:t>
            </w:r>
          </w:p>
          <w:p w14:paraId="27E2A2F1">
            <w:pPr>
              <w:pStyle w:val="118"/>
              <w:keepNext w:val="0"/>
              <w:keepLines w:val="0"/>
              <w:pageBreakBefore w:val="0"/>
              <w:widowControl/>
              <w:kinsoku/>
              <w:wordWrap w:val="0"/>
              <w:overflowPunct/>
              <w:topLinePunct w:val="0"/>
              <w:autoSpaceDE/>
              <w:autoSpaceDN/>
              <w:bidi w:val="0"/>
              <w:adjustRightInd w:val="0"/>
              <w:snapToGrid w:val="0"/>
              <w:textAlignment w:val="auto"/>
              <w:rPr>
                <w:rFonts w:ascii="Times New Roman" w:hAnsi="Times New Roman" w:eastAsia="宋体" w:cs="Times New Roman"/>
                <w:color w:val="auto"/>
              </w:rPr>
            </w:pPr>
            <w:r>
              <w:rPr>
                <w:rFonts w:hint="eastAsia" w:ascii="Times New Roman" w:hAnsi="Times New Roman" w:eastAsia="宋体" w:cs="Times New Roman"/>
                <w:color w:val="auto"/>
              </w:rPr>
              <w:t>（1）</w:t>
            </w:r>
            <w:r>
              <w:rPr>
                <w:rFonts w:hint="eastAsia" w:cs="Times New Roman"/>
                <w:color w:val="auto"/>
                <w:lang w:eastAsia="zh-CN"/>
              </w:rPr>
              <w:t>危废贮存点</w:t>
            </w:r>
            <w:r>
              <w:rPr>
                <w:rFonts w:ascii="Times New Roman" w:hAnsi="Times New Roman" w:eastAsia="宋体" w:cs="Times New Roman"/>
                <w:color w:val="auto"/>
              </w:rPr>
              <w:t>严格按照</w:t>
            </w:r>
            <w:r>
              <w:rPr>
                <w:rFonts w:hint="eastAsia" w:ascii="Times New Roman" w:hAnsi="Times New Roman" w:eastAsia="宋体" w:cs="Times New Roman"/>
                <w:color w:val="auto"/>
              </w:rPr>
              <w:t>《危险废物贮存污染控制标准》（GB18597-2023）</w:t>
            </w:r>
            <w:r>
              <w:rPr>
                <w:rFonts w:ascii="Times New Roman" w:hAnsi="Times New Roman" w:eastAsia="宋体" w:cs="Times New Roman"/>
                <w:color w:val="auto"/>
              </w:rPr>
              <w:t>的要求进行建设，采用</w:t>
            </w:r>
            <w:r>
              <w:rPr>
                <w:rFonts w:hint="eastAsia" w:cs="Times New Roman"/>
                <w:color w:val="auto"/>
                <w:lang w:val="en-US" w:eastAsia="zh-CN"/>
              </w:rPr>
              <w:t>重点</w:t>
            </w:r>
            <w:r>
              <w:rPr>
                <w:rFonts w:ascii="Times New Roman" w:hAnsi="Times New Roman" w:eastAsia="宋体" w:cs="Times New Roman"/>
                <w:color w:val="auto"/>
              </w:rPr>
              <w:t>防渗，地面与裙脚采用坚固防渗的材料建造，防风、防晒、防雨；基础</w:t>
            </w:r>
            <w:r>
              <w:rPr>
                <w:rFonts w:hint="eastAsia" w:ascii="Times New Roman" w:hAnsi="Times New Roman" w:eastAsia="宋体" w:cs="Times New Roman"/>
                <w:color w:val="auto"/>
              </w:rPr>
              <w:t>敷设</w:t>
            </w:r>
            <w:r>
              <w:rPr>
                <w:rFonts w:ascii="Times New Roman" w:hAnsi="Times New Roman" w:eastAsia="宋体" w:cs="Times New Roman"/>
                <w:color w:val="auto"/>
              </w:rPr>
              <w:t>至少2mm厚的高密度聚乙烯防水层，上部敷设10cm厚水泥层，渗透系数应≤1×10</w:t>
            </w:r>
            <w:r>
              <w:rPr>
                <w:rFonts w:ascii="Times New Roman" w:hAnsi="Times New Roman" w:eastAsia="宋体" w:cs="Times New Roman"/>
                <w:color w:val="auto"/>
                <w:vertAlign w:val="superscript"/>
              </w:rPr>
              <w:t>-10</w:t>
            </w:r>
            <w:r>
              <w:rPr>
                <w:rFonts w:ascii="Times New Roman" w:hAnsi="Times New Roman" w:eastAsia="宋体" w:cs="Times New Roman"/>
                <w:color w:val="auto"/>
              </w:rPr>
              <w:t>cm/s，防渗等级需满足《危险废物贮存污染控制标准》（GB18597-2023）的要求。</w:t>
            </w:r>
          </w:p>
          <w:p w14:paraId="213BD265">
            <w:pPr>
              <w:pStyle w:val="118"/>
              <w:keepNext w:val="0"/>
              <w:keepLines w:val="0"/>
              <w:pageBreakBefore w:val="0"/>
              <w:widowControl w:val="0"/>
              <w:kinsoku/>
              <w:wordWrap w:val="0"/>
              <w:overflowPunct/>
              <w:topLinePunct w:val="0"/>
              <w:autoSpaceDE/>
              <w:autoSpaceDN/>
              <w:bidi w:val="0"/>
              <w:adjustRightInd/>
              <w:snapToGrid/>
              <w:textAlignment w:val="auto"/>
              <w:rPr>
                <w:rFonts w:ascii="Times New Roman" w:hAnsi="Times New Roman" w:eastAsia="宋体" w:cs="Times New Roman"/>
                <w:color w:val="auto"/>
              </w:rPr>
            </w:pPr>
            <w:r>
              <w:rPr>
                <w:rFonts w:hint="eastAsia" w:ascii="Times New Roman" w:hAnsi="Times New Roman" w:eastAsia="宋体" w:cs="Times New Roman"/>
                <w:color w:val="auto"/>
              </w:rPr>
              <w:t>（2）本项目</w:t>
            </w:r>
            <w:r>
              <w:rPr>
                <w:rFonts w:hint="eastAsia"/>
                <w:color w:val="auto"/>
                <w:highlight w:val="none"/>
                <w:lang w:val="en-US" w:eastAsia="zh-CN"/>
              </w:rPr>
              <w:t>废铅酸蓄电池、废油液及油泥、含油抹布及手套、废活性炭、废防冻液及废电路板</w:t>
            </w:r>
            <w:r>
              <w:rPr>
                <w:rFonts w:ascii="Times New Roman" w:hAnsi="Times New Roman" w:eastAsia="宋体" w:cs="Times New Roman"/>
                <w:color w:val="auto"/>
              </w:rPr>
              <w:t>应严格按照</w:t>
            </w:r>
            <w:r>
              <w:rPr>
                <w:rFonts w:hint="eastAsia" w:ascii="Times New Roman" w:hAnsi="Times New Roman" w:eastAsia="宋体" w:cs="Times New Roman"/>
                <w:color w:val="auto"/>
              </w:rPr>
              <w:t>《危险废物贮存污染控制标准》（GB18597-2023）</w:t>
            </w:r>
            <w:r>
              <w:rPr>
                <w:rFonts w:ascii="Times New Roman" w:hAnsi="Times New Roman" w:eastAsia="宋体" w:cs="Times New Roman"/>
                <w:color w:val="auto"/>
              </w:rPr>
              <w:t>要求执行。对各种</w:t>
            </w:r>
            <w:r>
              <w:rPr>
                <w:rFonts w:hint="eastAsia" w:ascii="Times New Roman" w:hAnsi="Times New Roman" w:eastAsia="宋体" w:cs="Times New Roman"/>
                <w:color w:val="auto"/>
              </w:rPr>
              <w:t>危险废物</w:t>
            </w:r>
            <w:r>
              <w:rPr>
                <w:rFonts w:ascii="Times New Roman" w:hAnsi="Times New Roman" w:eastAsia="宋体" w:cs="Times New Roman"/>
                <w:color w:val="auto"/>
              </w:rPr>
              <w:t>进行标识，避免混合、混放。</w:t>
            </w:r>
          </w:p>
          <w:p w14:paraId="013A468A">
            <w:pPr>
              <w:pStyle w:val="118"/>
              <w:rPr>
                <w:rFonts w:ascii="Times New Roman" w:hAnsi="Times New Roman" w:eastAsia="宋体" w:cs="Times New Roman"/>
                <w:color w:val="auto"/>
              </w:rPr>
            </w:pPr>
            <w:r>
              <w:rPr>
                <w:rFonts w:hint="eastAsia" w:ascii="Times New Roman" w:hAnsi="Times New Roman" w:eastAsia="宋体" w:cs="Times New Roman"/>
                <w:color w:val="auto"/>
              </w:rPr>
              <w:t>（3）</w:t>
            </w:r>
            <w:r>
              <w:rPr>
                <w:rFonts w:ascii="Times New Roman" w:hAnsi="Times New Roman" w:eastAsia="宋体" w:cs="Times New Roman"/>
                <w:color w:val="auto"/>
              </w:rPr>
              <w:t>本项目生产过程中产生的</w:t>
            </w:r>
            <w:r>
              <w:rPr>
                <w:rFonts w:hint="eastAsia"/>
                <w:color w:val="auto"/>
                <w:highlight w:val="none"/>
                <w:lang w:val="en-US" w:eastAsia="zh-CN"/>
              </w:rPr>
              <w:t>废铅酸蓄电池、废油液及油泥、含油抹布及手套、废活性炭、废防冻液及废电路板</w:t>
            </w:r>
            <w:r>
              <w:rPr>
                <w:rFonts w:ascii="Times New Roman" w:hAnsi="Times New Roman" w:eastAsia="宋体" w:cs="Times New Roman"/>
                <w:color w:val="auto"/>
              </w:rPr>
              <w:t>属于危险废物，应按危险废物的有关规定进行管理处置，其暂存和处理按照国家相关要求进行，交给有资质的</w:t>
            </w:r>
            <w:r>
              <w:rPr>
                <w:rFonts w:hint="eastAsia" w:ascii="Times New Roman" w:hAnsi="Times New Roman" w:eastAsia="宋体" w:cs="Times New Roman"/>
                <w:color w:val="auto"/>
                <w:lang w:val="en-US" w:eastAsia="zh-CN"/>
              </w:rPr>
              <w:t>危险废物</w:t>
            </w:r>
            <w:r>
              <w:rPr>
                <w:rFonts w:ascii="Times New Roman" w:hAnsi="Times New Roman" w:eastAsia="宋体" w:cs="Times New Roman"/>
                <w:color w:val="auto"/>
              </w:rPr>
              <w:t>回收处理企业。日常管理应专人专管，严格进行日常安全防护管理和监</w:t>
            </w:r>
            <w:r>
              <w:rPr>
                <w:rFonts w:hint="eastAsia" w:ascii="Times New Roman" w:hAnsi="Times New Roman" w:eastAsia="宋体" w:cs="Times New Roman"/>
                <w:color w:val="auto"/>
              </w:rPr>
              <w:t>测。</w:t>
            </w:r>
          </w:p>
          <w:p w14:paraId="425F8B22">
            <w:pPr>
              <w:pStyle w:val="118"/>
              <w:rPr>
                <w:rFonts w:ascii="Times New Roman" w:hAnsi="Times New Roman" w:eastAsia="宋体" w:cs="Times New Roman"/>
                <w:color w:val="auto"/>
              </w:rPr>
            </w:pPr>
            <w:r>
              <w:rPr>
                <w:rFonts w:hint="eastAsia" w:ascii="Times New Roman" w:hAnsi="Times New Roman" w:eastAsia="宋体" w:cs="Times New Roman"/>
                <w:color w:val="auto"/>
              </w:rPr>
              <w:t>（4）</w:t>
            </w:r>
            <w:r>
              <w:rPr>
                <w:rFonts w:ascii="Times New Roman" w:hAnsi="Times New Roman" w:eastAsia="宋体" w:cs="Times New Roman"/>
                <w:color w:val="auto"/>
              </w:rPr>
              <w:t>对</w:t>
            </w:r>
            <w:r>
              <w:rPr>
                <w:rFonts w:hint="eastAsia" w:ascii="Times New Roman" w:hAnsi="Times New Roman" w:eastAsia="宋体" w:cs="Times New Roman"/>
                <w:color w:val="auto"/>
              </w:rPr>
              <w:t>危险废物</w:t>
            </w:r>
            <w:r>
              <w:rPr>
                <w:rFonts w:ascii="Times New Roman" w:hAnsi="Times New Roman" w:eastAsia="宋体" w:cs="Times New Roman"/>
                <w:color w:val="auto"/>
              </w:rPr>
              <w:t>进行分类存储和标识，对危险废物暂存区设立明显的警示标志，</w:t>
            </w:r>
            <w:r>
              <w:rPr>
                <w:rFonts w:hint="eastAsia" w:ascii="Times New Roman" w:hAnsi="Times New Roman" w:eastAsia="宋体" w:cs="Times New Roman"/>
                <w:color w:val="auto"/>
              </w:rPr>
              <w:t>生产</w:t>
            </w:r>
            <w:r>
              <w:rPr>
                <w:rFonts w:ascii="Times New Roman" w:hAnsi="Times New Roman" w:eastAsia="宋体" w:cs="Times New Roman"/>
                <w:color w:val="auto"/>
              </w:rPr>
              <w:t>过程产生的危险废物应按照类别分别放置在专门的收集容器和暂存设施内。</w:t>
            </w:r>
          </w:p>
          <w:p w14:paraId="21D5E650">
            <w:pPr>
              <w:pStyle w:val="118"/>
              <w:rPr>
                <w:rFonts w:ascii="Times New Roman" w:hAnsi="Times New Roman" w:eastAsia="宋体" w:cs="Times New Roman"/>
                <w:color w:val="auto"/>
              </w:rPr>
            </w:pPr>
            <w:r>
              <w:rPr>
                <w:rFonts w:ascii="Times New Roman" w:hAnsi="Times New Roman" w:eastAsia="宋体" w:cs="Times New Roman"/>
                <w:color w:val="auto"/>
              </w:rPr>
              <w:t>贮存设施按照</w:t>
            </w:r>
            <w:r>
              <w:rPr>
                <w:rFonts w:hint="eastAsia" w:ascii="Times New Roman" w:hAnsi="Times New Roman" w:eastAsia="宋体" w:cs="Times New Roman"/>
                <w:color w:val="auto"/>
              </w:rPr>
              <w:t>《危险废物贮存污染控制标准》（GB18597-2023）要求</w:t>
            </w:r>
            <w:r>
              <w:rPr>
                <w:rFonts w:ascii="Times New Roman" w:hAnsi="Times New Roman" w:eastAsia="宋体" w:cs="Times New Roman"/>
                <w:color w:val="auto"/>
              </w:rPr>
              <w:t>设置明显的警示标志，标明具体物质名称。</w:t>
            </w:r>
            <w:r>
              <w:rPr>
                <w:rFonts w:hint="eastAsia" w:ascii="Times New Roman" w:hAnsi="Times New Roman" w:eastAsia="宋体" w:cs="Times New Roman"/>
                <w:color w:val="auto"/>
              </w:rPr>
              <w:t>生产过程</w:t>
            </w:r>
            <w:r>
              <w:rPr>
                <w:rFonts w:ascii="Times New Roman" w:hAnsi="Times New Roman" w:eastAsia="宋体" w:cs="Times New Roman"/>
                <w:color w:val="auto"/>
              </w:rPr>
              <w:t>产生的各种危险废物在厂区内的暂存时间不得超过1年，并制定危险废物贮存的台账制度。</w:t>
            </w:r>
          </w:p>
          <w:p w14:paraId="1716DBA5">
            <w:pPr>
              <w:pStyle w:val="118"/>
              <w:rPr>
                <w:rFonts w:hint="eastAsia" w:ascii="Times New Roman" w:hAnsi="Times New Roman" w:eastAsia="宋体" w:cs="Times New Roman"/>
                <w:color w:val="auto"/>
              </w:rPr>
            </w:pPr>
            <w:r>
              <w:rPr>
                <w:rFonts w:hint="eastAsia" w:ascii="Times New Roman" w:hAnsi="Times New Roman" w:eastAsia="宋体" w:cs="Times New Roman"/>
                <w:color w:val="auto"/>
              </w:rPr>
              <w:t>（5）危险废物的收集和转运过程中，应采取相应的安全防护和污染防治措施，包括防爆、防火、防中毒、防感染、防泄漏、防飞扬、防雨或其它防止污染环境的措施，</w:t>
            </w:r>
          </w:p>
          <w:p w14:paraId="12BE531D">
            <w:pPr>
              <w:pStyle w:val="118"/>
              <w:rPr>
                <w:rFonts w:hint="eastAsia" w:ascii="Times New Roman" w:hAnsi="Times New Roman" w:eastAsia="宋体" w:cs="Times New Roman"/>
                <w:color w:val="auto"/>
              </w:rPr>
            </w:pPr>
            <w:r>
              <w:rPr>
                <w:rFonts w:hint="eastAsia" w:cs="Times New Roman"/>
                <w:color w:val="auto"/>
                <w:lang w:eastAsia="zh-CN"/>
              </w:rPr>
              <w:t>（</w:t>
            </w:r>
            <w:r>
              <w:rPr>
                <w:rFonts w:hint="eastAsia" w:cs="Times New Roman"/>
                <w:color w:val="auto"/>
                <w:lang w:val="en-US" w:eastAsia="zh-CN"/>
              </w:rPr>
              <w:t>6</w:t>
            </w:r>
            <w:r>
              <w:rPr>
                <w:rFonts w:hint="eastAsia" w:cs="Times New Roman"/>
                <w:color w:val="auto"/>
                <w:lang w:eastAsia="zh-CN"/>
              </w:rPr>
              <w:t>）</w:t>
            </w:r>
            <w:r>
              <w:rPr>
                <w:rFonts w:hint="eastAsia" w:ascii="Times New Roman" w:hAnsi="Times New Roman" w:eastAsia="宋体" w:cs="Times New Roman"/>
                <w:color w:val="auto"/>
              </w:rPr>
              <w:t>危险废物贮存设施要符合国家危险固废贮存场所的建设要求危险固废贮存设施要建有堵截泄漏的裙脚，地面与裙脚用坚固的防渗材料建造，并建有隔离设施和防风、防晒、防雨设施，基础防渗层用2mm的高密度聚乙烯材料组成，表面用耐腐蚀材料硬化。储存间内清理出来的泄漏物也属于危险废物，必须按照危险废物处理原则处理。</w:t>
            </w:r>
          </w:p>
          <w:p w14:paraId="0490AA8E">
            <w:pPr>
              <w:pStyle w:val="118"/>
              <w:rPr>
                <w:rFonts w:ascii="Times New Roman" w:hAnsi="Times New Roman" w:eastAsia="宋体" w:cs="Times New Roman"/>
                <w:color w:val="auto"/>
              </w:rPr>
            </w:pPr>
            <w:r>
              <w:rPr>
                <w:rFonts w:hint="eastAsia" w:cs="Times New Roman"/>
                <w:color w:val="auto"/>
                <w:lang w:eastAsia="zh-CN"/>
              </w:rPr>
              <w:t>（</w:t>
            </w:r>
            <w:r>
              <w:rPr>
                <w:rFonts w:hint="eastAsia" w:cs="Times New Roman"/>
                <w:color w:val="auto"/>
                <w:lang w:val="en-US" w:eastAsia="zh-CN"/>
              </w:rPr>
              <w:t>7</w:t>
            </w:r>
            <w:r>
              <w:rPr>
                <w:rFonts w:hint="eastAsia" w:cs="Times New Roman"/>
                <w:color w:val="auto"/>
                <w:lang w:eastAsia="zh-CN"/>
              </w:rPr>
              <w:t>）</w:t>
            </w:r>
            <w:r>
              <w:rPr>
                <w:rFonts w:ascii="Times New Roman" w:hAnsi="Times New Roman" w:eastAsia="宋体" w:cs="Times New Roman"/>
                <w:color w:val="auto"/>
              </w:rPr>
              <w:t>定期进行日常性检查。本项目</w:t>
            </w:r>
            <w:r>
              <w:rPr>
                <w:rFonts w:hint="eastAsia" w:cs="Times New Roman"/>
                <w:color w:val="auto"/>
                <w:lang w:eastAsia="zh-CN"/>
              </w:rPr>
              <w:t>危废贮存点</w:t>
            </w:r>
            <w:r>
              <w:rPr>
                <w:rFonts w:ascii="Times New Roman" w:hAnsi="Times New Roman" w:eastAsia="宋体" w:cs="Times New Roman"/>
                <w:color w:val="auto"/>
              </w:rPr>
              <w:t>采用</w:t>
            </w:r>
            <w:r>
              <w:rPr>
                <w:rFonts w:hint="eastAsia" w:cs="Times New Roman"/>
                <w:color w:val="auto"/>
                <w:lang w:val="en-US" w:eastAsia="zh-CN"/>
              </w:rPr>
              <w:t>重点</w:t>
            </w:r>
            <w:r>
              <w:rPr>
                <w:rFonts w:ascii="Times New Roman" w:hAnsi="Times New Roman" w:eastAsia="宋体" w:cs="Times New Roman"/>
                <w:color w:val="auto"/>
              </w:rPr>
              <w:t>防渗，地面与裙脚采用坚固防渗的材料建造，防风、防晒、防雨；基础</w:t>
            </w:r>
            <w:r>
              <w:rPr>
                <w:rFonts w:hint="eastAsia" w:ascii="Times New Roman" w:hAnsi="Times New Roman" w:eastAsia="宋体" w:cs="Times New Roman"/>
                <w:color w:val="auto"/>
              </w:rPr>
              <w:t>敷设</w:t>
            </w:r>
            <w:r>
              <w:rPr>
                <w:rFonts w:ascii="Times New Roman" w:hAnsi="Times New Roman" w:eastAsia="宋体" w:cs="Times New Roman"/>
                <w:color w:val="auto"/>
              </w:rPr>
              <w:t>至少2mm厚的高密度聚乙烯防水层，上部敷设10cm厚水泥层，渗透系数应≤1×10</w:t>
            </w:r>
            <w:r>
              <w:rPr>
                <w:rFonts w:ascii="Times New Roman" w:hAnsi="Times New Roman" w:eastAsia="宋体" w:cs="Times New Roman"/>
                <w:color w:val="auto"/>
                <w:vertAlign w:val="superscript"/>
              </w:rPr>
              <w:t>-10</w:t>
            </w:r>
            <w:r>
              <w:rPr>
                <w:rFonts w:ascii="Times New Roman" w:hAnsi="Times New Roman" w:eastAsia="宋体" w:cs="Times New Roman"/>
                <w:color w:val="auto"/>
              </w:rPr>
              <w:t>cm/s，并张贴醒目的标识，并张贴醒目的标识。本项目</w:t>
            </w:r>
            <w:r>
              <w:rPr>
                <w:rFonts w:hint="eastAsia" w:cs="Times New Roman"/>
                <w:color w:val="auto"/>
                <w:lang w:eastAsia="zh-CN"/>
              </w:rPr>
              <w:t>危废贮存点</w:t>
            </w:r>
            <w:r>
              <w:rPr>
                <w:rFonts w:ascii="Times New Roman" w:hAnsi="Times New Roman" w:eastAsia="宋体" w:cs="Times New Roman"/>
                <w:color w:val="auto"/>
              </w:rPr>
              <w:t>总面积为</w:t>
            </w:r>
            <w:r>
              <w:rPr>
                <w:rFonts w:hint="eastAsia" w:cs="Times New Roman"/>
                <w:color w:val="auto"/>
                <w:lang w:val="en-US" w:eastAsia="zh-CN"/>
              </w:rPr>
              <w:t>125</w:t>
            </w:r>
            <w:r>
              <w:rPr>
                <w:rFonts w:hint="eastAsia" w:ascii="Times New Roman" w:hAnsi="Times New Roman" w:eastAsia="宋体" w:cs="Times New Roman"/>
                <w:color w:val="auto"/>
              </w:rPr>
              <w:t>m</w:t>
            </w:r>
            <w:r>
              <w:rPr>
                <w:rFonts w:ascii="Times New Roman" w:hAnsi="Times New Roman" w:eastAsia="宋体" w:cs="Times New Roman"/>
                <w:color w:val="auto"/>
                <w:vertAlign w:val="superscript"/>
              </w:rPr>
              <w:t>2</w:t>
            </w:r>
            <w:r>
              <w:rPr>
                <w:rFonts w:ascii="Times New Roman" w:hAnsi="Times New Roman" w:eastAsia="宋体" w:cs="Times New Roman"/>
                <w:color w:val="auto"/>
              </w:rPr>
              <w:t>，面积能够满足本项目需求。</w:t>
            </w:r>
            <w:r>
              <w:rPr>
                <w:rFonts w:hint="eastAsia" w:cs="Times New Roman"/>
                <w:color w:val="auto"/>
                <w:lang w:val="en-US" w:eastAsia="zh-CN"/>
              </w:rPr>
              <w:t>危废贮存点</w:t>
            </w:r>
            <w:r>
              <w:rPr>
                <w:rFonts w:hint="eastAsia" w:ascii="Times New Roman" w:hAnsi="Times New Roman" w:eastAsia="宋体" w:cs="Times New Roman"/>
                <w:color w:val="auto"/>
              </w:rPr>
              <w:t>内设置1座事故池，容积为2m</w:t>
            </w:r>
            <w:r>
              <w:rPr>
                <w:rFonts w:hint="eastAsia" w:cs="Times New Roman"/>
                <w:color w:val="auto"/>
                <w:vertAlign w:val="superscript"/>
                <w:lang w:val="en-US" w:eastAsia="zh-CN"/>
              </w:rPr>
              <w:t>3</w:t>
            </w:r>
            <w:r>
              <w:rPr>
                <w:rFonts w:hint="eastAsia" w:ascii="Times New Roman" w:hAnsi="Times New Roman" w:eastAsia="宋体" w:cs="Times New Roman"/>
                <w:color w:val="auto"/>
              </w:rPr>
              <w:t>，并设置导流沟，</w:t>
            </w:r>
            <w:r>
              <w:rPr>
                <w:rFonts w:hint="eastAsia" w:cs="Times New Roman"/>
                <w:color w:val="auto"/>
                <w:lang w:val="en-US" w:eastAsia="zh-CN"/>
              </w:rPr>
              <w:t>危废贮存点</w:t>
            </w:r>
            <w:r>
              <w:rPr>
                <w:rFonts w:hint="eastAsia" w:ascii="Times New Roman" w:hAnsi="Times New Roman" w:eastAsia="宋体" w:cs="Times New Roman"/>
                <w:color w:val="auto"/>
              </w:rPr>
              <w:t>危险废物发生泄漏情况下，通过导流沟进入事故池暂存。可防止对地下水的环境污染。</w:t>
            </w:r>
            <w:r>
              <w:rPr>
                <w:rFonts w:ascii="Times New Roman" w:hAnsi="Times New Roman" w:eastAsia="宋体" w:cs="Times New Roman"/>
                <w:color w:val="auto"/>
              </w:rPr>
              <w:t>企业在运行过程中应定期对</w:t>
            </w:r>
            <w:r>
              <w:rPr>
                <w:rFonts w:hint="eastAsia" w:cs="Times New Roman"/>
                <w:color w:val="auto"/>
                <w:lang w:eastAsia="zh-CN"/>
              </w:rPr>
              <w:t>危废贮存点</w:t>
            </w:r>
            <w:r>
              <w:rPr>
                <w:rFonts w:ascii="Times New Roman" w:hAnsi="Times New Roman" w:eastAsia="宋体" w:cs="Times New Roman"/>
                <w:color w:val="auto"/>
              </w:rPr>
              <w:t>地面进行检查，一旦发现异常，应立即采取修补措施。</w:t>
            </w:r>
          </w:p>
          <w:p w14:paraId="05A2536D">
            <w:pPr>
              <w:pStyle w:val="118"/>
              <w:rPr>
                <w:rFonts w:ascii="Times New Roman" w:hAnsi="Times New Roman" w:eastAsia="宋体" w:cs="Times New Roman"/>
                <w:color w:val="auto"/>
              </w:rPr>
            </w:pPr>
            <w:r>
              <w:rPr>
                <w:rFonts w:hint="eastAsia" w:ascii="Times New Roman" w:hAnsi="Times New Roman" w:eastAsia="宋体" w:cs="Times New Roman"/>
                <w:color w:val="auto"/>
              </w:rPr>
              <w:t>（6）</w:t>
            </w:r>
            <w:r>
              <w:rPr>
                <w:rFonts w:ascii="Times New Roman" w:hAnsi="Times New Roman" w:eastAsia="宋体" w:cs="Times New Roman"/>
                <w:color w:val="auto"/>
              </w:rPr>
              <w:t>危险废物在转运过程中如遇恶劣天气、驾驶人员操作不当或运输车辆行驶部件、装卸系统、安全附件、储运容器的安全性能不好均会造成危险废物的泄露，对沿线居民和环境质量造成影响。</w:t>
            </w:r>
          </w:p>
          <w:p w14:paraId="13973D26">
            <w:pPr>
              <w:pStyle w:val="118"/>
              <w:rPr>
                <w:rFonts w:ascii="Times New Roman" w:hAnsi="Times New Roman" w:eastAsia="宋体" w:cs="Times New Roman"/>
                <w:color w:val="auto"/>
              </w:rPr>
            </w:pPr>
            <w:r>
              <w:rPr>
                <w:rFonts w:ascii="Times New Roman" w:hAnsi="Times New Roman" w:eastAsia="宋体" w:cs="Times New Roman"/>
                <w:color w:val="auto"/>
              </w:rPr>
              <w:t>通过采取上述措施，可满足</w:t>
            </w:r>
            <w:r>
              <w:rPr>
                <w:rFonts w:hint="eastAsia" w:ascii="Times New Roman" w:hAnsi="Times New Roman" w:eastAsia="宋体" w:cs="Times New Roman"/>
                <w:color w:val="auto"/>
              </w:rPr>
              <w:t>《危险废物贮存污染控制标准》（GB18597-2023）</w:t>
            </w:r>
            <w:r>
              <w:rPr>
                <w:rFonts w:ascii="Times New Roman" w:hAnsi="Times New Roman" w:eastAsia="宋体" w:cs="Times New Roman"/>
                <w:color w:val="auto"/>
              </w:rPr>
              <w:t>相关要求，危险废物暂存具备可行性，建设项目危险废物贮存设施基本情况见表</w:t>
            </w:r>
            <w:r>
              <w:rPr>
                <w:rFonts w:hint="eastAsia" w:cs="Times New Roman"/>
                <w:color w:val="auto"/>
                <w:lang w:val="en-US" w:eastAsia="zh-CN"/>
              </w:rPr>
              <w:t>4-19</w:t>
            </w:r>
            <w:r>
              <w:rPr>
                <w:rFonts w:ascii="Times New Roman" w:hAnsi="Times New Roman" w:eastAsia="宋体" w:cs="Times New Roman"/>
                <w:color w:val="auto"/>
              </w:rPr>
              <w:t>。</w:t>
            </w:r>
          </w:p>
          <w:p w14:paraId="7C08591D">
            <w:pPr>
              <w:pStyle w:val="118"/>
              <w:spacing w:line="240" w:lineRule="auto"/>
              <w:ind w:firstLine="422"/>
              <w:jc w:val="center"/>
              <w:rPr>
                <w:rFonts w:ascii="Times New Roman" w:hAnsi="Times New Roman" w:eastAsia="宋体" w:cs="Times New Roman"/>
                <w:b/>
                <w:bCs/>
                <w:color w:val="auto"/>
                <w:sz w:val="21"/>
                <w:szCs w:val="16"/>
              </w:rPr>
            </w:pPr>
            <w:r>
              <w:rPr>
                <w:rFonts w:hint="eastAsia" w:ascii="Times New Roman" w:hAnsi="Times New Roman" w:eastAsia="宋体" w:cs="Times New Roman"/>
                <w:b/>
                <w:bCs/>
                <w:color w:val="auto"/>
                <w:sz w:val="21"/>
                <w:szCs w:val="16"/>
              </w:rPr>
              <w:t>表4-1</w:t>
            </w:r>
            <w:r>
              <w:rPr>
                <w:rFonts w:hint="eastAsia" w:cs="Times New Roman"/>
                <w:b/>
                <w:bCs/>
                <w:color w:val="auto"/>
                <w:sz w:val="21"/>
                <w:szCs w:val="16"/>
                <w:lang w:val="en-US" w:eastAsia="zh-CN"/>
              </w:rPr>
              <w:t>9</w:t>
            </w:r>
            <w:r>
              <w:rPr>
                <w:rFonts w:hint="eastAsia" w:ascii="Times New Roman" w:hAnsi="Times New Roman" w:eastAsia="宋体" w:cs="Times New Roman"/>
                <w:b/>
                <w:bCs/>
                <w:color w:val="auto"/>
                <w:sz w:val="21"/>
                <w:szCs w:val="16"/>
              </w:rPr>
              <w:t xml:space="preserve">  危险废物贮存信息基本情况表</w:t>
            </w:r>
          </w:p>
          <w:tbl>
            <w:tblPr>
              <w:tblStyle w:val="32"/>
              <w:tblW w:w="819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7"/>
              <w:gridCol w:w="1161"/>
              <w:gridCol w:w="952"/>
              <w:gridCol w:w="1700"/>
              <w:gridCol w:w="962"/>
              <w:gridCol w:w="536"/>
              <w:gridCol w:w="495"/>
              <w:gridCol w:w="566"/>
              <w:gridCol w:w="728"/>
              <w:gridCol w:w="615"/>
            </w:tblGrid>
            <w:tr w14:paraId="7746DA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77" w:type="dxa"/>
                  <w:tcBorders>
                    <w:tl2br w:val="nil"/>
                    <w:tr2bl w:val="nil"/>
                  </w:tcBorders>
                  <w:vAlign w:val="center"/>
                </w:tcPr>
                <w:p w14:paraId="3DE4DDC1">
                  <w:pPr>
                    <w:spacing w:line="360" w:lineRule="auto"/>
                    <w:jc w:val="center"/>
                    <w:rPr>
                      <w:color w:val="auto"/>
                      <w:kern w:val="0"/>
                      <w:szCs w:val="21"/>
                    </w:rPr>
                  </w:pPr>
                  <w:r>
                    <w:rPr>
                      <w:rFonts w:hint="eastAsia"/>
                      <w:color w:val="auto"/>
                      <w:kern w:val="0"/>
                      <w:szCs w:val="21"/>
                    </w:rPr>
                    <w:t>序号</w:t>
                  </w:r>
                </w:p>
              </w:tc>
              <w:tc>
                <w:tcPr>
                  <w:tcW w:w="1161" w:type="dxa"/>
                  <w:tcBorders>
                    <w:tl2br w:val="nil"/>
                    <w:tr2bl w:val="nil"/>
                  </w:tcBorders>
                  <w:vAlign w:val="center"/>
                </w:tcPr>
                <w:p w14:paraId="65BD6E4F">
                  <w:pPr>
                    <w:spacing w:line="360" w:lineRule="auto"/>
                    <w:jc w:val="center"/>
                    <w:rPr>
                      <w:color w:val="auto"/>
                      <w:kern w:val="0"/>
                      <w:szCs w:val="21"/>
                    </w:rPr>
                  </w:pPr>
                  <w:r>
                    <w:rPr>
                      <w:rFonts w:hint="eastAsia"/>
                      <w:color w:val="auto"/>
                      <w:kern w:val="0"/>
                      <w:szCs w:val="21"/>
                    </w:rPr>
                    <w:t>贮存设施名称</w:t>
                  </w:r>
                </w:p>
              </w:tc>
              <w:tc>
                <w:tcPr>
                  <w:tcW w:w="952" w:type="dxa"/>
                  <w:tcBorders>
                    <w:tl2br w:val="nil"/>
                    <w:tr2bl w:val="nil"/>
                  </w:tcBorders>
                  <w:vAlign w:val="center"/>
                </w:tcPr>
                <w:p w14:paraId="49C1C226">
                  <w:pPr>
                    <w:spacing w:line="360" w:lineRule="auto"/>
                    <w:jc w:val="center"/>
                    <w:rPr>
                      <w:color w:val="auto"/>
                      <w:kern w:val="0"/>
                      <w:szCs w:val="21"/>
                    </w:rPr>
                  </w:pPr>
                  <w:r>
                    <w:rPr>
                      <w:rFonts w:hint="eastAsia"/>
                      <w:color w:val="auto"/>
                      <w:kern w:val="0"/>
                      <w:szCs w:val="21"/>
                    </w:rPr>
                    <w:t>危险废物名称</w:t>
                  </w:r>
                </w:p>
              </w:tc>
              <w:tc>
                <w:tcPr>
                  <w:tcW w:w="1700" w:type="dxa"/>
                  <w:tcBorders>
                    <w:tl2br w:val="nil"/>
                    <w:tr2bl w:val="nil"/>
                  </w:tcBorders>
                  <w:vAlign w:val="center"/>
                </w:tcPr>
                <w:p w14:paraId="0711F447">
                  <w:pPr>
                    <w:spacing w:line="360" w:lineRule="auto"/>
                    <w:jc w:val="center"/>
                    <w:rPr>
                      <w:color w:val="auto"/>
                      <w:kern w:val="0"/>
                      <w:szCs w:val="21"/>
                    </w:rPr>
                  </w:pPr>
                  <w:r>
                    <w:rPr>
                      <w:rFonts w:hint="eastAsia"/>
                      <w:color w:val="auto"/>
                      <w:kern w:val="0"/>
                      <w:szCs w:val="21"/>
                    </w:rPr>
                    <w:t>危险废物类别</w:t>
                  </w:r>
                </w:p>
              </w:tc>
              <w:tc>
                <w:tcPr>
                  <w:tcW w:w="962" w:type="dxa"/>
                  <w:tcBorders>
                    <w:tl2br w:val="nil"/>
                    <w:tr2bl w:val="nil"/>
                  </w:tcBorders>
                  <w:vAlign w:val="center"/>
                </w:tcPr>
                <w:p w14:paraId="554C5A71">
                  <w:pPr>
                    <w:spacing w:line="360" w:lineRule="auto"/>
                    <w:jc w:val="center"/>
                    <w:rPr>
                      <w:color w:val="auto"/>
                      <w:kern w:val="0"/>
                      <w:szCs w:val="21"/>
                    </w:rPr>
                  </w:pPr>
                  <w:r>
                    <w:rPr>
                      <w:rFonts w:hint="eastAsia"/>
                      <w:color w:val="auto"/>
                      <w:kern w:val="0"/>
                      <w:szCs w:val="21"/>
                    </w:rPr>
                    <w:t>危险废物代码</w:t>
                  </w:r>
                </w:p>
              </w:tc>
              <w:tc>
                <w:tcPr>
                  <w:tcW w:w="536" w:type="dxa"/>
                  <w:tcBorders>
                    <w:tl2br w:val="nil"/>
                    <w:tr2bl w:val="nil"/>
                  </w:tcBorders>
                  <w:vAlign w:val="center"/>
                </w:tcPr>
                <w:p w14:paraId="2A3EEE70">
                  <w:pPr>
                    <w:spacing w:line="360" w:lineRule="auto"/>
                    <w:jc w:val="center"/>
                    <w:rPr>
                      <w:color w:val="auto"/>
                      <w:kern w:val="0"/>
                      <w:szCs w:val="21"/>
                    </w:rPr>
                  </w:pPr>
                  <w:r>
                    <w:rPr>
                      <w:rFonts w:hint="eastAsia"/>
                      <w:color w:val="auto"/>
                      <w:kern w:val="0"/>
                      <w:szCs w:val="21"/>
                    </w:rPr>
                    <w:t>位置</w:t>
                  </w:r>
                </w:p>
              </w:tc>
              <w:tc>
                <w:tcPr>
                  <w:tcW w:w="495" w:type="dxa"/>
                  <w:tcBorders>
                    <w:tl2br w:val="nil"/>
                    <w:tr2bl w:val="nil"/>
                  </w:tcBorders>
                  <w:vAlign w:val="center"/>
                </w:tcPr>
                <w:p w14:paraId="4C4FC6B2">
                  <w:pPr>
                    <w:spacing w:line="360" w:lineRule="auto"/>
                    <w:jc w:val="center"/>
                    <w:rPr>
                      <w:color w:val="auto"/>
                      <w:kern w:val="0"/>
                      <w:szCs w:val="21"/>
                    </w:rPr>
                  </w:pPr>
                  <w:r>
                    <w:rPr>
                      <w:rFonts w:hint="eastAsia"/>
                      <w:color w:val="auto"/>
                      <w:kern w:val="0"/>
                      <w:szCs w:val="21"/>
                    </w:rPr>
                    <w:t>占地面积</w:t>
                  </w:r>
                </w:p>
              </w:tc>
              <w:tc>
                <w:tcPr>
                  <w:tcW w:w="566" w:type="dxa"/>
                  <w:tcBorders>
                    <w:tl2br w:val="nil"/>
                    <w:tr2bl w:val="nil"/>
                  </w:tcBorders>
                  <w:vAlign w:val="center"/>
                </w:tcPr>
                <w:p w14:paraId="7BBB3E52">
                  <w:pPr>
                    <w:spacing w:line="360" w:lineRule="auto"/>
                    <w:jc w:val="center"/>
                    <w:rPr>
                      <w:color w:val="auto"/>
                      <w:kern w:val="0"/>
                      <w:szCs w:val="21"/>
                    </w:rPr>
                  </w:pPr>
                  <w:r>
                    <w:rPr>
                      <w:rFonts w:hint="eastAsia"/>
                      <w:color w:val="auto"/>
                      <w:kern w:val="0"/>
                      <w:szCs w:val="21"/>
                    </w:rPr>
                    <w:t>贮存方式</w:t>
                  </w:r>
                </w:p>
              </w:tc>
              <w:tc>
                <w:tcPr>
                  <w:tcW w:w="728" w:type="dxa"/>
                  <w:tcBorders>
                    <w:tl2br w:val="nil"/>
                    <w:tr2bl w:val="nil"/>
                  </w:tcBorders>
                  <w:vAlign w:val="center"/>
                </w:tcPr>
                <w:p w14:paraId="59540937">
                  <w:pPr>
                    <w:spacing w:line="360" w:lineRule="auto"/>
                    <w:jc w:val="center"/>
                    <w:rPr>
                      <w:color w:val="auto"/>
                      <w:kern w:val="0"/>
                      <w:szCs w:val="21"/>
                    </w:rPr>
                  </w:pPr>
                  <w:r>
                    <w:rPr>
                      <w:rFonts w:hint="eastAsia"/>
                      <w:color w:val="auto"/>
                      <w:kern w:val="0"/>
                      <w:szCs w:val="21"/>
                    </w:rPr>
                    <w:t>贮存能力</w:t>
                  </w:r>
                </w:p>
              </w:tc>
              <w:tc>
                <w:tcPr>
                  <w:tcW w:w="615" w:type="dxa"/>
                  <w:tcBorders>
                    <w:tl2br w:val="nil"/>
                    <w:tr2bl w:val="nil"/>
                  </w:tcBorders>
                  <w:vAlign w:val="center"/>
                </w:tcPr>
                <w:p w14:paraId="0C7EAE14">
                  <w:pPr>
                    <w:spacing w:line="360" w:lineRule="auto"/>
                    <w:jc w:val="center"/>
                    <w:rPr>
                      <w:color w:val="auto"/>
                      <w:kern w:val="0"/>
                      <w:szCs w:val="21"/>
                    </w:rPr>
                  </w:pPr>
                  <w:r>
                    <w:rPr>
                      <w:rFonts w:hint="eastAsia"/>
                      <w:color w:val="auto"/>
                      <w:kern w:val="0"/>
                      <w:szCs w:val="21"/>
                    </w:rPr>
                    <w:t>贮存周期</w:t>
                  </w:r>
                </w:p>
              </w:tc>
            </w:tr>
            <w:tr w14:paraId="14995E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7" w:hRule="atLeast"/>
              </w:trPr>
              <w:tc>
                <w:tcPr>
                  <w:tcW w:w="477" w:type="dxa"/>
                  <w:tcBorders>
                    <w:tl2br w:val="nil"/>
                    <w:tr2bl w:val="nil"/>
                  </w:tcBorders>
                  <w:vAlign w:val="center"/>
                </w:tcPr>
                <w:p w14:paraId="5A5B8CE8">
                  <w:pPr>
                    <w:spacing w:line="360" w:lineRule="auto"/>
                    <w:jc w:val="center"/>
                    <w:rPr>
                      <w:rFonts w:hint="eastAsia" w:eastAsia="宋体"/>
                      <w:color w:val="auto"/>
                      <w:kern w:val="0"/>
                      <w:szCs w:val="21"/>
                      <w:lang w:eastAsia="zh-CN"/>
                    </w:rPr>
                  </w:pPr>
                  <w:r>
                    <w:rPr>
                      <w:rFonts w:hint="eastAsia"/>
                      <w:color w:val="auto"/>
                      <w:kern w:val="0"/>
                      <w:szCs w:val="21"/>
                      <w:lang w:val="en-US" w:eastAsia="zh-CN"/>
                    </w:rPr>
                    <w:t>1</w:t>
                  </w:r>
                </w:p>
              </w:tc>
              <w:tc>
                <w:tcPr>
                  <w:tcW w:w="1161" w:type="dxa"/>
                  <w:tcBorders>
                    <w:tl2br w:val="nil"/>
                    <w:tr2bl w:val="nil"/>
                  </w:tcBorders>
                  <w:vAlign w:val="center"/>
                </w:tcPr>
                <w:p w14:paraId="4691D2FA">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highlight w:val="none"/>
                      <w:lang w:val="en-US" w:eastAsia="zh-CN"/>
                    </w:rPr>
                    <w:t>废铅酸蓄电池</w:t>
                  </w:r>
                  <w:r>
                    <w:rPr>
                      <w:rFonts w:hint="eastAsia" w:cs="Times New Roman"/>
                      <w:color w:val="auto"/>
                      <w:kern w:val="0"/>
                      <w:sz w:val="21"/>
                      <w:szCs w:val="21"/>
                      <w:lang w:val="en-US" w:eastAsia="zh-CN"/>
                    </w:rPr>
                    <w:t>存储区</w:t>
                  </w:r>
                </w:p>
              </w:tc>
              <w:tc>
                <w:tcPr>
                  <w:tcW w:w="952" w:type="dxa"/>
                  <w:tcBorders>
                    <w:tl2br w:val="nil"/>
                    <w:tr2bl w:val="nil"/>
                  </w:tcBorders>
                  <w:vAlign w:val="center"/>
                </w:tcPr>
                <w:p w14:paraId="5B68C411">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eastAsia" w:ascii="Times New Roman" w:hAnsi="Times New Roman" w:cs="Times New Roman" w:eastAsiaTheme="minorEastAsia"/>
                      <w:color w:val="auto"/>
                      <w:kern w:val="2"/>
                      <w:sz w:val="21"/>
                      <w:szCs w:val="21"/>
                      <w:lang w:val="en-US" w:eastAsia="zh-CN" w:bidi="ar-SA"/>
                    </w:rPr>
                  </w:pPr>
                  <w:r>
                    <w:rPr>
                      <w:rFonts w:hint="eastAsia" w:cs="Times New Roman"/>
                      <w:color w:val="auto"/>
                      <w:highlight w:val="none"/>
                      <w:lang w:val="en-US" w:eastAsia="zh-CN"/>
                    </w:rPr>
                    <w:t>废铅酸蓄电池</w:t>
                  </w:r>
                </w:p>
              </w:tc>
              <w:tc>
                <w:tcPr>
                  <w:tcW w:w="1700" w:type="dxa"/>
                  <w:tcBorders>
                    <w:tl2br w:val="nil"/>
                    <w:tr2bl w:val="nil"/>
                  </w:tcBorders>
                  <w:vAlign w:val="center"/>
                </w:tcPr>
                <w:p w14:paraId="790DA18F">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ascii="Times New Roman" w:hAnsi="Times New Roman" w:cs="Times New Roman" w:eastAsiaTheme="minorEastAsia"/>
                      <w:color w:val="auto"/>
                      <w:kern w:val="2"/>
                      <w:sz w:val="21"/>
                      <w:szCs w:val="21"/>
                      <w:u w:color="000000"/>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HW31 含铅废物</w:t>
                  </w:r>
                </w:p>
              </w:tc>
              <w:tc>
                <w:tcPr>
                  <w:tcW w:w="962" w:type="dxa"/>
                  <w:tcBorders>
                    <w:tl2br w:val="nil"/>
                    <w:tr2bl w:val="nil"/>
                  </w:tcBorders>
                  <w:vAlign w:val="center"/>
                </w:tcPr>
                <w:p w14:paraId="46957445">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900-052-31</w:t>
                  </w:r>
                </w:p>
              </w:tc>
              <w:tc>
                <w:tcPr>
                  <w:tcW w:w="536" w:type="dxa"/>
                  <w:vMerge w:val="restart"/>
                  <w:tcBorders>
                    <w:tl2br w:val="nil"/>
                    <w:tr2bl w:val="nil"/>
                  </w:tcBorders>
                  <w:vAlign w:val="center"/>
                </w:tcPr>
                <w:p w14:paraId="77CE88A9">
                  <w:pPr>
                    <w:spacing w:line="360" w:lineRule="auto"/>
                    <w:jc w:val="center"/>
                    <w:rPr>
                      <w:rFonts w:hint="default" w:eastAsia="宋体"/>
                      <w:color w:val="auto"/>
                      <w:kern w:val="0"/>
                      <w:szCs w:val="21"/>
                      <w:lang w:val="en-US" w:eastAsia="zh-CN"/>
                    </w:rPr>
                  </w:pPr>
                  <w:r>
                    <w:rPr>
                      <w:rFonts w:hint="eastAsia"/>
                      <w:color w:val="auto"/>
                      <w:kern w:val="0"/>
                      <w:szCs w:val="21"/>
                      <w:lang w:val="en-US" w:eastAsia="zh-CN"/>
                    </w:rPr>
                    <w:t>危废贮存点</w:t>
                  </w:r>
                </w:p>
              </w:tc>
              <w:tc>
                <w:tcPr>
                  <w:tcW w:w="495" w:type="dxa"/>
                  <w:vMerge w:val="restart"/>
                  <w:tcBorders>
                    <w:tl2br w:val="nil"/>
                    <w:tr2bl w:val="nil"/>
                  </w:tcBorders>
                  <w:vAlign w:val="center"/>
                </w:tcPr>
                <w:p w14:paraId="0771595D">
                  <w:pPr>
                    <w:spacing w:line="360" w:lineRule="auto"/>
                    <w:jc w:val="center"/>
                    <w:rPr>
                      <w:color w:val="auto"/>
                      <w:kern w:val="0"/>
                      <w:szCs w:val="21"/>
                    </w:rPr>
                  </w:pPr>
                  <w:r>
                    <w:rPr>
                      <w:rFonts w:hint="eastAsia"/>
                      <w:snapToGrid w:val="0"/>
                      <w:color w:val="auto"/>
                      <w:kern w:val="0"/>
                      <w:sz w:val="21"/>
                      <w:szCs w:val="21"/>
                      <w:lang w:val="en-US" w:eastAsia="zh-CN"/>
                    </w:rPr>
                    <w:t>125</w:t>
                  </w:r>
                  <w:r>
                    <w:rPr>
                      <w:rFonts w:ascii="Times New Roman" w:hAnsi="Times New Roman"/>
                      <w:snapToGrid w:val="0"/>
                      <w:color w:val="auto"/>
                      <w:kern w:val="0"/>
                      <w:sz w:val="21"/>
                      <w:szCs w:val="21"/>
                    </w:rPr>
                    <w:t>m</w:t>
                  </w:r>
                  <w:r>
                    <w:rPr>
                      <w:rFonts w:ascii="Times New Roman" w:hAnsi="Times New Roman"/>
                      <w:color w:val="auto"/>
                      <w:sz w:val="21"/>
                      <w:szCs w:val="21"/>
                      <w:vertAlign w:val="superscript"/>
                    </w:rPr>
                    <w:t>2</w:t>
                  </w:r>
                </w:p>
              </w:tc>
              <w:tc>
                <w:tcPr>
                  <w:tcW w:w="566" w:type="dxa"/>
                  <w:vMerge w:val="restart"/>
                  <w:tcBorders>
                    <w:tl2br w:val="nil"/>
                    <w:tr2bl w:val="nil"/>
                  </w:tcBorders>
                  <w:vAlign w:val="center"/>
                </w:tcPr>
                <w:p w14:paraId="33EF5EA6">
                  <w:pPr>
                    <w:spacing w:line="360" w:lineRule="auto"/>
                    <w:jc w:val="center"/>
                    <w:rPr>
                      <w:rFonts w:hint="default" w:eastAsia="宋体"/>
                      <w:color w:val="auto"/>
                      <w:kern w:val="0"/>
                      <w:szCs w:val="21"/>
                      <w:lang w:val="en-US" w:eastAsia="zh-CN"/>
                    </w:rPr>
                  </w:pPr>
                  <w:r>
                    <w:rPr>
                      <w:rFonts w:hint="eastAsia"/>
                      <w:color w:val="auto"/>
                      <w:kern w:val="0"/>
                      <w:szCs w:val="21"/>
                    </w:rPr>
                    <w:t>隔离隔开分离贮存</w:t>
                  </w:r>
                </w:p>
              </w:tc>
              <w:tc>
                <w:tcPr>
                  <w:tcW w:w="728" w:type="dxa"/>
                  <w:tcBorders>
                    <w:tl2br w:val="nil"/>
                    <w:tr2bl w:val="nil"/>
                  </w:tcBorders>
                  <w:vAlign w:val="center"/>
                </w:tcPr>
                <w:p w14:paraId="51E532E5">
                  <w:pPr>
                    <w:kinsoku w:val="0"/>
                    <w:overflowPunct w:val="0"/>
                    <w:autoSpaceDE w:val="0"/>
                    <w:autoSpaceDN w:val="0"/>
                    <w:jc w:val="center"/>
                    <w:rPr>
                      <w:rFonts w:hint="default" w:ascii="Times New Roman" w:hAnsi="Times New Roman" w:cs="Times New Roman" w:eastAsiaTheme="minorEastAsia"/>
                      <w:color w:val="auto"/>
                      <w:kern w:val="2"/>
                      <w:sz w:val="21"/>
                      <w:szCs w:val="21"/>
                      <w:lang w:val="en-US" w:eastAsia="zh-CN" w:bidi="ar-SA"/>
                    </w:rPr>
                  </w:pPr>
                  <w:r>
                    <w:rPr>
                      <w:rFonts w:hint="eastAsia" w:cs="Times New Roman" w:eastAsiaTheme="minorEastAsia"/>
                      <w:color w:val="auto"/>
                      <w:kern w:val="2"/>
                      <w:sz w:val="21"/>
                      <w:szCs w:val="21"/>
                      <w:lang w:val="en-US" w:eastAsia="zh-CN" w:bidi="ar-SA"/>
                    </w:rPr>
                    <w:t>0.5t</w:t>
                  </w:r>
                </w:p>
              </w:tc>
              <w:tc>
                <w:tcPr>
                  <w:tcW w:w="615" w:type="dxa"/>
                  <w:vMerge w:val="restart"/>
                  <w:tcBorders>
                    <w:tl2br w:val="nil"/>
                    <w:tr2bl w:val="nil"/>
                  </w:tcBorders>
                  <w:vAlign w:val="center"/>
                </w:tcPr>
                <w:p w14:paraId="7E54DAD9">
                  <w:pPr>
                    <w:spacing w:line="360" w:lineRule="auto"/>
                    <w:jc w:val="center"/>
                    <w:rPr>
                      <w:rFonts w:hint="default" w:ascii="Times New Roman" w:hAnsi="Times New Roman" w:eastAsia="宋体" w:cs="Times New Roman"/>
                      <w:color w:val="auto"/>
                      <w:kern w:val="0"/>
                      <w:sz w:val="21"/>
                      <w:szCs w:val="21"/>
                      <w:lang w:val="en-US" w:eastAsia="zh-CN" w:bidi="ar-SA"/>
                    </w:rPr>
                  </w:pPr>
                  <w:r>
                    <w:rPr>
                      <w:rFonts w:hint="eastAsia"/>
                      <w:color w:val="auto"/>
                      <w:kern w:val="0"/>
                      <w:szCs w:val="21"/>
                      <w:lang w:val="en-US" w:eastAsia="zh-CN"/>
                    </w:rPr>
                    <w:t>1个月</w:t>
                  </w:r>
                </w:p>
              </w:tc>
            </w:tr>
            <w:tr w14:paraId="1B630D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477" w:type="dxa"/>
                  <w:tcBorders>
                    <w:tl2br w:val="nil"/>
                    <w:tr2bl w:val="nil"/>
                  </w:tcBorders>
                  <w:vAlign w:val="center"/>
                </w:tcPr>
                <w:p w14:paraId="63EFCF37">
                  <w:pPr>
                    <w:spacing w:line="360" w:lineRule="auto"/>
                    <w:jc w:val="center"/>
                    <w:rPr>
                      <w:rFonts w:hint="default"/>
                      <w:color w:val="auto"/>
                      <w:kern w:val="0"/>
                      <w:szCs w:val="21"/>
                      <w:lang w:val="en-US" w:eastAsia="zh-CN"/>
                    </w:rPr>
                  </w:pPr>
                  <w:r>
                    <w:rPr>
                      <w:rFonts w:hint="eastAsia"/>
                      <w:color w:val="auto"/>
                      <w:kern w:val="0"/>
                      <w:szCs w:val="21"/>
                      <w:lang w:val="en-US" w:eastAsia="zh-CN"/>
                    </w:rPr>
                    <w:t>2</w:t>
                  </w:r>
                </w:p>
              </w:tc>
              <w:tc>
                <w:tcPr>
                  <w:tcW w:w="1161" w:type="dxa"/>
                  <w:tcBorders>
                    <w:tl2br w:val="nil"/>
                    <w:tr2bl w:val="nil"/>
                  </w:tcBorders>
                  <w:vAlign w:val="center"/>
                </w:tcPr>
                <w:p w14:paraId="2FB73410">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eastAsia"/>
                      <w:color w:val="auto"/>
                      <w:kern w:val="0"/>
                      <w:szCs w:val="21"/>
                    </w:rPr>
                  </w:pPr>
                  <w:r>
                    <w:rPr>
                      <w:rFonts w:hint="eastAsia" w:cs="Times New Roman"/>
                      <w:color w:val="auto"/>
                      <w:highlight w:val="none"/>
                      <w:lang w:val="en-US" w:eastAsia="zh-CN"/>
                    </w:rPr>
                    <w:t>废油液及油泥</w:t>
                  </w:r>
                  <w:r>
                    <w:rPr>
                      <w:rFonts w:hint="eastAsia" w:cs="Times New Roman"/>
                      <w:color w:val="auto"/>
                      <w:kern w:val="0"/>
                      <w:sz w:val="21"/>
                      <w:szCs w:val="21"/>
                      <w:lang w:val="en-US" w:eastAsia="zh-CN"/>
                    </w:rPr>
                    <w:t>存储区</w:t>
                  </w:r>
                </w:p>
              </w:tc>
              <w:tc>
                <w:tcPr>
                  <w:tcW w:w="952" w:type="dxa"/>
                  <w:tcBorders>
                    <w:tl2br w:val="nil"/>
                    <w:tr2bl w:val="nil"/>
                  </w:tcBorders>
                  <w:vAlign w:val="center"/>
                </w:tcPr>
                <w:p w14:paraId="7212E78E">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eastAsia"/>
                      <w:color w:val="auto"/>
                      <w:kern w:val="0"/>
                      <w:szCs w:val="21"/>
                    </w:rPr>
                  </w:pPr>
                  <w:r>
                    <w:rPr>
                      <w:rFonts w:hint="eastAsia" w:cs="Times New Roman"/>
                      <w:color w:val="auto"/>
                      <w:highlight w:val="none"/>
                      <w:lang w:val="en-US" w:eastAsia="zh-CN"/>
                    </w:rPr>
                    <w:t>废油液及油泥</w:t>
                  </w:r>
                </w:p>
              </w:tc>
              <w:tc>
                <w:tcPr>
                  <w:tcW w:w="1700" w:type="dxa"/>
                  <w:tcBorders>
                    <w:tl2br w:val="nil"/>
                    <w:tr2bl w:val="nil"/>
                  </w:tcBorders>
                  <w:vAlign w:val="center"/>
                </w:tcPr>
                <w:p w14:paraId="1D847654">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color w:val="auto"/>
                      <w:kern w:val="0"/>
                      <w:szCs w:val="21"/>
                    </w:rPr>
                  </w:pPr>
                  <w:r>
                    <w:rPr>
                      <w:rFonts w:hint="eastAsia" w:ascii="Times New Roman" w:hAnsi="Times New Roman" w:eastAsia="宋体" w:cs="Times New Roman"/>
                      <w:b w:val="0"/>
                      <w:bCs w:val="0"/>
                      <w:color w:val="auto"/>
                      <w:kern w:val="0"/>
                      <w:sz w:val="21"/>
                      <w:szCs w:val="21"/>
                      <w:highlight w:val="none"/>
                      <w:lang w:val="en-US" w:eastAsia="zh-CN" w:bidi="ar-SA"/>
                    </w:rPr>
                    <w:t>HW08 废矿物油与含矿物油废物</w:t>
                  </w:r>
                </w:p>
              </w:tc>
              <w:tc>
                <w:tcPr>
                  <w:tcW w:w="962" w:type="dxa"/>
                  <w:tcBorders>
                    <w:tl2br w:val="nil"/>
                    <w:tr2bl w:val="nil"/>
                  </w:tcBorders>
                  <w:vAlign w:val="center"/>
                </w:tcPr>
                <w:p w14:paraId="2B80DFB6">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color w:val="auto"/>
                      <w:szCs w:val="21"/>
                    </w:rPr>
                  </w:pPr>
                  <w:r>
                    <w:rPr>
                      <w:rFonts w:hint="eastAsia" w:ascii="Times New Roman" w:hAnsi="Times New Roman" w:eastAsia="宋体" w:cs="Times New Roman"/>
                      <w:b w:val="0"/>
                      <w:bCs w:val="0"/>
                      <w:color w:val="auto"/>
                      <w:kern w:val="0"/>
                      <w:sz w:val="21"/>
                      <w:szCs w:val="21"/>
                      <w:highlight w:val="none"/>
                      <w:lang w:val="en-US" w:eastAsia="zh-CN" w:bidi="ar-SA"/>
                    </w:rPr>
                    <w:t>900-199-08</w:t>
                  </w:r>
                </w:p>
              </w:tc>
              <w:tc>
                <w:tcPr>
                  <w:tcW w:w="536" w:type="dxa"/>
                  <w:vMerge w:val="continue"/>
                  <w:tcBorders>
                    <w:tl2br w:val="nil"/>
                    <w:tr2bl w:val="nil"/>
                  </w:tcBorders>
                  <w:vAlign w:val="center"/>
                </w:tcPr>
                <w:p w14:paraId="1E3B4EFE">
                  <w:pPr>
                    <w:spacing w:line="360" w:lineRule="auto"/>
                    <w:jc w:val="center"/>
                    <w:rPr>
                      <w:rFonts w:hint="eastAsia"/>
                      <w:color w:val="auto"/>
                      <w:kern w:val="0"/>
                      <w:szCs w:val="21"/>
                      <w:lang w:val="en-US" w:eastAsia="zh-CN"/>
                    </w:rPr>
                  </w:pPr>
                </w:p>
              </w:tc>
              <w:tc>
                <w:tcPr>
                  <w:tcW w:w="495" w:type="dxa"/>
                  <w:vMerge w:val="continue"/>
                  <w:tcBorders>
                    <w:tl2br w:val="nil"/>
                    <w:tr2bl w:val="nil"/>
                  </w:tcBorders>
                  <w:vAlign w:val="center"/>
                </w:tcPr>
                <w:p w14:paraId="16D75C0D">
                  <w:pPr>
                    <w:spacing w:line="360" w:lineRule="auto"/>
                    <w:jc w:val="center"/>
                    <w:rPr>
                      <w:rFonts w:hint="eastAsia"/>
                      <w:snapToGrid w:val="0"/>
                      <w:color w:val="auto"/>
                      <w:kern w:val="0"/>
                      <w:sz w:val="21"/>
                      <w:szCs w:val="21"/>
                      <w:lang w:val="en-US" w:eastAsia="zh-CN"/>
                    </w:rPr>
                  </w:pPr>
                </w:p>
              </w:tc>
              <w:tc>
                <w:tcPr>
                  <w:tcW w:w="566" w:type="dxa"/>
                  <w:vMerge w:val="continue"/>
                  <w:tcBorders>
                    <w:tl2br w:val="nil"/>
                    <w:tr2bl w:val="nil"/>
                  </w:tcBorders>
                  <w:vAlign w:val="center"/>
                </w:tcPr>
                <w:p w14:paraId="2FAAD1CF">
                  <w:pPr>
                    <w:spacing w:line="360" w:lineRule="auto"/>
                    <w:jc w:val="center"/>
                    <w:rPr>
                      <w:rFonts w:hint="eastAsia"/>
                      <w:color w:val="auto"/>
                      <w:kern w:val="0"/>
                      <w:szCs w:val="21"/>
                    </w:rPr>
                  </w:pPr>
                </w:p>
              </w:tc>
              <w:tc>
                <w:tcPr>
                  <w:tcW w:w="728" w:type="dxa"/>
                  <w:tcBorders>
                    <w:tl2br w:val="nil"/>
                    <w:tr2bl w:val="nil"/>
                  </w:tcBorders>
                  <w:vAlign w:val="center"/>
                </w:tcPr>
                <w:p w14:paraId="7BECD40D">
                  <w:pPr>
                    <w:kinsoku w:val="0"/>
                    <w:overflowPunct w:val="0"/>
                    <w:autoSpaceDE w:val="0"/>
                    <w:autoSpaceDN w:val="0"/>
                    <w:jc w:val="center"/>
                    <w:rPr>
                      <w:rFonts w:hint="default" w:cs="Times New Roman" w:eastAsiaTheme="minorEastAsia"/>
                      <w:color w:val="auto"/>
                      <w:kern w:val="2"/>
                      <w:sz w:val="21"/>
                      <w:szCs w:val="21"/>
                      <w:lang w:val="en-US" w:eastAsia="zh-CN" w:bidi="ar-SA"/>
                    </w:rPr>
                  </w:pPr>
                  <w:r>
                    <w:rPr>
                      <w:rFonts w:hint="eastAsia" w:cs="Times New Roman" w:eastAsiaTheme="minorEastAsia"/>
                      <w:color w:val="auto"/>
                      <w:kern w:val="2"/>
                      <w:sz w:val="21"/>
                      <w:szCs w:val="21"/>
                      <w:lang w:val="en-US" w:eastAsia="zh-CN" w:bidi="ar-SA"/>
                    </w:rPr>
                    <w:t>0.5t</w:t>
                  </w:r>
                </w:p>
              </w:tc>
              <w:tc>
                <w:tcPr>
                  <w:tcW w:w="615" w:type="dxa"/>
                  <w:vMerge w:val="continue"/>
                  <w:tcBorders>
                    <w:tl2br w:val="nil"/>
                    <w:tr2bl w:val="nil"/>
                  </w:tcBorders>
                  <w:vAlign w:val="center"/>
                </w:tcPr>
                <w:p w14:paraId="37F00930">
                  <w:pPr>
                    <w:spacing w:line="360" w:lineRule="auto"/>
                    <w:jc w:val="center"/>
                    <w:rPr>
                      <w:rFonts w:hint="eastAsia"/>
                      <w:color w:val="auto"/>
                      <w:kern w:val="0"/>
                      <w:szCs w:val="21"/>
                      <w:lang w:val="en-US" w:eastAsia="zh-CN"/>
                    </w:rPr>
                  </w:pPr>
                </w:p>
              </w:tc>
            </w:tr>
            <w:tr w14:paraId="1D183B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7" w:hRule="atLeast"/>
              </w:trPr>
              <w:tc>
                <w:tcPr>
                  <w:tcW w:w="477" w:type="dxa"/>
                  <w:tcBorders>
                    <w:tl2br w:val="nil"/>
                    <w:tr2bl w:val="nil"/>
                  </w:tcBorders>
                  <w:vAlign w:val="center"/>
                </w:tcPr>
                <w:p w14:paraId="15BF1828">
                  <w:pPr>
                    <w:spacing w:line="360" w:lineRule="auto"/>
                    <w:jc w:val="center"/>
                    <w:rPr>
                      <w:rFonts w:hint="default"/>
                      <w:color w:val="auto"/>
                      <w:kern w:val="0"/>
                      <w:szCs w:val="21"/>
                      <w:lang w:val="en-US" w:eastAsia="zh-CN"/>
                    </w:rPr>
                  </w:pPr>
                  <w:r>
                    <w:rPr>
                      <w:rFonts w:hint="eastAsia"/>
                      <w:color w:val="auto"/>
                      <w:kern w:val="0"/>
                      <w:szCs w:val="21"/>
                      <w:lang w:val="en-US" w:eastAsia="zh-CN"/>
                    </w:rPr>
                    <w:t>3</w:t>
                  </w:r>
                </w:p>
              </w:tc>
              <w:tc>
                <w:tcPr>
                  <w:tcW w:w="1161" w:type="dxa"/>
                  <w:tcBorders>
                    <w:tl2br w:val="nil"/>
                    <w:tr2bl w:val="nil"/>
                  </w:tcBorders>
                  <w:vAlign w:val="center"/>
                </w:tcPr>
                <w:p w14:paraId="018E7AD0">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eastAsia"/>
                      <w:color w:val="auto"/>
                      <w:kern w:val="0"/>
                      <w:szCs w:val="21"/>
                    </w:rPr>
                  </w:pPr>
                  <w:r>
                    <w:rPr>
                      <w:rFonts w:hint="eastAsia" w:cs="Times New Roman"/>
                      <w:color w:val="auto"/>
                      <w:highlight w:val="none"/>
                      <w:lang w:val="en-US" w:eastAsia="zh-CN"/>
                    </w:rPr>
                    <w:t>含油抹布及手套</w:t>
                  </w:r>
                  <w:r>
                    <w:rPr>
                      <w:rFonts w:hint="eastAsia" w:cs="Times New Roman"/>
                      <w:color w:val="auto"/>
                      <w:kern w:val="0"/>
                      <w:sz w:val="21"/>
                      <w:szCs w:val="21"/>
                      <w:lang w:val="en-US" w:eastAsia="zh-CN"/>
                    </w:rPr>
                    <w:t>存储区</w:t>
                  </w:r>
                </w:p>
              </w:tc>
              <w:tc>
                <w:tcPr>
                  <w:tcW w:w="952" w:type="dxa"/>
                  <w:tcBorders>
                    <w:tl2br w:val="nil"/>
                    <w:tr2bl w:val="nil"/>
                  </w:tcBorders>
                  <w:vAlign w:val="center"/>
                </w:tcPr>
                <w:p w14:paraId="29285B1F">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eastAsia"/>
                      <w:color w:val="auto"/>
                      <w:kern w:val="0"/>
                      <w:szCs w:val="21"/>
                    </w:rPr>
                  </w:pPr>
                  <w:r>
                    <w:rPr>
                      <w:rFonts w:hint="eastAsia" w:cs="Times New Roman"/>
                      <w:color w:val="auto"/>
                      <w:highlight w:val="none"/>
                      <w:lang w:val="en-US" w:eastAsia="zh-CN"/>
                    </w:rPr>
                    <w:t>含油抹布及手套</w:t>
                  </w:r>
                </w:p>
              </w:tc>
              <w:tc>
                <w:tcPr>
                  <w:tcW w:w="1700" w:type="dxa"/>
                  <w:tcBorders>
                    <w:tl2br w:val="nil"/>
                    <w:tr2bl w:val="nil"/>
                  </w:tcBorders>
                  <w:vAlign w:val="center"/>
                </w:tcPr>
                <w:p w14:paraId="741BA296">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color w:val="auto"/>
                      <w:kern w:val="0"/>
                      <w:szCs w:val="21"/>
                    </w:rPr>
                  </w:pPr>
                  <w:r>
                    <w:rPr>
                      <w:rFonts w:hint="eastAsia" w:ascii="Times New Roman" w:hAnsi="Times New Roman" w:eastAsia="宋体" w:cs="Times New Roman"/>
                      <w:b w:val="0"/>
                      <w:bCs w:val="0"/>
                      <w:color w:val="auto"/>
                      <w:kern w:val="0"/>
                      <w:sz w:val="21"/>
                      <w:szCs w:val="21"/>
                      <w:highlight w:val="none"/>
                      <w:lang w:val="en-US" w:eastAsia="zh-CN" w:bidi="ar-SA"/>
                    </w:rPr>
                    <w:t>HW49 其他废物</w:t>
                  </w:r>
                </w:p>
              </w:tc>
              <w:tc>
                <w:tcPr>
                  <w:tcW w:w="962" w:type="dxa"/>
                  <w:tcBorders>
                    <w:tl2br w:val="nil"/>
                    <w:tr2bl w:val="nil"/>
                  </w:tcBorders>
                  <w:vAlign w:val="center"/>
                </w:tcPr>
                <w:p w14:paraId="0E8EF3CF">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color w:val="auto"/>
                      <w:szCs w:val="21"/>
                    </w:rPr>
                  </w:pPr>
                  <w:r>
                    <w:rPr>
                      <w:rFonts w:hint="eastAsia" w:ascii="Times New Roman" w:hAnsi="Times New Roman" w:eastAsia="宋体" w:cs="Times New Roman"/>
                      <w:b w:val="0"/>
                      <w:bCs w:val="0"/>
                      <w:color w:val="auto"/>
                      <w:kern w:val="0"/>
                      <w:sz w:val="21"/>
                      <w:szCs w:val="21"/>
                      <w:highlight w:val="none"/>
                      <w:lang w:val="en-US" w:eastAsia="zh-CN" w:bidi="ar-SA"/>
                    </w:rPr>
                    <w:t>900-041-49</w:t>
                  </w:r>
                </w:p>
              </w:tc>
              <w:tc>
                <w:tcPr>
                  <w:tcW w:w="536" w:type="dxa"/>
                  <w:vMerge w:val="continue"/>
                  <w:tcBorders>
                    <w:tl2br w:val="nil"/>
                    <w:tr2bl w:val="nil"/>
                  </w:tcBorders>
                  <w:vAlign w:val="center"/>
                </w:tcPr>
                <w:p w14:paraId="3976B2C7">
                  <w:pPr>
                    <w:spacing w:line="360" w:lineRule="auto"/>
                    <w:jc w:val="center"/>
                    <w:rPr>
                      <w:rFonts w:hint="eastAsia"/>
                      <w:color w:val="auto"/>
                      <w:kern w:val="0"/>
                      <w:szCs w:val="21"/>
                      <w:lang w:val="en-US" w:eastAsia="zh-CN"/>
                    </w:rPr>
                  </w:pPr>
                </w:p>
              </w:tc>
              <w:tc>
                <w:tcPr>
                  <w:tcW w:w="495" w:type="dxa"/>
                  <w:vMerge w:val="continue"/>
                  <w:tcBorders>
                    <w:tl2br w:val="nil"/>
                    <w:tr2bl w:val="nil"/>
                  </w:tcBorders>
                  <w:vAlign w:val="center"/>
                </w:tcPr>
                <w:p w14:paraId="4414B268">
                  <w:pPr>
                    <w:spacing w:line="360" w:lineRule="auto"/>
                    <w:jc w:val="center"/>
                    <w:rPr>
                      <w:rFonts w:hint="eastAsia"/>
                      <w:snapToGrid w:val="0"/>
                      <w:color w:val="auto"/>
                      <w:kern w:val="0"/>
                      <w:sz w:val="21"/>
                      <w:szCs w:val="21"/>
                      <w:lang w:val="en-US" w:eastAsia="zh-CN"/>
                    </w:rPr>
                  </w:pPr>
                </w:p>
              </w:tc>
              <w:tc>
                <w:tcPr>
                  <w:tcW w:w="566" w:type="dxa"/>
                  <w:vMerge w:val="continue"/>
                  <w:tcBorders>
                    <w:tl2br w:val="nil"/>
                    <w:tr2bl w:val="nil"/>
                  </w:tcBorders>
                  <w:vAlign w:val="center"/>
                </w:tcPr>
                <w:p w14:paraId="57FB527A">
                  <w:pPr>
                    <w:spacing w:line="360" w:lineRule="auto"/>
                    <w:jc w:val="center"/>
                    <w:rPr>
                      <w:rFonts w:hint="eastAsia"/>
                      <w:color w:val="auto"/>
                      <w:kern w:val="0"/>
                      <w:szCs w:val="21"/>
                    </w:rPr>
                  </w:pPr>
                </w:p>
              </w:tc>
              <w:tc>
                <w:tcPr>
                  <w:tcW w:w="728" w:type="dxa"/>
                  <w:tcBorders>
                    <w:tl2br w:val="nil"/>
                    <w:tr2bl w:val="nil"/>
                  </w:tcBorders>
                  <w:vAlign w:val="center"/>
                </w:tcPr>
                <w:p w14:paraId="5A4F56D8">
                  <w:pPr>
                    <w:kinsoku w:val="0"/>
                    <w:overflowPunct w:val="0"/>
                    <w:autoSpaceDE w:val="0"/>
                    <w:autoSpaceDN w:val="0"/>
                    <w:jc w:val="center"/>
                    <w:rPr>
                      <w:rFonts w:hint="default" w:cs="Times New Roman" w:eastAsiaTheme="minorEastAsia"/>
                      <w:color w:val="auto"/>
                      <w:kern w:val="2"/>
                      <w:sz w:val="21"/>
                      <w:szCs w:val="21"/>
                      <w:lang w:val="en-US" w:eastAsia="zh-CN" w:bidi="ar-SA"/>
                    </w:rPr>
                  </w:pPr>
                  <w:r>
                    <w:rPr>
                      <w:rFonts w:hint="eastAsia" w:cs="Times New Roman" w:eastAsiaTheme="minorEastAsia"/>
                      <w:color w:val="auto"/>
                      <w:kern w:val="2"/>
                      <w:sz w:val="21"/>
                      <w:szCs w:val="21"/>
                      <w:lang w:val="en-US" w:eastAsia="zh-CN" w:bidi="ar-SA"/>
                    </w:rPr>
                    <w:t>0.1t</w:t>
                  </w:r>
                </w:p>
              </w:tc>
              <w:tc>
                <w:tcPr>
                  <w:tcW w:w="615" w:type="dxa"/>
                  <w:vMerge w:val="continue"/>
                  <w:tcBorders>
                    <w:tl2br w:val="nil"/>
                    <w:tr2bl w:val="nil"/>
                  </w:tcBorders>
                  <w:vAlign w:val="center"/>
                </w:tcPr>
                <w:p w14:paraId="6BEF9662">
                  <w:pPr>
                    <w:spacing w:line="360" w:lineRule="auto"/>
                    <w:jc w:val="center"/>
                    <w:rPr>
                      <w:rFonts w:hint="eastAsia"/>
                      <w:color w:val="auto"/>
                      <w:kern w:val="0"/>
                      <w:szCs w:val="21"/>
                      <w:lang w:val="en-US" w:eastAsia="zh-CN"/>
                    </w:rPr>
                  </w:pPr>
                </w:p>
              </w:tc>
            </w:tr>
            <w:tr w14:paraId="36A3D6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7" w:hRule="atLeast"/>
              </w:trPr>
              <w:tc>
                <w:tcPr>
                  <w:tcW w:w="477" w:type="dxa"/>
                  <w:tcBorders>
                    <w:tl2br w:val="nil"/>
                    <w:tr2bl w:val="nil"/>
                  </w:tcBorders>
                  <w:vAlign w:val="center"/>
                </w:tcPr>
                <w:p w14:paraId="48154277">
                  <w:pPr>
                    <w:spacing w:line="360" w:lineRule="auto"/>
                    <w:jc w:val="center"/>
                    <w:rPr>
                      <w:rFonts w:hint="default"/>
                      <w:color w:val="auto"/>
                      <w:kern w:val="0"/>
                      <w:szCs w:val="21"/>
                      <w:lang w:val="en-US" w:eastAsia="zh-CN"/>
                    </w:rPr>
                  </w:pPr>
                  <w:r>
                    <w:rPr>
                      <w:rFonts w:hint="eastAsia"/>
                      <w:color w:val="auto"/>
                      <w:kern w:val="0"/>
                      <w:szCs w:val="21"/>
                      <w:lang w:val="en-US" w:eastAsia="zh-CN"/>
                    </w:rPr>
                    <w:t>4</w:t>
                  </w:r>
                </w:p>
              </w:tc>
              <w:tc>
                <w:tcPr>
                  <w:tcW w:w="1161" w:type="dxa"/>
                  <w:tcBorders>
                    <w:tl2br w:val="nil"/>
                    <w:tr2bl w:val="nil"/>
                  </w:tcBorders>
                  <w:shd w:val="clear" w:color="auto" w:fill="auto"/>
                  <w:vAlign w:val="center"/>
                </w:tcPr>
                <w:p w14:paraId="3A8D51B9">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highlight w:val="none"/>
                      <w:lang w:val="en-US" w:eastAsia="zh-CN"/>
                    </w:rPr>
                    <w:t>废活性炭</w:t>
                  </w:r>
                  <w:r>
                    <w:rPr>
                      <w:rFonts w:hint="eastAsia" w:cs="Times New Roman"/>
                      <w:color w:val="auto"/>
                      <w:kern w:val="0"/>
                      <w:sz w:val="21"/>
                      <w:szCs w:val="21"/>
                      <w:lang w:val="en-US" w:eastAsia="zh-CN"/>
                    </w:rPr>
                    <w:t>存储区</w:t>
                  </w:r>
                </w:p>
              </w:tc>
              <w:tc>
                <w:tcPr>
                  <w:tcW w:w="952" w:type="dxa"/>
                  <w:tcBorders>
                    <w:tl2br w:val="nil"/>
                    <w:tr2bl w:val="nil"/>
                  </w:tcBorders>
                  <w:shd w:val="clear" w:color="auto" w:fill="auto"/>
                  <w:vAlign w:val="center"/>
                </w:tcPr>
                <w:p w14:paraId="3C6DAE4C">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highlight w:val="none"/>
                      <w:lang w:val="en-US" w:eastAsia="zh-CN"/>
                    </w:rPr>
                    <w:t>废活性炭</w:t>
                  </w:r>
                </w:p>
              </w:tc>
              <w:tc>
                <w:tcPr>
                  <w:tcW w:w="1700" w:type="dxa"/>
                  <w:tcBorders>
                    <w:tl2br w:val="nil"/>
                    <w:tr2bl w:val="nil"/>
                  </w:tcBorders>
                  <w:shd w:val="clear" w:color="auto" w:fill="auto"/>
                  <w:vAlign w:val="center"/>
                </w:tcPr>
                <w:p w14:paraId="6D04CE31">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HW49 其他废物</w:t>
                  </w:r>
                </w:p>
              </w:tc>
              <w:tc>
                <w:tcPr>
                  <w:tcW w:w="962" w:type="dxa"/>
                  <w:tcBorders>
                    <w:tl2br w:val="nil"/>
                    <w:tr2bl w:val="nil"/>
                  </w:tcBorders>
                  <w:shd w:val="clear" w:color="auto" w:fill="auto"/>
                  <w:vAlign w:val="center"/>
                </w:tcPr>
                <w:p w14:paraId="173C44F5">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宋体" w:hAnsi="宋体" w:eastAsia="黑体" w:cs="宋体"/>
                      <w:color w:val="auto"/>
                      <w:kern w:val="0"/>
                      <w:sz w:val="24"/>
                      <w:szCs w:val="21"/>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900-039-49</w:t>
                  </w:r>
                </w:p>
              </w:tc>
              <w:tc>
                <w:tcPr>
                  <w:tcW w:w="536" w:type="dxa"/>
                  <w:vMerge w:val="continue"/>
                  <w:tcBorders>
                    <w:tl2br w:val="nil"/>
                    <w:tr2bl w:val="nil"/>
                  </w:tcBorders>
                  <w:shd w:val="clear" w:color="auto" w:fill="auto"/>
                  <w:vAlign w:val="center"/>
                </w:tcPr>
                <w:p w14:paraId="2B2A5039">
                  <w:pPr>
                    <w:spacing w:line="360" w:lineRule="auto"/>
                    <w:jc w:val="center"/>
                    <w:rPr>
                      <w:rFonts w:hint="eastAsia"/>
                      <w:color w:val="auto"/>
                      <w:kern w:val="0"/>
                      <w:szCs w:val="21"/>
                      <w:lang w:val="en-US" w:eastAsia="zh-CN"/>
                    </w:rPr>
                  </w:pPr>
                </w:p>
              </w:tc>
              <w:tc>
                <w:tcPr>
                  <w:tcW w:w="495" w:type="dxa"/>
                  <w:vMerge w:val="continue"/>
                  <w:tcBorders>
                    <w:tl2br w:val="nil"/>
                    <w:tr2bl w:val="nil"/>
                  </w:tcBorders>
                  <w:shd w:val="clear" w:color="auto" w:fill="auto"/>
                  <w:vAlign w:val="center"/>
                </w:tcPr>
                <w:p w14:paraId="148778D9">
                  <w:pPr>
                    <w:spacing w:line="360" w:lineRule="auto"/>
                    <w:jc w:val="center"/>
                    <w:rPr>
                      <w:rFonts w:hint="eastAsia"/>
                      <w:snapToGrid w:val="0"/>
                      <w:color w:val="auto"/>
                      <w:kern w:val="0"/>
                      <w:sz w:val="21"/>
                      <w:szCs w:val="21"/>
                      <w:lang w:val="en-US" w:eastAsia="zh-CN"/>
                    </w:rPr>
                  </w:pPr>
                </w:p>
              </w:tc>
              <w:tc>
                <w:tcPr>
                  <w:tcW w:w="566" w:type="dxa"/>
                  <w:vMerge w:val="continue"/>
                  <w:tcBorders>
                    <w:tl2br w:val="nil"/>
                    <w:tr2bl w:val="nil"/>
                  </w:tcBorders>
                  <w:shd w:val="clear" w:color="auto" w:fill="auto"/>
                  <w:vAlign w:val="center"/>
                </w:tcPr>
                <w:p w14:paraId="06975792">
                  <w:pPr>
                    <w:spacing w:line="360" w:lineRule="auto"/>
                    <w:jc w:val="center"/>
                    <w:rPr>
                      <w:rFonts w:hint="eastAsia"/>
                      <w:color w:val="auto"/>
                      <w:kern w:val="0"/>
                      <w:szCs w:val="21"/>
                    </w:rPr>
                  </w:pPr>
                </w:p>
              </w:tc>
              <w:tc>
                <w:tcPr>
                  <w:tcW w:w="728" w:type="dxa"/>
                  <w:tcBorders>
                    <w:tl2br w:val="nil"/>
                    <w:tr2bl w:val="nil"/>
                  </w:tcBorders>
                  <w:shd w:val="clear" w:color="auto" w:fill="auto"/>
                  <w:vAlign w:val="center"/>
                </w:tcPr>
                <w:p w14:paraId="63C7E54A">
                  <w:pPr>
                    <w:kinsoku w:val="0"/>
                    <w:overflowPunct w:val="0"/>
                    <w:autoSpaceDE w:val="0"/>
                    <w:autoSpaceDN w:val="0"/>
                    <w:jc w:val="center"/>
                    <w:rPr>
                      <w:rFonts w:hint="default" w:ascii="Times New Roman" w:hAnsi="Times New Roman" w:cs="Times New Roman" w:eastAsiaTheme="minorEastAsia"/>
                      <w:color w:val="auto"/>
                      <w:kern w:val="2"/>
                      <w:sz w:val="21"/>
                      <w:szCs w:val="21"/>
                      <w:lang w:val="en-US" w:eastAsia="zh-CN" w:bidi="ar-SA"/>
                    </w:rPr>
                  </w:pPr>
                  <w:r>
                    <w:rPr>
                      <w:rFonts w:hint="eastAsia" w:cs="Times New Roman" w:eastAsiaTheme="minorEastAsia"/>
                      <w:color w:val="auto"/>
                      <w:kern w:val="2"/>
                      <w:sz w:val="21"/>
                      <w:szCs w:val="21"/>
                      <w:lang w:val="en-US" w:eastAsia="zh-CN" w:bidi="ar-SA"/>
                    </w:rPr>
                    <w:t>0.1t</w:t>
                  </w:r>
                </w:p>
              </w:tc>
              <w:tc>
                <w:tcPr>
                  <w:tcW w:w="615" w:type="dxa"/>
                  <w:vMerge w:val="continue"/>
                  <w:tcBorders>
                    <w:tl2br w:val="nil"/>
                    <w:tr2bl w:val="nil"/>
                  </w:tcBorders>
                  <w:vAlign w:val="center"/>
                </w:tcPr>
                <w:p w14:paraId="40E8705E">
                  <w:pPr>
                    <w:spacing w:line="360" w:lineRule="auto"/>
                    <w:jc w:val="center"/>
                    <w:rPr>
                      <w:rFonts w:hint="eastAsia"/>
                      <w:color w:val="auto"/>
                      <w:kern w:val="0"/>
                      <w:szCs w:val="21"/>
                      <w:lang w:val="en-US" w:eastAsia="zh-CN"/>
                    </w:rPr>
                  </w:pPr>
                </w:p>
              </w:tc>
            </w:tr>
            <w:tr w14:paraId="2EB8A6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7" w:hRule="atLeast"/>
              </w:trPr>
              <w:tc>
                <w:tcPr>
                  <w:tcW w:w="477" w:type="dxa"/>
                  <w:tcBorders>
                    <w:tl2br w:val="nil"/>
                    <w:tr2bl w:val="nil"/>
                  </w:tcBorders>
                  <w:vAlign w:val="center"/>
                </w:tcPr>
                <w:p w14:paraId="44B6EF48">
                  <w:pPr>
                    <w:spacing w:line="360" w:lineRule="auto"/>
                    <w:jc w:val="center"/>
                    <w:rPr>
                      <w:rFonts w:hint="default"/>
                      <w:color w:val="auto"/>
                      <w:kern w:val="0"/>
                      <w:szCs w:val="21"/>
                      <w:lang w:val="en-US" w:eastAsia="zh-CN"/>
                    </w:rPr>
                  </w:pPr>
                  <w:r>
                    <w:rPr>
                      <w:rFonts w:hint="eastAsia"/>
                      <w:color w:val="auto"/>
                      <w:kern w:val="0"/>
                      <w:szCs w:val="21"/>
                      <w:lang w:val="en-US" w:eastAsia="zh-CN"/>
                    </w:rPr>
                    <w:t>5</w:t>
                  </w:r>
                </w:p>
              </w:tc>
              <w:tc>
                <w:tcPr>
                  <w:tcW w:w="1161" w:type="dxa"/>
                  <w:tcBorders>
                    <w:tl2br w:val="nil"/>
                    <w:tr2bl w:val="nil"/>
                  </w:tcBorders>
                  <w:shd w:val="clear" w:color="auto" w:fill="auto"/>
                  <w:vAlign w:val="center"/>
                </w:tcPr>
                <w:p w14:paraId="3077EA97">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2"/>
                      <w:sz w:val="21"/>
                      <w:szCs w:val="24"/>
                      <w:highlight w:val="none"/>
                      <w:lang w:val="en-US" w:eastAsia="zh-CN" w:bidi="ar-SA"/>
                    </w:rPr>
                    <w:t>废防冻液</w:t>
                  </w:r>
                  <w:r>
                    <w:rPr>
                      <w:rFonts w:hint="eastAsia" w:cs="Times New Roman"/>
                      <w:color w:val="auto"/>
                      <w:kern w:val="0"/>
                      <w:sz w:val="21"/>
                      <w:szCs w:val="21"/>
                      <w:lang w:val="en-US" w:eastAsia="zh-CN"/>
                    </w:rPr>
                    <w:t>存储区</w:t>
                  </w:r>
                </w:p>
              </w:tc>
              <w:tc>
                <w:tcPr>
                  <w:tcW w:w="952" w:type="dxa"/>
                  <w:tcBorders>
                    <w:tl2br w:val="nil"/>
                    <w:tr2bl w:val="nil"/>
                  </w:tcBorders>
                  <w:shd w:val="clear" w:color="auto" w:fill="auto"/>
                  <w:vAlign w:val="center"/>
                </w:tcPr>
                <w:p w14:paraId="310BD025">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2"/>
                      <w:sz w:val="21"/>
                      <w:szCs w:val="24"/>
                      <w:highlight w:val="none"/>
                      <w:lang w:val="en-US" w:eastAsia="zh-CN" w:bidi="ar-SA"/>
                    </w:rPr>
                    <w:t>废防冻液</w:t>
                  </w:r>
                </w:p>
              </w:tc>
              <w:tc>
                <w:tcPr>
                  <w:tcW w:w="1700" w:type="dxa"/>
                  <w:tcBorders>
                    <w:tl2br w:val="nil"/>
                    <w:tr2bl w:val="nil"/>
                  </w:tcBorders>
                  <w:shd w:val="clear" w:color="auto" w:fill="auto"/>
                  <w:vAlign w:val="center"/>
                </w:tcPr>
                <w:p w14:paraId="1820F413">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HW06 废有机溶剂与含有机溶剂废物</w:t>
                  </w:r>
                </w:p>
              </w:tc>
              <w:tc>
                <w:tcPr>
                  <w:tcW w:w="962" w:type="dxa"/>
                  <w:tcBorders>
                    <w:tl2br w:val="nil"/>
                    <w:tr2bl w:val="nil"/>
                  </w:tcBorders>
                  <w:shd w:val="clear" w:color="auto" w:fill="auto"/>
                  <w:vAlign w:val="center"/>
                </w:tcPr>
                <w:p w14:paraId="30D2324F">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宋体" w:hAnsi="宋体" w:eastAsia="黑体" w:cs="宋体"/>
                      <w:color w:val="auto"/>
                      <w:kern w:val="0"/>
                      <w:sz w:val="24"/>
                      <w:szCs w:val="21"/>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900-404-06</w:t>
                  </w:r>
                </w:p>
              </w:tc>
              <w:tc>
                <w:tcPr>
                  <w:tcW w:w="536" w:type="dxa"/>
                  <w:vMerge w:val="continue"/>
                  <w:tcBorders>
                    <w:tl2br w:val="nil"/>
                    <w:tr2bl w:val="nil"/>
                  </w:tcBorders>
                  <w:vAlign w:val="center"/>
                </w:tcPr>
                <w:p w14:paraId="49D6377F">
                  <w:pPr>
                    <w:spacing w:line="360" w:lineRule="auto"/>
                    <w:jc w:val="center"/>
                    <w:rPr>
                      <w:rFonts w:hint="eastAsia"/>
                      <w:color w:val="auto"/>
                      <w:kern w:val="0"/>
                      <w:szCs w:val="21"/>
                      <w:lang w:val="en-US" w:eastAsia="zh-CN"/>
                    </w:rPr>
                  </w:pPr>
                </w:p>
              </w:tc>
              <w:tc>
                <w:tcPr>
                  <w:tcW w:w="495" w:type="dxa"/>
                  <w:vMerge w:val="continue"/>
                  <w:tcBorders>
                    <w:tl2br w:val="nil"/>
                    <w:tr2bl w:val="nil"/>
                  </w:tcBorders>
                  <w:vAlign w:val="center"/>
                </w:tcPr>
                <w:p w14:paraId="5D07B049">
                  <w:pPr>
                    <w:spacing w:line="360" w:lineRule="auto"/>
                    <w:jc w:val="center"/>
                    <w:rPr>
                      <w:rFonts w:hint="eastAsia"/>
                      <w:snapToGrid w:val="0"/>
                      <w:color w:val="auto"/>
                      <w:kern w:val="0"/>
                      <w:sz w:val="21"/>
                      <w:szCs w:val="21"/>
                      <w:lang w:val="en-US" w:eastAsia="zh-CN"/>
                    </w:rPr>
                  </w:pPr>
                </w:p>
              </w:tc>
              <w:tc>
                <w:tcPr>
                  <w:tcW w:w="566" w:type="dxa"/>
                  <w:vMerge w:val="continue"/>
                  <w:tcBorders>
                    <w:tl2br w:val="nil"/>
                    <w:tr2bl w:val="nil"/>
                  </w:tcBorders>
                  <w:vAlign w:val="center"/>
                </w:tcPr>
                <w:p w14:paraId="72EE5D0E">
                  <w:pPr>
                    <w:spacing w:line="360" w:lineRule="auto"/>
                    <w:jc w:val="center"/>
                    <w:rPr>
                      <w:rFonts w:hint="eastAsia"/>
                      <w:color w:val="auto"/>
                      <w:kern w:val="0"/>
                      <w:szCs w:val="21"/>
                    </w:rPr>
                  </w:pPr>
                </w:p>
              </w:tc>
              <w:tc>
                <w:tcPr>
                  <w:tcW w:w="728" w:type="dxa"/>
                  <w:tcBorders>
                    <w:tl2br w:val="nil"/>
                    <w:tr2bl w:val="nil"/>
                  </w:tcBorders>
                  <w:shd w:val="clear" w:color="auto" w:fill="auto"/>
                  <w:vAlign w:val="center"/>
                </w:tcPr>
                <w:p w14:paraId="50D4BAF6">
                  <w:pPr>
                    <w:kinsoku w:val="0"/>
                    <w:overflowPunct w:val="0"/>
                    <w:autoSpaceDE w:val="0"/>
                    <w:autoSpaceDN w:val="0"/>
                    <w:jc w:val="center"/>
                    <w:rPr>
                      <w:rFonts w:hint="default" w:ascii="Times New Roman" w:hAnsi="Times New Roman" w:cs="Times New Roman" w:eastAsiaTheme="minorEastAsia"/>
                      <w:color w:val="auto"/>
                      <w:kern w:val="2"/>
                      <w:sz w:val="21"/>
                      <w:szCs w:val="21"/>
                      <w:lang w:val="en-US" w:eastAsia="zh-CN" w:bidi="ar-SA"/>
                    </w:rPr>
                  </w:pPr>
                  <w:r>
                    <w:rPr>
                      <w:rFonts w:hint="eastAsia" w:cs="Times New Roman" w:eastAsiaTheme="minorEastAsia"/>
                      <w:color w:val="auto"/>
                      <w:kern w:val="2"/>
                      <w:sz w:val="21"/>
                      <w:szCs w:val="21"/>
                      <w:lang w:val="en-US" w:eastAsia="zh-CN" w:bidi="ar-SA"/>
                    </w:rPr>
                    <w:t>0.1t</w:t>
                  </w:r>
                </w:p>
              </w:tc>
              <w:tc>
                <w:tcPr>
                  <w:tcW w:w="615" w:type="dxa"/>
                  <w:vMerge w:val="continue"/>
                  <w:tcBorders>
                    <w:tl2br w:val="nil"/>
                    <w:tr2bl w:val="nil"/>
                  </w:tcBorders>
                  <w:vAlign w:val="center"/>
                </w:tcPr>
                <w:p w14:paraId="116A2413">
                  <w:pPr>
                    <w:spacing w:line="360" w:lineRule="auto"/>
                    <w:jc w:val="center"/>
                    <w:rPr>
                      <w:rFonts w:hint="eastAsia"/>
                      <w:color w:val="auto"/>
                      <w:kern w:val="0"/>
                      <w:szCs w:val="21"/>
                      <w:lang w:val="en-US" w:eastAsia="zh-CN"/>
                    </w:rPr>
                  </w:pPr>
                </w:p>
              </w:tc>
            </w:tr>
            <w:tr w14:paraId="470C82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7" w:hRule="atLeast"/>
              </w:trPr>
              <w:tc>
                <w:tcPr>
                  <w:tcW w:w="477" w:type="dxa"/>
                  <w:tcBorders>
                    <w:tl2br w:val="nil"/>
                    <w:tr2bl w:val="nil"/>
                  </w:tcBorders>
                  <w:vAlign w:val="center"/>
                </w:tcPr>
                <w:p w14:paraId="2187B63F">
                  <w:pPr>
                    <w:spacing w:line="360" w:lineRule="auto"/>
                    <w:jc w:val="center"/>
                    <w:rPr>
                      <w:rFonts w:hint="default"/>
                      <w:color w:val="auto"/>
                      <w:kern w:val="0"/>
                      <w:szCs w:val="21"/>
                      <w:lang w:val="en-US" w:eastAsia="zh-CN"/>
                    </w:rPr>
                  </w:pPr>
                  <w:r>
                    <w:rPr>
                      <w:rFonts w:hint="eastAsia"/>
                      <w:color w:val="auto"/>
                      <w:kern w:val="0"/>
                      <w:szCs w:val="21"/>
                      <w:lang w:val="en-US" w:eastAsia="zh-CN"/>
                    </w:rPr>
                    <w:t>6</w:t>
                  </w:r>
                </w:p>
              </w:tc>
              <w:tc>
                <w:tcPr>
                  <w:tcW w:w="1161" w:type="dxa"/>
                  <w:tcBorders>
                    <w:tl2br w:val="nil"/>
                    <w:tr2bl w:val="nil"/>
                  </w:tcBorders>
                  <w:shd w:val="clear" w:color="auto" w:fill="auto"/>
                  <w:vAlign w:val="center"/>
                </w:tcPr>
                <w:p w14:paraId="3A8CB72F">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2"/>
                      <w:sz w:val="21"/>
                      <w:szCs w:val="24"/>
                      <w:highlight w:val="none"/>
                      <w:lang w:val="en-US" w:eastAsia="zh-CN" w:bidi="ar-SA"/>
                    </w:rPr>
                    <w:t>废电路板</w:t>
                  </w:r>
                  <w:r>
                    <w:rPr>
                      <w:rFonts w:hint="eastAsia" w:cs="Times New Roman"/>
                      <w:color w:val="auto"/>
                      <w:kern w:val="0"/>
                      <w:sz w:val="21"/>
                      <w:szCs w:val="21"/>
                      <w:lang w:val="en-US" w:eastAsia="zh-CN"/>
                    </w:rPr>
                    <w:t>存储区</w:t>
                  </w:r>
                </w:p>
              </w:tc>
              <w:tc>
                <w:tcPr>
                  <w:tcW w:w="952" w:type="dxa"/>
                  <w:tcBorders>
                    <w:tl2br w:val="nil"/>
                    <w:tr2bl w:val="nil"/>
                  </w:tcBorders>
                  <w:shd w:val="clear" w:color="auto" w:fill="auto"/>
                  <w:vAlign w:val="center"/>
                </w:tcPr>
                <w:p w14:paraId="1AA564E5">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2"/>
                      <w:sz w:val="21"/>
                      <w:szCs w:val="24"/>
                      <w:highlight w:val="none"/>
                      <w:lang w:val="en-US" w:eastAsia="zh-CN" w:bidi="ar-SA"/>
                    </w:rPr>
                    <w:t>废电路板</w:t>
                  </w:r>
                </w:p>
              </w:tc>
              <w:tc>
                <w:tcPr>
                  <w:tcW w:w="1700" w:type="dxa"/>
                  <w:tcBorders>
                    <w:tl2br w:val="nil"/>
                    <w:tr2bl w:val="nil"/>
                  </w:tcBorders>
                  <w:shd w:val="clear" w:color="auto" w:fill="auto"/>
                  <w:vAlign w:val="center"/>
                </w:tcPr>
                <w:p w14:paraId="1246BC78">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color w:val="auto"/>
                      <w:highlight w:val="none"/>
                      <w:lang w:eastAsia="zh-CN"/>
                    </w:rPr>
                  </w:pPr>
                  <w:r>
                    <w:rPr>
                      <w:rFonts w:hint="eastAsia" w:ascii="Times New Roman" w:hAnsi="Times New Roman" w:eastAsia="宋体" w:cs="Times New Roman"/>
                      <w:b w:val="0"/>
                      <w:bCs w:val="0"/>
                      <w:color w:val="auto"/>
                      <w:kern w:val="0"/>
                      <w:sz w:val="21"/>
                      <w:szCs w:val="21"/>
                      <w:highlight w:val="none"/>
                      <w:lang w:val="en-US" w:eastAsia="zh-CN" w:bidi="ar-SA"/>
                    </w:rPr>
                    <w:t>HW49 其他废物</w:t>
                  </w:r>
                </w:p>
              </w:tc>
              <w:tc>
                <w:tcPr>
                  <w:tcW w:w="962" w:type="dxa"/>
                  <w:tcBorders>
                    <w:tl2br w:val="nil"/>
                    <w:tr2bl w:val="nil"/>
                  </w:tcBorders>
                  <w:shd w:val="clear" w:color="auto" w:fill="auto"/>
                  <w:vAlign w:val="center"/>
                </w:tcPr>
                <w:p w14:paraId="504E833A">
                  <w:pPr>
                    <w:pStyle w:val="114"/>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900-045-49</w:t>
                  </w:r>
                </w:p>
              </w:tc>
              <w:tc>
                <w:tcPr>
                  <w:tcW w:w="536" w:type="dxa"/>
                  <w:vMerge w:val="continue"/>
                  <w:tcBorders>
                    <w:tl2br w:val="nil"/>
                    <w:tr2bl w:val="nil"/>
                  </w:tcBorders>
                  <w:vAlign w:val="center"/>
                </w:tcPr>
                <w:p w14:paraId="2A697CDE">
                  <w:pPr>
                    <w:spacing w:line="360" w:lineRule="auto"/>
                    <w:jc w:val="center"/>
                    <w:rPr>
                      <w:rFonts w:hint="eastAsia"/>
                      <w:color w:val="auto"/>
                      <w:kern w:val="0"/>
                      <w:szCs w:val="21"/>
                      <w:lang w:val="en-US" w:eastAsia="zh-CN"/>
                    </w:rPr>
                  </w:pPr>
                </w:p>
              </w:tc>
              <w:tc>
                <w:tcPr>
                  <w:tcW w:w="495" w:type="dxa"/>
                  <w:vMerge w:val="continue"/>
                  <w:tcBorders>
                    <w:tl2br w:val="nil"/>
                    <w:tr2bl w:val="nil"/>
                  </w:tcBorders>
                  <w:vAlign w:val="center"/>
                </w:tcPr>
                <w:p w14:paraId="23E92E32">
                  <w:pPr>
                    <w:spacing w:line="360" w:lineRule="auto"/>
                    <w:jc w:val="center"/>
                    <w:rPr>
                      <w:rFonts w:hint="eastAsia"/>
                      <w:snapToGrid w:val="0"/>
                      <w:color w:val="auto"/>
                      <w:kern w:val="0"/>
                      <w:sz w:val="21"/>
                      <w:szCs w:val="21"/>
                      <w:lang w:val="en-US" w:eastAsia="zh-CN"/>
                    </w:rPr>
                  </w:pPr>
                </w:p>
              </w:tc>
              <w:tc>
                <w:tcPr>
                  <w:tcW w:w="566" w:type="dxa"/>
                  <w:vMerge w:val="continue"/>
                  <w:tcBorders>
                    <w:tl2br w:val="nil"/>
                    <w:tr2bl w:val="nil"/>
                  </w:tcBorders>
                  <w:vAlign w:val="center"/>
                </w:tcPr>
                <w:p w14:paraId="32DB8B88">
                  <w:pPr>
                    <w:spacing w:line="360" w:lineRule="auto"/>
                    <w:jc w:val="center"/>
                    <w:rPr>
                      <w:rFonts w:hint="eastAsia"/>
                      <w:color w:val="auto"/>
                      <w:kern w:val="0"/>
                      <w:szCs w:val="21"/>
                    </w:rPr>
                  </w:pPr>
                </w:p>
              </w:tc>
              <w:tc>
                <w:tcPr>
                  <w:tcW w:w="728" w:type="dxa"/>
                  <w:tcBorders>
                    <w:tl2br w:val="nil"/>
                    <w:tr2bl w:val="nil"/>
                  </w:tcBorders>
                  <w:shd w:val="clear" w:color="auto" w:fill="auto"/>
                  <w:vAlign w:val="center"/>
                </w:tcPr>
                <w:p w14:paraId="0068E5A6">
                  <w:pPr>
                    <w:kinsoku w:val="0"/>
                    <w:overflowPunct w:val="0"/>
                    <w:autoSpaceDE w:val="0"/>
                    <w:autoSpaceDN w:val="0"/>
                    <w:jc w:val="center"/>
                    <w:rPr>
                      <w:rFonts w:hint="default" w:cs="Times New Roman" w:eastAsiaTheme="minorEastAsia"/>
                      <w:color w:val="auto"/>
                      <w:kern w:val="2"/>
                      <w:sz w:val="21"/>
                      <w:szCs w:val="21"/>
                      <w:lang w:val="en-US" w:eastAsia="zh-CN" w:bidi="ar-SA"/>
                    </w:rPr>
                  </w:pPr>
                  <w:r>
                    <w:rPr>
                      <w:rFonts w:hint="eastAsia" w:cs="Times New Roman" w:eastAsiaTheme="minorEastAsia"/>
                      <w:color w:val="auto"/>
                      <w:kern w:val="2"/>
                      <w:sz w:val="21"/>
                      <w:szCs w:val="21"/>
                      <w:lang w:val="en-US" w:eastAsia="zh-CN" w:bidi="ar-SA"/>
                    </w:rPr>
                    <w:t>0.1t</w:t>
                  </w:r>
                </w:p>
              </w:tc>
              <w:tc>
                <w:tcPr>
                  <w:tcW w:w="615" w:type="dxa"/>
                  <w:vMerge w:val="continue"/>
                  <w:tcBorders>
                    <w:tl2br w:val="nil"/>
                    <w:tr2bl w:val="nil"/>
                  </w:tcBorders>
                  <w:vAlign w:val="center"/>
                </w:tcPr>
                <w:p w14:paraId="75369179">
                  <w:pPr>
                    <w:spacing w:line="360" w:lineRule="auto"/>
                    <w:jc w:val="center"/>
                    <w:rPr>
                      <w:rFonts w:hint="eastAsia"/>
                      <w:color w:val="auto"/>
                      <w:kern w:val="0"/>
                      <w:szCs w:val="21"/>
                      <w:lang w:val="en-US" w:eastAsia="zh-CN"/>
                    </w:rPr>
                  </w:pPr>
                </w:p>
              </w:tc>
            </w:tr>
          </w:tbl>
          <w:p w14:paraId="0B429AF7">
            <w:pPr>
              <w:pStyle w:val="118"/>
              <w:rPr>
                <w:rFonts w:hint="eastAsia" w:ascii="Times New Roman" w:hAnsi="Times New Roman" w:eastAsia="宋体" w:cs="Times New Roman"/>
                <w:color w:val="auto"/>
                <w:lang w:val="en-US"/>
              </w:rPr>
            </w:pPr>
            <w:r>
              <w:rPr>
                <w:rFonts w:ascii="Times New Roman" w:hAnsi="Times New Roman" w:eastAsia="宋体" w:cs="Times New Roman"/>
                <w:color w:val="auto"/>
              </w:rPr>
              <w:t>本项目产生的危险废物在厂内指定的</w:t>
            </w:r>
            <w:r>
              <w:rPr>
                <w:rFonts w:hint="eastAsia" w:cs="Times New Roman"/>
                <w:color w:val="auto"/>
                <w:lang w:eastAsia="zh-CN"/>
              </w:rPr>
              <w:t>危废贮存点</w:t>
            </w:r>
            <w:r>
              <w:rPr>
                <w:rFonts w:ascii="Times New Roman" w:hAnsi="Times New Roman" w:eastAsia="宋体" w:cs="Times New Roman"/>
                <w:color w:val="auto"/>
              </w:rPr>
              <w:t>安全暂存，定期委托有资质单位回收处理，由持有危险废物经营许可证、危险货物运输资质的单位拉运。</w:t>
            </w:r>
          </w:p>
          <w:p w14:paraId="4071BCF4">
            <w:pPr>
              <w:keepLines w:val="0"/>
              <w:pageBreakBefore w:val="0"/>
              <w:topLinePunct w:val="0"/>
              <w:bidi w:val="0"/>
              <w:spacing w:beforeAutospacing="0" w:afterAutospacing="0" w:line="360" w:lineRule="auto"/>
              <w:ind w:left="0" w:leftChars="0" w:right="0" w:rightChars="0" w:firstLine="482" w:firstLineChars="200"/>
              <w:rPr>
                <w:rFonts w:hint="default" w:ascii="Times New Roman" w:hAnsi="Times New Roman" w:cs="Times New Roman"/>
                <w:b/>
                <w:bCs/>
                <w:color w:val="auto"/>
                <w:sz w:val="24"/>
                <w:szCs w:val="24"/>
                <w:highlight w:val="none"/>
                <w:lang w:val="en-US" w:eastAsia="zh-CN" w:bidi="zh-CN"/>
              </w:rPr>
            </w:pPr>
            <w:r>
              <w:rPr>
                <w:rFonts w:hint="eastAsia" w:cs="Times New Roman"/>
                <w:b/>
                <w:bCs/>
                <w:color w:val="auto"/>
                <w:sz w:val="24"/>
                <w:szCs w:val="24"/>
                <w:highlight w:val="none"/>
                <w:lang w:val="en-US" w:bidi="zh-CN"/>
              </w:rPr>
              <w:t>五</w:t>
            </w:r>
            <w:r>
              <w:rPr>
                <w:rFonts w:hint="eastAsia" w:ascii="Times New Roman" w:hAnsi="Times New Roman" w:cs="Times New Roman"/>
                <w:b/>
                <w:bCs/>
                <w:color w:val="auto"/>
                <w:sz w:val="24"/>
                <w:szCs w:val="24"/>
                <w:highlight w:val="none"/>
                <w:lang w:val="en-US" w:bidi="zh-CN"/>
              </w:rPr>
              <w:t>、</w:t>
            </w:r>
            <w:r>
              <w:rPr>
                <w:rFonts w:hint="eastAsia" w:ascii="Times New Roman" w:hAnsi="Times New Roman" w:cs="Times New Roman"/>
                <w:b/>
                <w:bCs/>
                <w:color w:val="auto"/>
                <w:sz w:val="24"/>
                <w:szCs w:val="24"/>
                <w:highlight w:val="none"/>
                <w:lang w:val="en-US" w:eastAsia="zh-CN" w:bidi="zh-CN"/>
              </w:rPr>
              <w:t>地下水</w:t>
            </w:r>
            <w:r>
              <w:rPr>
                <w:rFonts w:hint="eastAsia" w:cs="Times New Roman"/>
                <w:b/>
                <w:bCs/>
                <w:color w:val="auto"/>
                <w:sz w:val="24"/>
                <w:szCs w:val="24"/>
                <w:highlight w:val="none"/>
                <w:lang w:val="en-US" w:eastAsia="zh-CN" w:bidi="zh-CN"/>
              </w:rPr>
              <w:t>和土壤</w:t>
            </w:r>
          </w:p>
          <w:p w14:paraId="1F7EF574">
            <w:pPr>
              <w:keepLines w:val="0"/>
              <w:pageBreakBefore w:val="0"/>
              <w:topLinePunct w:val="0"/>
              <w:bidi w:val="0"/>
              <w:spacing w:beforeAutospacing="0" w:afterAutospacing="0" w:line="360" w:lineRule="auto"/>
              <w:ind w:left="0" w:leftChars="0" w:right="0" w:rightChars="0" w:firstLine="480" w:firstLineChars="200"/>
              <w:rPr>
                <w:rFonts w:hint="eastAsia" w:ascii="Times New Roman" w:hAnsi="Times New Roman" w:eastAsia="宋体" w:cs="Times New Roman"/>
                <w:color w:val="auto"/>
                <w:kern w:val="0"/>
                <w:sz w:val="24"/>
                <w:szCs w:val="24"/>
                <w:highlight w:val="none"/>
                <w:lang w:val="en-US" w:eastAsia="zh-CN" w:bidi="ar"/>
              </w:rPr>
            </w:pPr>
            <w:r>
              <w:rPr>
                <w:rFonts w:hint="eastAsia" w:ascii="Times New Roman" w:hAnsi="Times New Roman" w:eastAsia="宋体" w:cs="Times New Roman"/>
                <w:color w:val="auto"/>
                <w:kern w:val="0"/>
                <w:sz w:val="24"/>
                <w:szCs w:val="24"/>
                <w:highlight w:val="none"/>
                <w:lang w:val="en-US" w:eastAsia="zh-CN" w:bidi="ar"/>
              </w:rPr>
              <w:t>根据《环境影响评价技术导则 地下水环境》（HJ610-2016）将厂区各生产功能单元可能泄漏至地面区域的污染物性质和生产单元的构筑方式，将厂区建筑区域划分为重点污染防治区、一般污染防治区和简单污染防治区，并按要求进行地表防渗。</w:t>
            </w:r>
          </w:p>
          <w:p w14:paraId="45536508">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（1）重点污染防治区</w:t>
            </w:r>
          </w:p>
          <w:p w14:paraId="726F7B21">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重点防渗区指位于地下或半地下的生产功能单元，污染地下水环境的污染物渗漏后不容易被及时发现和处理，或场地水文地质条件相对较差的区域和部位。</w:t>
            </w:r>
          </w:p>
          <w:p w14:paraId="051E538C">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w:t>
            </w:r>
            <w:r>
              <w:rPr>
                <w:rFonts w:hint="eastAsia" w:cs="Times New Roman"/>
                <w:color w:val="auto"/>
                <w:highlight w:val="none"/>
                <w:lang w:val="en-US" w:eastAsia="zh-CN"/>
              </w:rPr>
              <w:t>危废贮存点、待拆车辆暂存区</w:t>
            </w:r>
            <w:r>
              <w:rPr>
                <w:rFonts w:hint="eastAsia" w:ascii="Times New Roman" w:hAnsi="Times New Roman" w:eastAsia="宋体" w:cs="Times New Roman"/>
                <w:color w:val="auto"/>
                <w:highlight w:val="none"/>
                <w:lang w:val="en-US" w:eastAsia="zh-CN"/>
              </w:rPr>
              <w:t>按照重点防渗区管理，</w:t>
            </w:r>
            <w:r>
              <w:rPr>
                <w:rFonts w:hint="eastAsia" w:cs="Times New Roman"/>
                <w:color w:val="auto"/>
                <w:highlight w:val="none"/>
                <w:lang w:val="en-US" w:eastAsia="zh-CN"/>
              </w:rPr>
              <w:t>危废贮存点</w:t>
            </w:r>
            <w:r>
              <w:rPr>
                <w:rFonts w:hint="eastAsia" w:ascii="Times New Roman" w:hAnsi="Times New Roman" w:eastAsia="宋体" w:cs="Times New Roman"/>
                <w:color w:val="auto"/>
                <w:highlight w:val="none"/>
                <w:lang w:val="en-US" w:eastAsia="zh-CN"/>
              </w:rPr>
              <w:t>防渗要求按照《危险废物贮存污染控制标准》（GB18597-2023）的要求执行，为重点防渗区，基础敷设2mm厚的高密度聚乙烯防水层，上部敷设10cm厚水泥层，表面铺设防水树脂层，渗透系数≤10</w:t>
            </w:r>
            <w:r>
              <w:rPr>
                <w:rFonts w:hint="eastAsia" w:ascii="Times New Roman" w:hAnsi="Times New Roman" w:eastAsia="宋体" w:cs="Times New Roman"/>
                <w:color w:val="auto"/>
                <w:highlight w:val="none"/>
                <w:vertAlign w:val="superscript"/>
                <w:lang w:val="en-US" w:eastAsia="zh-CN"/>
              </w:rPr>
              <w:t>-10</w:t>
            </w:r>
            <w:r>
              <w:rPr>
                <w:rFonts w:hint="eastAsia" w:ascii="Times New Roman" w:hAnsi="Times New Roman" w:eastAsia="宋体" w:cs="Times New Roman"/>
                <w:color w:val="auto"/>
                <w:highlight w:val="none"/>
                <w:lang w:val="en-US" w:eastAsia="zh-CN"/>
              </w:rPr>
              <w:t>cm/s。</w:t>
            </w:r>
            <w:r>
              <w:rPr>
                <w:rFonts w:hint="eastAsia" w:cs="Times New Roman"/>
                <w:color w:val="auto"/>
                <w:highlight w:val="none"/>
                <w:lang w:val="en-US" w:eastAsia="zh-CN"/>
              </w:rPr>
              <w:t>待拆车辆暂存区、拆解车间、初期雨水收集池</w:t>
            </w:r>
            <w:r>
              <w:rPr>
                <w:rFonts w:hint="eastAsia" w:ascii="Times New Roman" w:hAnsi="Times New Roman" w:eastAsia="宋体" w:cs="Times New Roman"/>
                <w:color w:val="auto"/>
                <w:highlight w:val="none"/>
                <w:lang w:val="en-US" w:eastAsia="zh-CN"/>
              </w:rPr>
              <w:t>满足《环境影响评价技术导则 地下水环境》（HJ610-2016）表7中</w:t>
            </w:r>
            <w:r>
              <w:rPr>
                <w:rFonts w:hint="eastAsia" w:cs="Times New Roman"/>
                <w:color w:val="auto"/>
                <w:highlight w:val="none"/>
                <w:lang w:val="en-US" w:eastAsia="zh-CN"/>
              </w:rPr>
              <w:t>重点</w:t>
            </w:r>
            <w:r>
              <w:rPr>
                <w:rFonts w:hint="eastAsia" w:ascii="Times New Roman" w:hAnsi="Times New Roman" w:eastAsia="宋体" w:cs="Times New Roman"/>
                <w:color w:val="auto"/>
                <w:highlight w:val="none"/>
                <w:lang w:val="en-US" w:eastAsia="zh-CN"/>
              </w:rPr>
              <w:t>防渗区防渗技术要求（等效黏土防渗层Mb≥</w:t>
            </w:r>
            <w:r>
              <w:rPr>
                <w:rFonts w:hint="eastAsia" w:cs="Times New Roman"/>
                <w:color w:val="auto"/>
                <w:highlight w:val="none"/>
                <w:lang w:val="en-US" w:eastAsia="zh-CN"/>
              </w:rPr>
              <w:t>6.0</w:t>
            </w:r>
            <w:r>
              <w:rPr>
                <w:rFonts w:hint="eastAsia" w:ascii="Times New Roman" w:hAnsi="Times New Roman" w:eastAsia="宋体" w:cs="Times New Roman"/>
                <w:color w:val="auto"/>
                <w:highlight w:val="none"/>
                <w:lang w:val="en-US" w:eastAsia="zh-CN"/>
              </w:rPr>
              <w:t>m，渗透系数≤10</w:t>
            </w:r>
            <w:r>
              <w:rPr>
                <w:rFonts w:hint="eastAsia" w:ascii="Times New Roman" w:hAnsi="Times New Roman" w:eastAsia="宋体" w:cs="Times New Roman"/>
                <w:color w:val="auto"/>
                <w:highlight w:val="none"/>
                <w:vertAlign w:val="superscript"/>
                <w:lang w:val="en-US" w:eastAsia="zh-CN"/>
              </w:rPr>
              <w:t>-7</w:t>
            </w:r>
            <w:r>
              <w:rPr>
                <w:rFonts w:hint="eastAsia" w:ascii="Times New Roman" w:hAnsi="Times New Roman" w:eastAsia="宋体" w:cs="Times New Roman"/>
                <w:color w:val="auto"/>
                <w:highlight w:val="none"/>
                <w:lang w:val="en-US" w:eastAsia="zh-CN"/>
              </w:rPr>
              <w:t>cm/s）。</w:t>
            </w:r>
          </w:p>
          <w:p w14:paraId="3042C6AE">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（2）一般污染防治区</w:t>
            </w:r>
          </w:p>
          <w:p w14:paraId="2B61B245">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一般污染防治区指对地下水环境有污染的物料或污染物渗漏后，可及时发现和处理的区域或部位。本项目一般防渗区为</w:t>
            </w:r>
            <w:r>
              <w:rPr>
                <w:rFonts w:hint="eastAsia" w:cs="Times New Roman"/>
                <w:color w:val="auto"/>
                <w:highlight w:val="none"/>
                <w:lang w:val="en-US" w:eastAsia="zh-CN"/>
              </w:rPr>
              <w:t>废钢铁与废橡胶贮存库</w:t>
            </w:r>
            <w:r>
              <w:rPr>
                <w:rFonts w:hint="eastAsia" w:ascii="Times New Roman" w:hAnsi="Times New Roman" w:eastAsia="宋体" w:cs="Times New Roman"/>
                <w:color w:val="auto"/>
                <w:highlight w:val="none"/>
                <w:lang w:val="en-US" w:eastAsia="zh-CN"/>
              </w:rPr>
              <w:t>所在区域，采用抗渗等级不低于P6级的抗渗混凝土，满足《环境影响评价技术导则 地下水环境》（HJ610-2016）表7中一般防渗区防渗技术要求（等效黏土防渗层Mb≥1.5m，渗透系数≤10</w:t>
            </w:r>
            <w:r>
              <w:rPr>
                <w:rFonts w:hint="eastAsia" w:ascii="Times New Roman" w:hAnsi="Times New Roman" w:eastAsia="宋体" w:cs="Times New Roman"/>
                <w:color w:val="auto"/>
                <w:highlight w:val="none"/>
                <w:vertAlign w:val="superscript"/>
                <w:lang w:val="en-US" w:eastAsia="zh-CN"/>
              </w:rPr>
              <w:t>-7</w:t>
            </w:r>
            <w:r>
              <w:rPr>
                <w:rFonts w:hint="eastAsia" w:ascii="Times New Roman" w:hAnsi="Times New Roman" w:eastAsia="宋体" w:cs="Times New Roman"/>
                <w:color w:val="auto"/>
                <w:highlight w:val="none"/>
                <w:lang w:val="en-US" w:eastAsia="zh-CN"/>
              </w:rPr>
              <w:t>cm/s）。</w:t>
            </w:r>
          </w:p>
          <w:p w14:paraId="4A50D307">
            <w:pPr>
              <w:pStyle w:val="11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（3）</w:t>
            </w:r>
            <w:r>
              <w:rPr>
                <w:rFonts w:hint="eastAsia" w:ascii="Times New Roman" w:hAnsi="Times New Roman" w:eastAsia="宋体" w:cs="Times New Roman"/>
                <w:color w:val="auto"/>
                <w:highlight w:val="none"/>
                <w:lang w:val="en-US" w:eastAsia="zh-CN"/>
              </w:rPr>
              <w:t>简单污染区防治区</w:t>
            </w:r>
          </w:p>
          <w:p w14:paraId="18B352D2">
            <w:pPr>
              <w:keepLines w:val="0"/>
              <w:pageBreakBefore w:val="0"/>
              <w:topLinePunct w:val="0"/>
              <w:bidi w:val="0"/>
              <w:spacing w:beforeAutospacing="0" w:afterAutospacing="0" w:line="360" w:lineRule="auto"/>
              <w:ind w:left="0" w:leftChars="0" w:right="0" w:rightChars="0"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本项目简单防渗区为除一般防渗区以外的厂区其它建筑区，参照《环境影响评价技术导则 地下水环境》</w:t>
            </w:r>
            <w:r>
              <w:rPr>
                <w:rFonts w:hint="eastAsia"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HJ610-2016</w:t>
            </w:r>
            <w:r>
              <w:rPr>
                <w:rFonts w:hint="eastAsia"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表7地下水污染防渗分区参照表中简单防渗区防渗技术要求，主要防渗措施为水泥地面硬化。</w:t>
            </w:r>
          </w:p>
          <w:p w14:paraId="4E7B8C7A">
            <w:pPr>
              <w:pStyle w:val="118"/>
              <w:spacing w:line="240" w:lineRule="auto"/>
              <w:ind w:firstLine="422"/>
              <w:jc w:val="center"/>
              <w:rPr>
                <w:rFonts w:hint="eastAsia" w:ascii="Times New Roman" w:hAnsi="Times New Roman" w:eastAsia="宋体" w:cs="Times New Roman"/>
                <w:b/>
                <w:bCs/>
                <w:color w:val="auto"/>
                <w:sz w:val="21"/>
                <w:szCs w:val="16"/>
                <w:lang w:val="en-US" w:eastAsia="zh-CN"/>
              </w:rPr>
            </w:pPr>
            <w:r>
              <w:rPr>
                <w:rFonts w:hint="eastAsia" w:ascii="Times New Roman" w:hAnsi="Times New Roman" w:eastAsia="宋体" w:cs="Times New Roman"/>
                <w:b/>
                <w:bCs/>
                <w:color w:val="auto"/>
                <w:sz w:val="21"/>
                <w:szCs w:val="16"/>
                <w:lang w:val="en-US" w:eastAsia="zh-CN"/>
              </w:rPr>
              <w:t>表4-20  本项目分区防渗情况一览表</w:t>
            </w:r>
          </w:p>
          <w:tbl>
            <w:tblPr>
              <w:tblStyle w:val="31"/>
              <w:tblW w:w="822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583"/>
              <w:gridCol w:w="1272"/>
              <w:gridCol w:w="1995"/>
              <w:gridCol w:w="4375"/>
            </w:tblGrid>
            <w:tr w14:paraId="25418B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24" w:hRule="atLeast"/>
                <w:jc w:val="center"/>
              </w:trPr>
              <w:tc>
                <w:tcPr>
                  <w:tcW w:w="583" w:type="dxa"/>
                  <w:tcBorders>
                    <w:tl2br w:val="nil"/>
                    <w:tr2bl w:val="nil"/>
                  </w:tcBorders>
                  <w:noWrap w:val="0"/>
                  <w:vAlign w:val="center"/>
                </w:tcPr>
                <w:p w14:paraId="6BA6341A">
                  <w:pPr>
                    <w:pStyle w:val="11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eastAsia" w:ascii="Times New Roman" w:hAnsi="Times New Roman" w:cs="Times New Roman" w:eastAsiaTheme="minorEastAsia"/>
                      <w:color w:val="auto"/>
                      <w:sz w:val="21"/>
                      <w:szCs w:val="16"/>
                      <w:highlight w:val="none"/>
                      <w:lang w:val="en-US" w:eastAsia="zh-CN"/>
                    </w:rPr>
                  </w:pPr>
                  <w:r>
                    <w:rPr>
                      <w:rFonts w:hint="eastAsia" w:ascii="Times New Roman" w:hAnsi="Times New Roman" w:cs="Times New Roman" w:eastAsiaTheme="minorEastAsia"/>
                      <w:color w:val="auto"/>
                      <w:sz w:val="21"/>
                      <w:szCs w:val="16"/>
                      <w:highlight w:val="none"/>
                      <w:lang w:val="en-US" w:eastAsia="zh-CN"/>
                    </w:rPr>
                    <w:t>序号</w:t>
                  </w:r>
                </w:p>
              </w:tc>
              <w:tc>
                <w:tcPr>
                  <w:tcW w:w="1272" w:type="dxa"/>
                  <w:tcBorders>
                    <w:tl2br w:val="nil"/>
                    <w:tr2bl w:val="nil"/>
                  </w:tcBorders>
                  <w:noWrap w:val="0"/>
                  <w:vAlign w:val="center"/>
                </w:tcPr>
                <w:p w14:paraId="1FC517BE">
                  <w:pPr>
                    <w:pStyle w:val="11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eastAsia" w:ascii="Times New Roman" w:hAnsi="Times New Roman" w:cs="Times New Roman" w:eastAsiaTheme="minorEastAsia"/>
                      <w:color w:val="auto"/>
                      <w:sz w:val="21"/>
                      <w:szCs w:val="16"/>
                      <w:highlight w:val="none"/>
                      <w:lang w:val="en-US" w:eastAsia="zh-CN"/>
                    </w:rPr>
                  </w:pPr>
                  <w:r>
                    <w:rPr>
                      <w:rFonts w:hint="eastAsia" w:ascii="Times New Roman" w:hAnsi="Times New Roman" w:cs="Times New Roman" w:eastAsiaTheme="minorEastAsia"/>
                      <w:color w:val="auto"/>
                      <w:sz w:val="21"/>
                      <w:szCs w:val="16"/>
                      <w:highlight w:val="none"/>
                      <w:lang w:val="en-US" w:eastAsia="zh-CN"/>
                    </w:rPr>
                    <w:t>污染防治区主要类别</w:t>
                  </w:r>
                </w:p>
              </w:tc>
              <w:tc>
                <w:tcPr>
                  <w:tcW w:w="1995" w:type="dxa"/>
                  <w:tcBorders>
                    <w:tl2br w:val="nil"/>
                    <w:tr2bl w:val="nil"/>
                  </w:tcBorders>
                  <w:noWrap w:val="0"/>
                  <w:vAlign w:val="center"/>
                </w:tcPr>
                <w:p w14:paraId="3E82B1DB">
                  <w:pPr>
                    <w:pStyle w:val="11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eastAsia" w:ascii="Times New Roman" w:hAnsi="Times New Roman" w:cs="Times New Roman" w:eastAsiaTheme="minorEastAsia"/>
                      <w:color w:val="auto"/>
                      <w:sz w:val="21"/>
                      <w:szCs w:val="16"/>
                      <w:highlight w:val="none"/>
                      <w:lang w:val="en-US" w:eastAsia="zh-CN"/>
                    </w:rPr>
                  </w:pPr>
                  <w:r>
                    <w:rPr>
                      <w:rFonts w:hint="eastAsia" w:ascii="Times New Roman" w:hAnsi="Times New Roman" w:cs="Times New Roman" w:eastAsiaTheme="minorEastAsia"/>
                      <w:color w:val="auto"/>
                      <w:sz w:val="21"/>
                      <w:szCs w:val="16"/>
                      <w:highlight w:val="none"/>
                      <w:lang w:val="en-US" w:eastAsia="zh-CN"/>
                    </w:rPr>
                    <w:t>装置、单元名称</w:t>
                  </w:r>
                </w:p>
              </w:tc>
              <w:tc>
                <w:tcPr>
                  <w:tcW w:w="4375" w:type="dxa"/>
                  <w:tcBorders>
                    <w:tl2br w:val="nil"/>
                    <w:tr2bl w:val="nil"/>
                  </w:tcBorders>
                  <w:noWrap w:val="0"/>
                  <w:vAlign w:val="center"/>
                </w:tcPr>
                <w:p w14:paraId="09F26487">
                  <w:pPr>
                    <w:pStyle w:val="11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eastAsia" w:ascii="Times New Roman" w:hAnsi="Times New Roman" w:cs="Times New Roman" w:eastAsiaTheme="minorEastAsia"/>
                      <w:color w:val="auto"/>
                      <w:sz w:val="21"/>
                      <w:szCs w:val="16"/>
                      <w:highlight w:val="none"/>
                      <w:lang w:val="en-US" w:eastAsia="zh-CN"/>
                    </w:rPr>
                  </w:pPr>
                  <w:r>
                    <w:rPr>
                      <w:rFonts w:hint="eastAsia" w:ascii="Times New Roman" w:hAnsi="Times New Roman" w:cs="Times New Roman" w:eastAsiaTheme="minorEastAsia"/>
                      <w:color w:val="auto"/>
                      <w:sz w:val="21"/>
                      <w:szCs w:val="16"/>
                      <w:highlight w:val="none"/>
                      <w:lang w:val="en-US" w:eastAsia="zh-CN"/>
                    </w:rPr>
                    <w:t>防渗要求</w:t>
                  </w:r>
                </w:p>
              </w:tc>
            </w:tr>
            <w:tr w14:paraId="69B189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83" w:type="dxa"/>
                  <w:tcBorders>
                    <w:tl2br w:val="nil"/>
                    <w:tr2bl w:val="nil"/>
                  </w:tcBorders>
                  <w:shd w:val="clear" w:color="auto" w:fill="auto"/>
                  <w:noWrap w:val="0"/>
                  <w:vAlign w:val="center"/>
                </w:tcPr>
                <w:p w14:paraId="4D31C12E">
                  <w:pPr>
                    <w:pStyle w:val="11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center"/>
                    <w:textAlignment w:val="auto"/>
                    <w:rPr>
                      <w:rFonts w:hint="eastAsia" w:ascii="Times New Roman" w:hAnsi="Times New Roman" w:cs="Times New Roman" w:eastAsiaTheme="minorEastAsia"/>
                      <w:color w:val="auto"/>
                      <w:kern w:val="0"/>
                      <w:sz w:val="21"/>
                      <w:szCs w:val="16"/>
                      <w:highlight w:val="none"/>
                      <w:lang w:val="en-US" w:eastAsia="zh-CN" w:bidi="ar-SA"/>
                    </w:rPr>
                  </w:pPr>
                  <w:r>
                    <w:rPr>
                      <w:rFonts w:hint="eastAsia" w:ascii="Times New Roman" w:hAnsi="Times New Roman" w:cs="Times New Roman"/>
                      <w:color w:val="auto"/>
                      <w:sz w:val="21"/>
                      <w:szCs w:val="16"/>
                      <w:highlight w:val="none"/>
                      <w:lang w:val="en-US" w:eastAsia="zh-CN"/>
                    </w:rPr>
                    <w:t>1</w:t>
                  </w:r>
                </w:p>
              </w:tc>
              <w:tc>
                <w:tcPr>
                  <w:tcW w:w="1272" w:type="dxa"/>
                  <w:vMerge w:val="restart"/>
                  <w:tcBorders>
                    <w:tl2br w:val="nil"/>
                    <w:tr2bl w:val="nil"/>
                  </w:tcBorders>
                  <w:noWrap w:val="0"/>
                  <w:vAlign w:val="center"/>
                </w:tcPr>
                <w:p w14:paraId="488412E3">
                  <w:pPr>
                    <w:pStyle w:val="11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default" w:cs="Times New Roman" w:eastAsiaTheme="minorEastAsia"/>
                      <w:color w:val="auto"/>
                      <w:sz w:val="21"/>
                      <w:szCs w:val="16"/>
                      <w:highlight w:val="none"/>
                      <w:lang w:val="en-US" w:eastAsia="zh-CN"/>
                    </w:rPr>
                  </w:pPr>
                  <w:r>
                    <w:rPr>
                      <w:rFonts w:hint="eastAsia" w:cs="Times New Roman" w:eastAsiaTheme="minorEastAsia"/>
                      <w:color w:val="auto"/>
                      <w:sz w:val="21"/>
                      <w:szCs w:val="16"/>
                      <w:highlight w:val="none"/>
                      <w:lang w:val="en-US" w:eastAsia="zh-CN"/>
                    </w:rPr>
                    <w:t>重点防渗区</w:t>
                  </w:r>
                </w:p>
              </w:tc>
              <w:tc>
                <w:tcPr>
                  <w:tcW w:w="1995" w:type="dxa"/>
                  <w:tcBorders>
                    <w:tl2br w:val="nil"/>
                    <w:tr2bl w:val="nil"/>
                  </w:tcBorders>
                  <w:noWrap w:val="0"/>
                  <w:vAlign w:val="center"/>
                </w:tcPr>
                <w:p w14:paraId="108059CA">
                  <w:pPr>
                    <w:pStyle w:val="11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default" w:cs="Times New Roman"/>
                      <w:color w:val="auto"/>
                      <w:sz w:val="21"/>
                      <w:szCs w:val="16"/>
                      <w:highlight w:val="none"/>
                      <w:lang w:val="en-US" w:eastAsia="zh-CN"/>
                    </w:rPr>
                  </w:pPr>
                  <w:r>
                    <w:rPr>
                      <w:rFonts w:hint="eastAsia" w:cs="Times New Roman"/>
                      <w:color w:val="auto"/>
                      <w:sz w:val="21"/>
                      <w:szCs w:val="16"/>
                      <w:highlight w:val="none"/>
                      <w:lang w:val="en-US" w:eastAsia="zh-CN"/>
                    </w:rPr>
                    <w:t>危废贮存点</w:t>
                  </w:r>
                </w:p>
              </w:tc>
              <w:tc>
                <w:tcPr>
                  <w:tcW w:w="4375" w:type="dxa"/>
                  <w:tcBorders>
                    <w:tl2br w:val="nil"/>
                    <w:tr2bl w:val="nil"/>
                  </w:tcBorders>
                  <w:noWrap w:val="0"/>
                  <w:vAlign w:val="center"/>
                </w:tcPr>
                <w:p w14:paraId="0CE1A034">
                  <w:pPr>
                    <w:pStyle w:val="11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center"/>
                    <w:textAlignment w:val="auto"/>
                    <w:rPr>
                      <w:rFonts w:hint="eastAsia" w:ascii="Times New Roman" w:hAnsi="Times New Roman" w:cs="Times New Roman" w:eastAsiaTheme="minorEastAsia"/>
                      <w:color w:val="auto"/>
                      <w:sz w:val="21"/>
                      <w:szCs w:val="16"/>
                      <w:highlight w:val="none"/>
                      <w:lang w:val="en-US" w:eastAsia="zh-CN"/>
                    </w:rPr>
                  </w:pPr>
                  <w:r>
                    <w:rPr>
                      <w:rFonts w:ascii="Times New Roman" w:hAnsi="Times New Roman" w:cs="Times New Roman"/>
                      <w:color w:val="auto"/>
                      <w:sz w:val="21"/>
                      <w:szCs w:val="16"/>
                    </w:rPr>
                    <w:t>地面与裙脚采用坚固防渗的材料建造，防风、防晒、防雨；基础</w:t>
                  </w:r>
                  <w:r>
                    <w:rPr>
                      <w:rFonts w:hint="eastAsia" w:ascii="Times New Roman" w:hAnsi="Times New Roman" w:cs="Times New Roman"/>
                      <w:color w:val="auto"/>
                      <w:sz w:val="21"/>
                      <w:szCs w:val="16"/>
                    </w:rPr>
                    <w:t>敷设</w:t>
                  </w:r>
                  <w:r>
                    <w:rPr>
                      <w:rFonts w:ascii="Times New Roman" w:hAnsi="Times New Roman" w:cs="Times New Roman"/>
                      <w:color w:val="auto"/>
                      <w:sz w:val="21"/>
                      <w:szCs w:val="16"/>
                    </w:rPr>
                    <w:t>至少2mm厚的高密度聚乙烯防水层，上部敷设10cm厚水泥层，渗透系数应≤1×10</w:t>
                  </w:r>
                  <w:r>
                    <w:rPr>
                      <w:rFonts w:ascii="Times New Roman" w:hAnsi="Times New Roman" w:cs="Times New Roman"/>
                      <w:color w:val="auto"/>
                      <w:sz w:val="21"/>
                      <w:szCs w:val="16"/>
                      <w:vertAlign w:val="superscript"/>
                    </w:rPr>
                    <w:t>-10</w:t>
                  </w:r>
                  <w:r>
                    <w:rPr>
                      <w:rFonts w:ascii="Times New Roman" w:hAnsi="Times New Roman" w:cs="Times New Roman"/>
                      <w:color w:val="auto"/>
                      <w:sz w:val="21"/>
                      <w:szCs w:val="16"/>
                    </w:rPr>
                    <w:t>cm/s</w:t>
                  </w:r>
                </w:p>
              </w:tc>
            </w:tr>
            <w:tr w14:paraId="7B010D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83" w:type="dxa"/>
                  <w:tcBorders>
                    <w:tl2br w:val="nil"/>
                    <w:tr2bl w:val="nil"/>
                  </w:tcBorders>
                  <w:shd w:val="clear" w:color="auto" w:fill="auto"/>
                  <w:noWrap w:val="0"/>
                  <w:vAlign w:val="center"/>
                </w:tcPr>
                <w:p w14:paraId="5535E099">
                  <w:pPr>
                    <w:pStyle w:val="11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center"/>
                    <w:textAlignment w:val="auto"/>
                    <w:rPr>
                      <w:rFonts w:hint="eastAsia" w:ascii="Times New Roman" w:hAnsi="Times New Roman" w:cs="Times New Roman" w:eastAsiaTheme="minorEastAsia"/>
                      <w:color w:val="auto"/>
                      <w:kern w:val="0"/>
                      <w:sz w:val="21"/>
                      <w:szCs w:val="16"/>
                      <w:highlight w:val="none"/>
                      <w:lang w:val="en-US" w:eastAsia="zh-CN" w:bidi="ar-SA"/>
                    </w:rPr>
                  </w:pPr>
                  <w:r>
                    <w:rPr>
                      <w:rFonts w:hint="eastAsia" w:cs="Times New Roman"/>
                      <w:color w:val="auto"/>
                      <w:sz w:val="21"/>
                      <w:szCs w:val="16"/>
                      <w:highlight w:val="none"/>
                      <w:lang w:val="en-US" w:eastAsia="zh-CN"/>
                    </w:rPr>
                    <w:t>2</w:t>
                  </w:r>
                </w:p>
              </w:tc>
              <w:tc>
                <w:tcPr>
                  <w:tcW w:w="1272" w:type="dxa"/>
                  <w:vMerge w:val="continue"/>
                  <w:tcBorders>
                    <w:tl2br w:val="nil"/>
                    <w:tr2bl w:val="nil"/>
                  </w:tcBorders>
                  <w:noWrap w:val="0"/>
                  <w:vAlign w:val="center"/>
                </w:tcPr>
                <w:p w14:paraId="53E6F09D">
                  <w:pPr>
                    <w:pStyle w:val="11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eastAsia" w:cs="Times New Roman" w:eastAsiaTheme="minorEastAsia"/>
                      <w:color w:val="auto"/>
                      <w:sz w:val="21"/>
                      <w:szCs w:val="16"/>
                      <w:highlight w:val="none"/>
                      <w:lang w:val="en-US" w:eastAsia="zh-CN"/>
                    </w:rPr>
                  </w:pPr>
                </w:p>
              </w:tc>
              <w:tc>
                <w:tcPr>
                  <w:tcW w:w="1995" w:type="dxa"/>
                  <w:tcBorders>
                    <w:tl2br w:val="nil"/>
                    <w:tr2bl w:val="nil"/>
                  </w:tcBorders>
                  <w:noWrap w:val="0"/>
                  <w:vAlign w:val="center"/>
                </w:tcPr>
                <w:p w14:paraId="5BF101D2">
                  <w:pPr>
                    <w:pStyle w:val="11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default" w:cs="Times New Roman"/>
                      <w:color w:val="auto"/>
                      <w:sz w:val="21"/>
                      <w:szCs w:val="16"/>
                      <w:highlight w:val="none"/>
                      <w:lang w:val="en-US" w:eastAsia="zh-CN"/>
                    </w:rPr>
                  </w:pPr>
                  <w:r>
                    <w:rPr>
                      <w:rFonts w:hint="eastAsia" w:cs="Times New Roman"/>
                      <w:color w:val="auto"/>
                      <w:sz w:val="21"/>
                      <w:szCs w:val="16"/>
                      <w:highlight w:val="none"/>
                      <w:lang w:val="en-US" w:eastAsia="zh-CN"/>
                    </w:rPr>
                    <w:t>待拆车辆暂存区、拆解车间、初期雨水收集池</w:t>
                  </w:r>
                </w:p>
              </w:tc>
              <w:tc>
                <w:tcPr>
                  <w:tcW w:w="4375" w:type="dxa"/>
                  <w:tcBorders>
                    <w:tl2br w:val="nil"/>
                    <w:tr2bl w:val="nil"/>
                  </w:tcBorders>
                  <w:noWrap w:val="0"/>
                  <w:vAlign w:val="center"/>
                </w:tcPr>
                <w:p w14:paraId="743548E4">
                  <w:pPr>
                    <w:pStyle w:val="11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center"/>
                    <w:textAlignment w:val="auto"/>
                    <w:rPr>
                      <w:rFonts w:hint="eastAsia" w:ascii="Times New Roman" w:hAnsi="Times New Roman" w:cs="Times New Roman" w:eastAsiaTheme="minorEastAsia"/>
                      <w:color w:val="auto"/>
                      <w:sz w:val="21"/>
                      <w:szCs w:val="16"/>
                      <w:highlight w:val="none"/>
                      <w:lang w:val="en-US" w:eastAsia="zh-CN"/>
                    </w:rPr>
                  </w:pPr>
                  <w:r>
                    <w:rPr>
                      <w:rFonts w:hint="eastAsia" w:ascii="Times New Roman" w:hAnsi="Times New Roman" w:eastAsia="宋体" w:cs="Times New Roman"/>
                      <w:color w:val="auto"/>
                      <w:sz w:val="21"/>
                      <w:szCs w:val="16"/>
                      <w:highlight w:val="none"/>
                      <w:lang w:val="en-US" w:eastAsia="zh-CN"/>
                    </w:rPr>
                    <w:t>等效黏土防渗层Mb≥</w:t>
                  </w:r>
                  <w:r>
                    <w:rPr>
                      <w:rFonts w:hint="eastAsia" w:cs="Times New Roman"/>
                      <w:color w:val="auto"/>
                      <w:sz w:val="21"/>
                      <w:szCs w:val="16"/>
                      <w:highlight w:val="none"/>
                      <w:lang w:val="en-US" w:eastAsia="zh-CN"/>
                    </w:rPr>
                    <w:t>6.0</w:t>
                  </w:r>
                  <w:r>
                    <w:rPr>
                      <w:rFonts w:hint="eastAsia" w:ascii="Times New Roman" w:hAnsi="Times New Roman" w:eastAsia="宋体" w:cs="Times New Roman"/>
                      <w:color w:val="auto"/>
                      <w:sz w:val="21"/>
                      <w:szCs w:val="16"/>
                      <w:highlight w:val="none"/>
                      <w:lang w:val="en-US" w:eastAsia="zh-CN"/>
                    </w:rPr>
                    <w:t>m，渗透系数≤10</w:t>
                  </w:r>
                  <w:r>
                    <w:rPr>
                      <w:rFonts w:hint="eastAsia" w:ascii="Times New Roman" w:hAnsi="Times New Roman" w:eastAsia="宋体" w:cs="Times New Roman"/>
                      <w:color w:val="auto"/>
                      <w:sz w:val="21"/>
                      <w:szCs w:val="16"/>
                      <w:highlight w:val="none"/>
                      <w:vertAlign w:val="superscript"/>
                      <w:lang w:val="en-US" w:eastAsia="zh-CN"/>
                    </w:rPr>
                    <w:t>-7</w:t>
                  </w:r>
                  <w:r>
                    <w:rPr>
                      <w:rFonts w:hint="eastAsia" w:ascii="Times New Roman" w:hAnsi="Times New Roman" w:eastAsia="宋体" w:cs="Times New Roman"/>
                      <w:color w:val="auto"/>
                      <w:sz w:val="21"/>
                      <w:szCs w:val="16"/>
                      <w:highlight w:val="none"/>
                      <w:lang w:val="en-US" w:eastAsia="zh-CN"/>
                    </w:rPr>
                    <w:t>cm/s</w:t>
                  </w:r>
                </w:p>
              </w:tc>
            </w:tr>
            <w:tr w14:paraId="2AB9D1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83" w:type="dxa"/>
                  <w:tcBorders>
                    <w:tl2br w:val="nil"/>
                    <w:tr2bl w:val="nil"/>
                  </w:tcBorders>
                  <w:shd w:val="clear" w:color="auto" w:fill="auto"/>
                  <w:noWrap w:val="0"/>
                  <w:vAlign w:val="center"/>
                </w:tcPr>
                <w:p w14:paraId="32C76B49">
                  <w:pPr>
                    <w:pStyle w:val="11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eastAsiaTheme="minorEastAsia"/>
                      <w:color w:val="auto"/>
                      <w:kern w:val="0"/>
                      <w:sz w:val="21"/>
                      <w:szCs w:val="16"/>
                      <w:highlight w:val="none"/>
                      <w:lang w:val="en-US" w:eastAsia="zh-CN" w:bidi="ar-SA"/>
                    </w:rPr>
                  </w:pPr>
                  <w:r>
                    <w:rPr>
                      <w:rFonts w:hint="eastAsia" w:ascii="Times New Roman" w:hAnsi="Times New Roman" w:cs="Times New Roman" w:eastAsiaTheme="minorEastAsia"/>
                      <w:color w:val="auto"/>
                      <w:kern w:val="0"/>
                      <w:sz w:val="21"/>
                      <w:szCs w:val="16"/>
                      <w:highlight w:val="none"/>
                      <w:lang w:val="en-US" w:eastAsia="zh-CN" w:bidi="ar-SA"/>
                    </w:rPr>
                    <w:t>3</w:t>
                  </w:r>
                </w:p>
              </w:tc>
              <w:tc>
                <w:tcPr>
                  <w:tcW w:w="1272" w:type="dxa"/>
                  <w:tcBorders>
                    <w:tl2br w:val="nil"/>
                    <w:tr2bl w:val="nil"/>
                  </w:tcBorders>
                  <w:noWrap w:val="0"/>
                  <w:vAlign w:val="center"/>
                </w:tcPr>
                <w:p w14:paraId="28EC5F0E">
                  <w:pPr>
                    <w:pStyle w:val="11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eastAsia" w:cs="Times New Roman" w:eastAsiaTheme="minorEastAsia"/>
                      <w:color w:val="auto"/>
                      <w:sz w:val="21"/>
                      <w:szCs w:val="16"/>
                      <w:highlight w:val="none"/>
                      <w:lang w:val="en-US" w:eastAsia="zh-CN"/>
                    </w:rPr>
                  </w:pPr>
                  <w:r>
                    <w:rPr>
                      <w:rFonts w:hint="eastAsia" w:cs="Times New Roman" w:eastAsiaTheme="minorEastAsia"/>
                      <w:color w:val="auto"/>
                      <w:sz w:val="21"/>
                      <w:szCs w:val="16"/>
                      <w:highlight w:val="none"/>
                      <w:lang w:val="en-US" w:eastAsia="zh-CN"/>
                    </w:rPr>
                    <w:t>一般防渗区</w:t>
                  </w:r>
                </w:p>
              </w:tc>
              <w:tc>
                <w:tcPr>
                  <w:tcW w:w="1995" w:type="dxa"/>
                  <w:tcBorders>
                    <w:tl2br w:val="nil"/>
                    <w:tr2bl w:val="nil"/>
                  </w:tcBorders>
                  <w:noWrap w:val="0"/>
                  <w:vAlign w:val="center"/>
                </w:tcPr>
                <w:p w14:paraId="35B95362">
                  <w:pPr>
                    <w:pStyle w:val="11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default" w:cs="Times New Roman" w:eastAsiaTheme="minorEastAsia"/>
                      <w:color w:val="auto"/>
                      <w:sz w:val="21"/>
                      <w:szCs w:val="16"/>
                      <w:highlight w:val="none"/>
                      <w:lang w:val="en-US" w:eastAsia="zh-CN"/>
                    </w:rPr>
                  </w:pPr>
                  <w:r>
                    <w:rPr>
                      <w:rFonts w:hint="eastAsia" w:cs="Times New Roman"/>
                      <w:color w:val="auto"/>
                      <w:sz w:val="21"/>
                      <w:szCs w:val="16"/>
                      <w:highlight w:val="none"/>
                      <w:lang w:val="en-US" w:eastAsia="zh-CN"/>
                    </w:rPr>
                    <w:t>废钢铁与废橡胶贮存库</w:t>
                  </w:r>
                </w:p>
              </w:tc>
              <w:tc>
                <w:tcPr>
                  <w:tcW w:w="4375" w:type="dxa"/>
                  <w:tcBorders>
                    <w:tl2br w:val="nil"/>
                    <w:tr2bl w:val="nil"/>
                  </w:tcBorders>
                  <w:noWrap w:val="0"/>
                  <w:vAlign w:val="center"/>
                </w:tcPr>
                <w:p w14:paraId="61672930">
                  <w:pPr>
                    <w:pStyle w:val="11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eastAsia" w:ascii="Times New Roman" w:hAnsi="Times New Roman" w:cs="Times New Roman" w:eastAsiaTheme="minorEastAsia"/>
                      <w:color w:val="auto"/>
                      <w:sz w:val="21"/>
                      <w:szCs w:val="16"/>
                      <w:highlight w:val="none"/>
                      <w:lang w:val="en-US" w:eastAsia="zh-CN"/>
                    </w:rPr>
                  </w:pPr>
                  <w:r>
                    <w:rPr>
                      <w:rFonts w:hint="eastAsia" w:ascii="Times New Roman" w:hAnsi="Times New Roman" w:cs="Times New Roman" w:eastAsiaTheme="minorEastAsia"/>
                      <w:color w:val="auto"/>
                      <w:sz w:val="21"/>
                      <w:szCs w:val="16"/>
                      <w:highlight w:val="none"/>
                      <w:lang w:val="en-US" w:eastAsia="zh-CN"/>
                    </w:rPr>
                    <w:t>采用抗渗等级不低于P6级的抗渗混凝土，等效黏土防渗层Mb≥1.5m，渗透系数≤10</w:t>
                  </w:r>
                  <w:r>
                    <w:rPr>
                      <w:rFonts w:hint="eastAsia" w:ascii="Times New Roman" w:hAnsi="Times New Roman" w:cs="Times New Roman" w:eastAsiaTheme="minorEastAsia"/>
                      <w:color w:val="auto"/>
                      <w:sz w:val="21"/>
                      <w:szCs w:val="16"/>
                      <w:highlight w:val="none"/>
                      <w:vertAlign w:val="superscript"/>
                      <w:lang w:val="en-US" w:eastAsia="zh-CN"/>
                    </w:rPr>
                    <w:t>-7</w:t>
                  </w:r>
                  <w:r>
                    <w:rPr>
                      <w:rFonts w:hint="eastAsia" w:ascii="Times New Roman" w:hAnsi="Times New Roman" w:cs="Times New Roman" w:eastAsiaTheme="minorEastAsia"/>
                      <w:color w:val="auto"/>
                      <w:sz w:val="21"/>
                      <w:szCs w:val="16"/>
                      <w:highlight w:val="none"/>
                      <w:lang w:val="en-US" w:eastAsia="zh-CN"/>
                    </w:rPr>
                    <w:t>cm/s</w:t>
                  </w:r>
                </w:p>
              </w:tc>
            </w:tr>
            <w:tr w14:paraId="2C7CFE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83" w:type="dxa"/>
                  <w:tcBorders>
                    <w:tl2br w:val="nil"/>
                    <w:tr2bl w:val="nil"/>
                  </w:tcBorders>
                  <w:noWrap w:val="0"/>
                  <w:vAlign w:val="center"/>
                </w:tcPr>
                <w:p w14:paraId="5C8CBFC7">
                  <w:pPr>
                    <w:pStyle w:val="11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default" w:ascii="Times New Roman" w:hAnsi="Times New Roman" w:cs="Times New Roman" w:eastAsiaTheme="minorEastAsia"/>
                      <w:color w:val="auto"/>
                      <w:sz w:val="21"/>
                      <w:szCs w:val="16"/>
                      <w:highlight w:val="none"/>
                      <w:lang w:val="en-US" w:eastAsia="zh-CN"/>
                    </w:rPr>
                  </w:pPr>
                  <w:r>
                    <w:rPr>
                      <w:rFonts w:hint="eastAsia" w:ascii="Times New Roman" w:hAnsi="Times New Roman" w:cs="Times New Roman" w:eastAsiaTheme="minorEastAsia"/>
                      <w:color w:val="auto"/>
                      <w:sz w:val="21"/>
                      <w:szCs w:val="16"/>
                      <w:highlight w:val="none"/>
                      <w:lang w:val="en-US" w:eastAsia="zh-CN"/>
                    </w:rPr>
                    <w:t>4</w:t>
                  </w:r>
                </w:p>
              </w:tc>
              <w:tc>
                <w:tcPr>
                  <w:tcW w:w="1272" w:type="dxa"/>
                  <w:tcBorders>
                    <w:tl2br w:val="nil"/>
                    <w:tr2bl w:val="nil"/>
                  </w:tcBorders>
                  <w:noWrap w:val="0"/>
                  <w:vAlign w:val="center"/>
                </w:tcPr>
                <w:p w14:paraId="2D791837">
                  <w:pPr>
                    <w:pStyle w:val="11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eastAsia" w:ascii="Times New Roman" w:hAnsi="Times New Roman" w:cs="Times New Roman" w:eastAsiaTheme="minorEastAsia"/>
                      <w:color w:val="auto"/>
                      <w:sz w:val="21"/>
                      <w:szCs w:val="16"/>
                      <w:highlight w:val="none"/>
                      <w:lang w:val="en-US" w:eastAsia="zh-CN"/>
                    </w:rPr>
                  </w:pPr>
                  <w:r>
                    <w:rPr>
                      <w:rFonts w:hint="eastAsia" w:ascii="Times New Roman" w:hAnsi="Times New Roman" w:cs="Times New Roman" w:eastAsiaTheme="minorEastAsia"/>
                      <w:color w:val="auto"/>
                      <w:sz w:val="21"/>
                      <w:szCs w:val="16"/>
                      <w:highlight w:val="none"/>
                      <w:lang w:val="en-US" w:eastAsia="zh-CN"/>
                    </w:rPr>
                    <w:t>简单防渗区</w:t>
                  </w:r>
                </w:p>
              </w:tc>
              <w:tc>
                <w:tcPr>
                  <w:tcW w:w="1995" w:type="dxa"/>
                  <w:tcBorders>
                    <w:tl2br w:val="nil"/>
                    <w:tr2bl w:val="nil"/>
                  </w:tcBorders>
                  <w:noWrap w:val="0"/>
                  <w:vAlign w:val="center"/>
                </w:tcPr>
                <w:p w14:paraId="77CDCDE0">
                  <w:pPr>
                    <w:pStyle w:val="11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default" w:ascii="Times New Roman" w:hAnsi="Times New Roman" w:cs="Times New Roman" w:eastAsiaTheme="minorEastAsia"/>
                      <w:color w:val="auto"/>
                      <w:sz w:val="21"/>
                      <w:szCs w:val="16"/>
                      <w:highlight w:val="none"/>
                      <w:lang w:val="en-US" w:eastAsia="zh-CN"/>
                    </w:rPr>
                  </w:pPr>
                  <w:r>
                    <w:rPr>
                      <w:rFonts w:hint="eastAsia" w:cs="Times New Roman" w:eastAsiaTheme="minorEastAsia"/>
                      <w:color w:val="auto"/>
                      <w:sz w:val="21"/>
                      <w:szCs w:val="16"/>
                      <w:highlight w:val="none"/>
                      <w:lang w:val="en-US" w:eastAsia="zh-CN"/>
                    </w:rPr>
                    <w:t>除一般防渗区的区域</w:t>
                  </w:r>
                </w:p>
              </w:tc>
              <w:tc>
                <w:tcPr>
                  <w:tcW w:w="4375" w:type="dxa"/>
                  <w:tcBorders>
                    <w:tl2br w:val="nil"/>
                    <w:tr2bl w:val="nil"/>
                  </w:tcBorders>
                  <w:noWrap w:val="0"/>
                  <w:vAlign w:val="center"/>
                </w:tcPr>
                <w:p w14:paraId="06D87B89">
                  <w:pPr>
                    <w:pStyle w:val="11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eastAsia" w:ascii="Times New Roman" w:hAnsi="Times New Roman" w:cs="Times New Roman" w:eastAsiaTheme="minorEastAsia"/>
                      <w:color w:val="auto"/>
                      <w:sz w:val="21"/>
                      <w:szCs w:val="16"/>
                      <w:highlight w:val="none"/>
                      <w:lang w:val="en-US" w:eastAsia="zh-CN"/>
                    </w:rPr>
                  </w:pPr>
                  <w:r>
                    <w:rPr>
                      <w:rFonts w:hint="eastAsia" w:ascii="Times New Roman" w:hAnsi="Times New Roman" w:cs="Times New Roman" w:eastAsiaTheme="minorEastAsia"/>
                      <w:color w:val="auto"/>
                      <w:sz w:val="21"/>
                      <w:szCs w:val="16"/>
                      <w:highlight w:val="none"/>
                      <w:lang w:val="en-US" w:eastAsia="zh-CN"/>
                    </w:rPr>
                    <w:t>水泥硬化</w:t>
                  </w:r>
                </w:p>
              </w:tc>
            </w:tr>
          </w:tbl>
          <w:p w14:paraId="617011A6">
            <w:pPr>
              <w:pStyle w:val="118"/>
              <w:adjustRightInd w:val="0"/>
              <w:snapToGrid w:val="0"/>
              <w:spacing w:line="360" w:lineRule="auto"/>
              <w:ind w:firstLine="480"/>
              <w:rPr>
                <w:rFonts w:hint="eastAsia" w:ascii="Times New Roman" w:hAnsi="Times New Roman" w:cs="Times New Roman" w:eastAsiaTheme="minorEastAsia"/>
                <w:color w:val="auto"/>
                <w:lang w:val="en-US" w:eastAsia="zh-CN"/>
              </w:rPr>
            </w:pPr>
            <w:r>
              <w:rPr>
                <w:rFonts w:hint="eastAsia" w:ascii="Times New Roman" w:hAnsi="Times New Roman" w:cs="Times New Roman" w:eastAsiaTheme="minorEastAsia"/>
                <w:color w:val="auto"/>
                <w:lang w:val="en-US"/>
              </w:rPr>
              <w:t>项目在退役后将所有拆解物及废旧农机全部转移或转交有处理资质的单位进行处理，所以本项目运营期产生的废机油不会对土壤侵蚀、破坏。经调查，评价内区域周边并无工业企业对周边土壤造成破坏或污染。为了加强对土壤环境的保护，本次环评建议采取以下防范处理措施</w:t>
            </w:r>
            <w:r>
              <w:rPr>
                <w:rFonts w:hint="eastAsia" w:ascii="Times New Roman" w:hAnsi="Times New Roman" w:cs="Times New Roman" w:eastAsiaTheme="minorEastAsia"/>
                <w:color w:val="auto"/>
                <w:lang w:val="en-US" w:eastAsia="zh-CN"/>
              </w:rPr>
              <w:t>：</w:t>
            </w:r>
          </w:p>
          <w:p w14:paraId="01C445E5">
            <w:pPr>
              <w:pStyle w:val="118"/>
              <w:adjustRightInd w:val="0"/>
              <w:snapToGrid w:val="0"/>
              <w:spacing w:line="360" w:lineRule="auto"/>
              <w:ind w:firstLine="480"/>
              <w:rPr>
                <w:rFonts w:hint="eastAsia" w:ascii="Times New Roman" w:hAnsi="Times New Roman" w:cs="Times New Roman" w:eastAsiaTheme="minorEastAsia"/>
                <w:color w:val="auto"/>
                <w:lang w:val="en-US" w:eastAsia="zh-CN"/>
              </w:rPr>
            </w:pPr>
            <w:r>
              <w:rPr>
                <w:rFonts w:hint="eastAsia" w:ascii="Times New Roman" w:hAnsi="Times New Roman" w:cs="Times New Roman" w:eastAsiaTheme="minorEastAsia"/>
                <w:color w:val="auto"/>
                <w:lang w:val="en-US"/>
              </w:rPr>
              <w:t>①厂方在项目退役后需要对地面进行清洗、保养</w:t>
            </w:r>
            <w:r>
              <w:rPr>
                <w:rFonts w:hint="eastAsia" w:ascii="Times New Roman" w:hAnsi="Times New Roman" w:cs="Times New Roman" w:eastAsiaTheme="minorEastAsia"/>
                <w:color w:val="auto"/>
                <w:lang w:val="en-US" w:eastAsia="zh-CN"/>
              </w:rPr>
              <w:t>；</w:t>
            </w:r>
          </w:p>
          <w:p w14:paraId="15BE1397">
            <w:pPr>
              <w:pStyle w:val="118"/>
              <w:adjustRightInd w:val="0"/>
              <w:snapToGrid w:val="0"/>
              <w:spacing w:line="360" w:lineRule="auto"/>
              <w:ind w:firstLine="480"/>
              <w:rPr>
                <w:rFonts w:hint="eastAsia" w:ascii="Times New Roman" w:hAnsi="Times New Roman" w:cs="Times New Roman" w:eastAsiaTheme="minorEastAsia"/>
                <w:color w:val="auto"/>
                <w:lang w:val="en-US" w:eastAsia="zh-CN"/>
              </w:rPr>
            </w:pPr>
            <w:r>
              <w:rPr>
                <w:rFonts w:hint="eastAsia" w:ascii="Times New Roman" w:hAnsi="Times New Roman" w:cs="Times New Roman" w:eastAsiaTheme="minorEastAsia"/>
                <w:color w:val="auto"/>
                <w:lang w:val="en-US"/>
              </w:rPr>
              <w:t>②将拆解后危废全部交由有资质的单位进行处理，拆解设备在项目退役后需要及时转移或转让</w:t>
            </w:r>
            <w:r>
              <w:rPr>
                <w:rFonts w:hint="eastAsia" w:ascii="Times New Roman" w:hAnsi="Times New Roman" w:cs="Times New Roman" w:eastAsiaTheme="minorEastAsia"/>
                <w:color w:val="auto"/>
                <w:lang w:val="en-US" w:eastAsia="zh-CN"/>
              </w:rPr>
              <w:t>；</w:t>
            </w:r>
          </w:p>
          <w:p w14:paraId="1851B1B7">
            <w:pPr>
              <w:pStyle w:val="118"/>
              <w:adjustRightInd w:val="0"/>
              <w:snapToGrid w:val="0"/>
              <w:spacing w:line="360" w:lineRule="auto"/>
              <w:ind w:firstLine="480"/>
              <w:rPr>
                <w:rFonts w:hint="eastAsia" w:ascii="Times New Roman" w:hAnsi="Times New Roman" w:cs="Times New Roman" w:eastAsiaTheme="minorEastAsia"/>
                <w:color w:val="auto"/>
                <w:lang w:val="en-US"/>
              </w:rPr>
            </w:pPr>
            <w:r>
              <w:rPr>
                <w:rFonts w:hint="eastAsia" w:ascii="Times New Roman" w:hAnsi="Times New Roman" w:cs="Times New Roman" w:eastAsiaTheme="minorEastAsia"/>
                <w:color w:val="auto"/>
                <w:lang w:val="en-US"/>
              </w:rPr>
              <w:t>③项目退役后对周边土壤进行环境监测。如果发生突发性的废机油渗漏事件，废机油进入到土壤中，废机油里含有的有毒物质会渗透到土壤和地下水，人们一旦食用受污染的土地生产的农作物或是喝了受污染了的水，这些有毒的物质就会进入人的体内，慢慢的沉积下来，对人类健康造成极大的威胁。</w:t>
            </w:r>
          </w:p>
          <w:p w14:paraId="43AD938B">
            <w:pPr>
              <w:pStyle w:val="118"/>
              <w:adjustRightInd w:val="0"/>
              <w:snapToGrid w:val="0"/>
              <w:spacing w:line="360" w:lineRule="auto"/>
              <w:ind w:firstLine="480"/>
              <w:rPr>
                <w:rFonts w:hint="eastAsia" w:ascii="Times New Roman" w:hAnsi="Times New Roman" w:cs="Times New Roman" w:eastAsiaTheme="minorEastAsia"/>
                <w:color w:val="auto"/>
                <w:lang w:val="en-US"/>
              </w:rPr>
            </w:pPr>
            <w:r>
              <w:rPr>
                <w:rFonts w:hint="eastAsia" w:ascii="Times New Roman" w:hAnsi="Times New Roman" w:cs="Times New Roman" w:eastAsiaTheme="minorEastAsia"/>
                <w:color w:val="auto"/>
                <w:lang w:val="en-US"/>
              </w:rPr>
              <w:t>对于突发性的土壤渗漏影响，可以通过生态恢复技术予以消除主要通过人工手段，选择合适的植物种类改造介质，使之变得更适合植物的生长，或者利用物理或化学的方法直接改良土壤介质。</w:t>
            </w:r>
          </w:p>
          <w:p w14:paraId="5DDAA375">
            <w:pPr>
              <w:pStyle w:val="118"/>
              <w:adjustRightInd w:val="0"/>
              <w:snapToGrid w:val="0"/>
              <w:spacing w:line="360" w:lineRule="auto"/>
              <w:ind w:firstLine="480"/>
              <w:rPr>
                <w:rFonts w:hint="eastAsia" w:ascii="Times New Roman" w:hAnsi="Times New Roman" w:cs="Times New Roman" w:eastAsiaTheme="minorEastAsia"/>
                <w:color w:val="auto"/>
                <w:lang w:val="en-US"/>
              </w:rPr>
            </w:pPr>
            <w:r>
              <w:rPr>
                <w:rFonts w:hint="eastAsia" w:ascii="Times New Roman" w:hAnsi="Times New Roman" w:cs="Times New Roman" w:eastAsiaTheme="minorEastAsia"/>
                <w:color w:val="auto"/>
                <w:lang w:val="en-US"/>
              </w:rPr>
              <w:t>综上所述，项目渗漏可以有效地处理，对周围地下水、土壤环境的影响很小。</w:t>
            </w:r>
          </w:p>
          <w:p w14:paraId="3C3D2EF5">
            <w:pPr>
              <w:keepLines w:val="0"/>
              <w:pageBreakBefore w:val="0"/>
              <w:topLinePunct w:val="0"/>
              <w:bidi w:val="0"/>
              <w:spacing w:beforeAutospacing="0" w:afterAutospacing="0" w:line="360" w:lineRule="auto"/>
              <w:ind w:left="0" w:leftChars="0" w:right="0" w:rightChars="0" w:firstLine="482" w:firstLineChars="200"/>
              <w:rPr>
                <w:rFonts w:hint="default" w:ascii="Times New Roman" w:hAnsi="Times New Roman" w:eastAsia="宋体" w:cs="Times New Roman"/>
                <w:b/>
                <w:bCs/>
                <w:color w:val="auto"/>
                <w:sz w:val="24"/>
                <w:szCs w:val="24"/>
                <w:highlight w:val="none"/>
                <w:lang w:val="en-US" w:bidi="zh-CN"/>
              </w:rPr>
            </w:pPr>
            <w:r>
              <w:rPr>
                <w:rFonts w:hint="eastAsia" w:ascii="Times New Roman" w:hAnsi="Times New Roman" w:eastAsia="宋体" w:cs="Times New Roman"/>
                <w:b/>
                <w:bCs/>
                <w:color w:val="auto"/>
                <w:kern w:val="0"/>
                <w:sz w:val="24"/>
                <w:szCs w:val="24"/>
                <w:highlight w:val="none"/>
                <w:lang w:val="en-US" w:bidi="ar"/>
              </w:rPr>
              <w:t>六、</w:t>
            </w:r>
            <w:r>
              <w:rPr>
                <w:rFonts w:hint="default" w:ascii="Times New Roman" w:hAnsi="Times New Roman" w:eastAsia="宋体" w:cs="Times New Roman"/>
                <w:b/>
                <w:bCs/>
                <w:color w:val="auto"/>
                <w:sz w:val="24"/>
                <w:szCs w:val="24"/>
                <w:highlight w:val="none"/>
                <w:lang w:val="en-US" w:bidi="zh-CN"/>
              </w:rPr>
              <w:t>生态</w:t>
            </w:r>
          </w:p>
          <w:p w14:paraId="2876D374">
            <w:pPr>
              <w:keepLines w:val="0"/>
              <w:pageBreakBefore w:val="0"/>
              <w:topLinePunct w:val="0"/>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bidi="ar"/>
              </w:rPr>
              <w:t>本项目占地范围内无特殊生态敏感区及重要生态敏感区等生态环境保护目标，对周边生态环境影响较小，无需设置相应生态环境保护措施</w:t>
            </w:r>
            <w:r>
              <w:rPr>
                <w:rFonts w:hint="default" w:ascii="Times New Roman" w:hAnsi="Times New Roman" w:eastAsia="宋体" w:cs="Times New Roman"/>
                <w:color w:val="auto"/>
                <w:kern w:val="0"/>
                <w:sz w:val="24"/>
                <w:szCs w:val="24"/>
                <w:highlight w:val="none"/>
                <w:lang w:val="en-US" w:eastAsia="zh-CN" w:bidi="ar"/>
              </w:rPr>
              <w:t>。</w:t>
            </w:r>
          </w:p>
          <w:p w14:paraId="6A825379">
            <w:pPr>
              <w:keepLines w:val="0"/>
              <w:pageBreakBefore w:val="0"/>
              <w:topLinePunct w:val="0"/>
              <w:bidi w:val="0"/>
              <w:spacing w:beforeAutospacing="0" w:afterAutospacing="0" w:line="360" w:lineRule="auto"/>
              <w:ind w:left="0" w:leftChars="0" w:right="0" w:rightChars="0" w:firstLine="482" w:firstLineChars="200"/>
              <w:rPr>
                <w:rFonts w:hint="default" w:ascii="Times New Roman" w:hAnsi="Times New Roman" w:eastAsia="宋体" w:cs="Times New Roman"/>
                <w:b/>
                <w:bCs/>
                <w:color w:val="auto"/>
                <w:sz w:val="24"/>
                <w:szCs w:val="24"/>
                <w:highlight w:val="none"/>
                <w:lang w:val="en-US" w:bidi="zh-CN"/>
              </w:rPr>
            </w:pPr>
            <w:r>
              <w:rPr>
                <w:rFonts w:hint="eastAsia" w:cs="Times New Roman"/>
                <w:b/>
                <w:bCs/>
                <w:color w:val="auto"/>
                <w:sz w:val="24"/>
                <w:szCs w:val="24"/>
                <w:highlight w:val="none"/>
                <w:lang w:val="en-US" w:bidi="zh-CN"/>
              </w:rPr>
              <w:t>七</w:t>
            </w:r>
            <w:r>
              <w:rPr>
                <w:rFonts w:hint="default" w:ascii="Times New Roman" w:hAnsi="Times New Roman" w:eastAsia="宋体" w:cs="Times New Roman"/>
                <w:b/>
                <w:bCs/>
                <w:color w:val="auto"/>
                <w:sz w:val="24"/>
                <w:szCs w:val="24"/>
                <w:highlight w:val="none"/>
                <w:lang w:val="en-US" w:bidi="zh-CN"/>
              </w:rPr>
              <w:t>、</w:t>
            </w:r>
            <w:r>
              <w:rPr>
                <w:rFonts w:hint="eastAsia" w:ascii="Times New Roman" w:hAnsi="Times New Roman" w:cs="Times New Roman"/>
                <w:b/>
                <w:bCs/>
                <w:color w:val="auto"/>
                <w:sz w:val="24"/>
                <w:szCs w:val="24"/>
                <w:highlight w:val="none"/>
                <w:lang w:val="en-US" w:bidi="zh-CN"/>
              </w:rPr>
              <w:t>环境</w:t>
            </w:r>
            <w:r>
              <w:rPr>
                <w:rFonts w:hint="default" w:ascii="Times New Roman" w:hAnsi="Times New Roman" w:eastAsia="宋体" w:cs="Times New Roman"/>
                <w:b/>
                <w:bCs/>
                <w:color w:val="auto"/>
                <w:sz w:val="24"/>
                <w:szCs w:val="24"/>
                <w:highlight w:val="none"/>
                <w:lang w:val="en-US" w:bidi="zh-CN"/>
              </w:rPr>
              <w:t>风险</w:t>
            </w:r>
          </w:p>
          <w:p w14:paraId="175EE6A0">
            <w:pPr>
              <w:pStyle w:val="118"/>
              <w:adjustRightInd w:val="0"/>
              <w:snapToGrid w:val="0"/>
              <w:spacing w:line="360" w:lineRule="auto"/>
              <w:ind w:firstLine="480"/>
              <w:rPr>
                <w:rFonts w:eastAsiaTheme="minorEastAsia"/>
                <w:color w:val="auto"/>
              </w:rPr>
            </w:pPr>
            <w:r>
              <w:rPr>
                <w:rFonts w:hint="eastAsia" w:eastAsiaTheme="minorEastAsia"/>
                <w:color w:val="auto"/>
              </w:rPr>
              <w:t>环境风险评价的目的是分析和预测建设项目存在的潜在危险、有害因素，建设项目建设和运行期间可能发生的突发性事件或事故（一般不包括人为破坏及自然灾害），引起有毒有害和易燃易爆等物质泄漏，所造成的人身安全与环境影响和损害程度，提出合理可行的防范、应急与减缓措施，以将风险可能性和危害程度降至最低。</w:t>
            </w:r>
          </w:p>
          <w:p w14:paraId="38EED15C">
            <w:pPr>
              <w:pStyle w:val="11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1、风险识别</w:t>
            </w:r>
          </w:p>
          <w:p w14:paraId="775EDD87">
            <w:pPr>
              <w:pStyle w:val="11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按照《建设项目环境风险评价技术导则》</w:t>
            </w:r>
            <w:r>
              <w:rPr>
                <w:rFonts w:hint="eastAsia" w:cs="Times New Roman" w:eastAsiaTheme="minorEastAsia"/>
                <w:color w:val="auto"/>
                <w:lang w:eastAsia="zh-CN"/>
              </w:rPr>
              <w:t>（</w:t>
            </w:r>
            <w:r>
              <w:rPr>
                <w:rFonts w:hint="default" w:ascii="Times New Roman" w:hAnsi="Times New Roman" w:cs="Times New Roman" w:eastAsiaTheme="minorEastAsia"/>
                <w:color w:val="auto"/>
              </w:rPr>
              <w:t>HJ169-2018</w:t>
            </w:r>
            <w:r>
              <w:rPr>
                <w:rFonts w:hint="eastAsia" w:cs="Times New Roman" w:eastAsiaTheme="minorEastAsia"/>
                <w:color w:val="auto"/>
                <w:lang w:eastAsia="zh-CN"/>
              </w:rPr>
              <w:t>）</w:t>
            </w:r>
            <w:r>
              <w:rPr>
                <w:rFonts w:hint="default" w:ascii="Times New Roman" w:hAnsi="Times New Roman" w:cs="Times New Roman" w:eastAsiaTheme="minorEastAsia"/>
                <w:color w:val="auto"/>
              </w:rPr>
              <w:t>的指引</w:t>
            </w:r>
            <w:r>
              <w:rPr>
                <w:rFonts w:hint="eastAsia" w:cs="Times New Roman" w:eastAsiaTheme="minorEastAsia"/>
                <w:color w:val="auto"/>
                <w:lang w:eastAsia="zh-CN"/>
              </w:rPr>
              <w:t>，</w:t>
            </w:r>
            <w:r>
              <w:rPr>
                <w:rFonts w:hint="default" w:ascii="Times New Roman" w:hAnsi="Times New Roman" w:cs="Times New Roman" w:eastAsiaTheme="minorEastAsia"/>
                <w:color w:val="auto"/>
              </w:rPr>
              <w:t>参照《危险化学品重大危险源辨识》</w:t>
            </w:r>
            <w:r>
              <w:rPr>
                <w:rFonts w:hint="eastAsia" w:cs="Times New Roman" w:eastAsiaTheme="minorEastAsia"/>
                <w:color w:val="auto"/>
                <w:lang w:eastAsia="zh-CN"/>
              </w:rPr>
              <w:t>（</w:t>
            </w:r>
            <w:r>
              <w:rPr>
                <w:rFonts w:hint="default" w:ascii="Times New Roman" w:hAnsi="Times New Roman" w:cs="Times New Roman" w:eastAsiaTheme="minorEastAsia"/>
                <w:color w:val="auto"/>
              </w:rPr>
              <w:t>GB18218-2018</w:t>
            </w:r>
            <w:r>
              <w:rPr>
                <w:rFonts w:hint="eastAsia" w:cs="Times New Roman" w:eastAsiaTheme="minorEastAsia"/>
                <w:color w:val="auto"/>
                <w:lang w:eastAsia="zh-CN"/>
              </w:rPr>
              <w:t>）</w:t>
            </w:r>
            <w:r>
              <w:rPr>
                <w:rFonts w:hint="default" w:ascii="Times New Roman" w:hAnsi="Times New Roman" w:cs="Times New Roman" w:eastAsiaTheme="minorEastAsia"/>
                <w:color w:val="auto"/>
              </w:rPr>
              <w:t>和《工程建设标准实施评价规范》</w:t>
            </w:r>
            <w:r>
              <w:rPr>
                <w:rFonts w:hint="eastAsia" w:cs="Times New Roman" w:eastAsiaTheme="minorEastAsia"/>
                <w:color w:val="auto"/>
                <w:lang w:eastAsia="zh-CN"/>
              </w:rPr>
              <w:t>（</w:t>
            </w:r>
            <w:r>
              <w:rPr>
                <w:rFonts w:hint="default" w:ascii="Times New Roman" w:hAnsi="Times New Roman" w:cs="Times New Roman" w:eastAsiaTheme="minorEastAsia"/>
                <w:color w:val="auto"/>
              </w:rPr>
              <w:t>GB</w:t>
            </w:r>
            <w:r>
              <w:rPr>
                <w:rFonts w:hint="eastAsia" w:ascii="Times New Roman" w:hAnsi="Times New Roman" w:cs="Times New Roman" w:eastAsiaTheme="minorEastAsia"/>
                <w:color w:val="auto"/>
                <w:lang w:val="en-US" w:eastAsia="zh-CN"/>
              </w:rPr>
              <w:t>/</w:t>
            </w:r>
            <w:r>
              <w:rPr>
                <w:rFonts w:hint="default" w:ascii="Times New Roman" w:hAnsi="Times New Roman" w:cs="Times New Roman" w:eastAsiaTheme="minorEastAsia"/>
                <w:color w:val="auto"/>
              </w:rPr>
              <w:t>T50844-2013</w:t>
            </w:r>
            <w:r>
              <w:rPr>
                <w:rFonts w:hint="eastAsia" w:cs="Times New Roman" w:eastAsiaTheme="minorEastAsia"/>
                <w:color w:val="auto"/>
                <w:lang w:eastAsia="zh-CN"/>
              </w:rPr>
              <w:t>）</w:t>
            </w:r>
            <w:r>
              <w:rPr>
                <w:rFonts w:hint="default" w:ascii="Times New Roman" w:hAnsi="Times New Roman" w:cs="Times New Roman" w:eastAsiaTheme="minorEastAsia"/>
                <w:color w:val="auto"/>
              </w:rPr>
              <w:t>对建设项目所涉及的有毒有害、易燃易爆物质进行危险性识别和综合评价，选风险评价因子。本项目废农机回收拆解过程只涉及到车零部件拆除，不会对零部件进行进一步深入的拆分和处置。主要风险物质有废油液</w:t>
            </w:r>
            <w:r>
              <w:rPr>
                <w:rFonts w:hint="eastAsia" w:cs="Times New Roman" w:eastAsiaTheme="minorEastAsia"/>
                <w:color w:val="auto"/>
                <w:lang w:eastAsia="zh-CN"/>
              </w:rPr>
              <w:t>（</w:t>
            </w:r>
            <w:r>
              <w:rPr>
                <w:rFonts w:hint="default" w:ascii="Times New Roman" w:hAnsi="Times New Roman" w:cs="Times New Roman" w:eastAsiaTheme="minorEastAsia"/>
                <w:color w:val="auto"/>
              </w:rPr>
              <w:t>机油、柴油等</w:t>
            </w:r>
            <w:r>
              <w:rPr>
                <w:rFonts w:hint="eastAsia" w:cs="Times New Roman" w:eastAsiaTheme="minorEastAsia"/>
                <w:color w:val="auto"/>
                <w:lang w:eastAsia="zh-CN"/>
              </w:rPr>
              <w:t>）</w:t>
            </w:r>
            <w:r>
              <w:rPr>
                <w:rFonts w:hint="default" w:ascii="Times New Roman" w:hAnsi="Times New Roman" w:cs="Times New Roman" w:eastAsiaTheme="minorEastAsia"/>
                <w:color w:val="auto"/>
              </w:rPr>
              <w:t>和废铅酸蓄电池中的硫酸</w:t>
            </w:r>
            <w:r>
              <w:rPr>
                <w:rFonts w:hint="eastAsia" w:cs="Times New Roman" w:eastAsiaTheme="minorEastAsia"/>
                <w:color w:val="auto"/>
                <w:lang w:eastAsia="zh-CN"/>
              </w:rPr>
              <w:t>（</w:t>
            </w:r>
            <w:r>
              <w:rPr>
                <w:rFonts w:hint="default" w:ascii="Times New Roman" w:hAnsi="Times New Roman" w:cs="Times New Roman" w:eastAsiaTheme="minorEastAsia"/>
                <w:color w:val="auto"/>
              </w:rPr>
              <w:t>约占7%</w:t>
            </w:r>
            <w:r>
              <w:rPr>
                <w:rFonts w:hint="eastAsia" w:cs="Times New Roman" w:eastAsiaTheme="minorEastAsia"/>
                <w:color w:val="auto"/>
                <w:lang w:eastAsia="zh-CN"/>
              </w:rPr>
              <w:t>）</w:t>
            </w:r>
            <w:r>
              <w:rPr>
                <w:rFonts w:hint="default" w:ascii="Times New Roman" w:hAnsi="Times New Roman" w:cs="Times New Roman" w:eastAsiaTheme="minorEastAsia"/>
                <w:color w:val="auto"/>
              </w:rPr>
              <w:t>。</w:t>
            </w:r>
          </w:p>
          <w:p w14:paraId="2FCA4B0D">
            <w:pPr>
              <w:pStyle w:val="118"/>
              <w:spacing w:line="240" w:lineRule="auto"/>
              <w:ind w:firstLine="422"/>
              <w:jc w:val="center"/>
              <w:rPr>
                <w:rFonts w:hint="eastAsia" w:ascii="Times New Roman" w:hAnsi="Times New Roman" w:eastAsia="宋体" w:cs="Times New Roman"/>
                <w:b/>
                <w:bCs/>
                <w:color w:val="auto"/>
                <w:sz w:val="21"/>
                <w:szCs w:val="16"/>
              </w:rPr>
            </w:pPr>
            <w:r>
              <w:rPr>
                <w:rFonts w:hint="eastAsia" w:ascii="Times New Roman" w:hAnsi="Times New Roman" w:eastAsia="宋体" w:cs="Times New Roman"/>
                <w:b/>
                <w:bCs/>
                <w:color w:val="auto"/>
                <w:sz w:val="21"/>
                <w:szCs w:val="16"/>
              </w:rPr>
              <w:t>表4-</w:t>
            </w:r>
            <w:r>
              <w:rPr>
                <w:rFonts w:hint="eastAsia" w:cs="Times New Roman"/>
                <w:b/>
                <w:bCs/>
                <w:color w:val="auto"/>
                <w:sz w:val="21"/>
                <w:szCs w:val="16"/>
                <w:lang w:val="en-US" w:eastAsia="zh-CN"/>
              </w:rPr>
              <w:t>21</w:t>
            </w:r>
            <w:r>
              <w:rPr>
                <w:rFonts w:hint="eastAsia" w:ascii="Times New Roman" w:hAnsi="Times New Roman" w:eastAsia="宋体" w:cs="Times New Roman"/>
                <w:b/>
                <w:bCs/>
                <w:color w:val="auto"/>
                <w:sz w:val="21"/>
                <w:szCs w:val="16"/>
              </w:rPr>
              <w:t xml:space="preserve">  废</w:t>
            </w:r>
            <w:r>
              <w:rPr>
                <w:rFonts w:hint="eastAsia" w:cs="Times New Roman"/>
                <w:b/>
                <w:bCs/>
                <w:color w:val="auto"/>
                <w:sz w:val="21"/>
                <w:szCs w:val="16"/>
                <w:lang w:val="en-US" w:eastAsia="zh-CN"/>
              </w:rPr>
              <w:t>油液</w:t>
            </w:r>
            <w:r>
              <w:rPr>
                <w:rFonts w:hint="eastAsia" w:ascii="Times New Roman" w:hAnsi="Times New Roman" w:eastAsia="宋体" w:cs="Times New Roman"/>
                <w:b/>
                <w:bCs/>
                <w:color w:val="auto"/>
                <w:sz w:val="21"/>
                <w:szCs w:val="16"/>
              </w:rPr>
              <w:t>的理化性质及危险特性表</w:t>
            </w:r>
          </w:p>
          <w:tbl>
            <w:tblPr>
              <w:tblStyle w:val="32"/>
              <w:tblW w:w="819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70"/>
              <w:gridCol w:w="3387"/>
              <w:gridCol w:w="3035"/>
            </w:tblGrid>
            <w:tr w14:paraId="3847CC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tcBorders>
                    <w:tl2br w:val="nil"/>
                    <w:tr2bl w:val="nil"/>
                  </w:tcBorders>
                  <w:vAlign w:val="center"/>
                </w:tcPr>
                <w:p w14:paraId="46088039">
                  <w:pPr>
                    <w:pStyle w:val="11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物质名称</w:t>
                  </w:r>
                </w:p>
              </w:tc>
              <w:tc>
                <w:tcPr>
                  <w:tcW w:w="6422" w:type="dxa"/>
                  <w:gridSpan w:val="2"/>
                  <w:tcBorders>
                    <w:tl2br w:val="nil"/>
                    <w:tr2bl w:val="nil"/>
                  </w:tcBorders>
                  <w:vAlign w:val="center"/>
                </w:tcPr>
                <w:p w14:paraId="5F196B82">
                  <w:pPr>
                    <w:pStyle w:val="11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废</w:t>
                  </w:r>
                  <w:r>
                    <w:rPr>
                      <w:rFonts w:hint="eastAsia" w:cs="Times New Roman" w:eastAsiaTheme="minorEastAsia"/>
                      <w:color w:val="auto"/>
                      <w:sz w:val="21"/>
                      <w:szCs w:val="21"/>
                      <w:lang w:val="en-US" w:eastAsia="zh-CN"/>
                    </w:rPr>
                    <w:t>矿物</w:t>
                  </w:r>
                  <w:r>
                    <w:rPr>
                      <w:rFonts w:hint="default" w:ascii="Times New Roman" w:hAnsi="Times New Roman" w:cs="Times New Roman" w:eastAsiaTheme="minorEastAsia"/>
                      <w:color w:val="auto"/>
                      <w:sz w:val="21"/>
                      <w:szCs w:val="21"/>
                    </w:rPr>
                    <w:t>油/链烷烃</w:t>
                  </w:r>
                </w:p>
              </w:tc>
            </w:tr>
            <w:tr w14:paraId="1D067B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tcBorders>
                    <w:tl2br w:val="nil"/>
                    <w:tr2bl w:val="nil"/>
                  </w:tcBorders>
                  <w:vAlign w:val="center"/>
                </w:tcPr>
                <w:p w14:paraId="010E6D0E">
                  <w:pPr>
                    <w:pStyle w:val="11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危险性类别</w:t>
                  </w:r>
                </w:p>
              </w:tc>
              <w:tc>
                <w:tcPr>
                  <w:tcW w:w="6422" w:type="dxa"/>
                  <w:gridSpan w:val="2"/>
                  <w:tcBorders>
                    <w:tl2br w:val="nil"/>
                    <w:tr2bl w:val="nil"/>
                  </w:tcBorders>
                  <w:vAlign w:val="center"/>
                </w:tcPr>
                <w:p w14:paraId="57E8BB44">
                  <w:pPr>
                    <w:pStyle w:val="118"/>
                    <w:adjustRightInd w:val="0"/>
                    <w:snapToGrid w:val="0"/>
                    <w:spacing w:line="360" w:lineRule="auto"/>
                    <w:ind w:firstLine="0" w:firstLineChars="0"/>
                    <w:jc w:val="both"/>
                    <w:rPr>
                      <w:rFonts w:hint="eastAsia"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rPr>
                    <w:t>易燃，其蒸气与空气可形成爆炸性混合物，遇明火高热能引起燃烧爆炸。与氧化剂接触发生化学反应，甚至引起燃烧。在火场中，受热的容器有爆炸危险蒸气比空气重，沿地面扩散并易积存于低洼处，遇火源会着火回燃</w:t>
                  </w:r>
                  <w:r>
                    <w:rPr>
                      <w:rFonts w:hint="eastAsia" w:ascii="Times New Roman" w:hAnsi="Times New Roman" w:cs="Times New Roman"/>
                      <w:color w:val="auto"/>
                      <w:sz w:val="21"/>
                      <w:szCs w:val="21"/>
                      <w:lang w:eastAsia="zh-CN"/>
                    </w:rPr>
                    <w:t>。</w:t>
                  </w:r>
                </w:p>
              </w:tc>
            </w:tr>
            <w:tr w14:paraId="2F9801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vMerge w:val="restart"/>
                  <w:tcBorders>
                    <w:tl2br w:val="nil"/>
                    <w:tr2bl w:val="nil"/>
                  </w:tcBorders>
                  <w:vAlign w:val="center"/>
                </w:tcPr>
                <w:p w14:paraId="326CA3E7">
                  <w:pPr>
                    <w:pStyle w:val="11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物理性质</w:t>
                  </w:r>
                </w:p>
              </w:tc>
              <w:tc>
                <w:tcPr>
                  <w:tcW w:w="3387" w:type="dxa"/>
                  <w:tcBorders>
                    <w:tl2br w:val="nil"/>
                    <w:tr2bl w:val="nil"/>
                  </w:tcBorders>
                  <w:vAlign w:val="center"/>
                </w:tcPr>
                <w:p w14:paraId="73A89B03">
                  <w:pPr>
                    <w:spacing w:line="360" w:lineRule="auto"/>
                    <w:jc w:val="both"/>
                    <w:rPr>
                      <w:rFonts w:hint="default" w:ascii="Times New Roman" w:hAnsi="Times New Roman" w:cs="Times New Roman" w:eastAsiaTheme="minorEastAsia"/>
                      <w:color w:val="auto"/>
                      <w:szCs w:val="21"/>
                    </w:rPr>
                  </w:pPr>
                  <w:r>
                    <w:rPr>
                      <w:rFonts w:hint="default" w:ascii="Times New Roman" w:hAnsi="Times New Roman" w:cs="Times New Roman"/>
                      <w:color w:val="auto"/>
                      <w:szCs w:val="21"/>
                    </w:rPr>
                    <w:t>熔点=95.3~-94.3℃</w:t>
                  </w:r>
                </w:p>
              </w:tc>
              <w:tc>
                <w:tcPr>
                  <w:tcW w:w="3035" w:type="dxa"/>
                  <w:tcBorders>
                    <w:tl2br w:val="nil"/>
                    <w:tr2bl w:val="nil"/>
                  </w:tcBorders>
                  <w:vAlign w:val="center"/>
                </w:tcPr>
                <w:p w14:paraId="6566D9C6">
                  <w:pPr>
                    <w:spacing w:line="360" w:lineRule="auto"/>
                    <w:jc w:val="both"/>
                    <w:rPr>
                      <w:rFonts w:hint="default" w:ascii="Times New Roman" w:hAnsi="Times New Roman" w:cs="Times New Roman"/>
                      <w:color w:val="auto"/>
                      <w:szCs w:val="21"/>
                    </w:rPr>
                  </w:pPr>
                  <w:r>
                    <w:rPr>
                      <w:rFonts w:hint="default" w:ascii="Times New Roman" w:hAnsi="Times New Roman" w:cs="Times New Roman"/>
                      <w:color w:val="auto"/>
                      <w:szCs w:val="21"/>
                    </w:rPr>
                    <w:t>沸点=69℃</w:t>
                  </w:r>
                </w:p>
              </w:tc>
            </w:tr>
            <w:tr w14:paraId="4E0DDF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vMerge w:val="continue"/>
                  <w:tcBorders>
                    <w:tl2br w:val="nil"/>
                    <w:tr2bl w:val="nil"/>
                  </w:tcBorders>
                  <w:vAlign w:val="center"/>
                </w:tcPr>
                <w:p w14:paraId="37C00672">
                  <w:pPr>
                    <w:pStyle w:val="11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p>
              </w:tc>
              <w:tc>
                <w:tcPr>
                  <w:tcW w:w="3387" w:type="dxa"/>
                  <w:tcBorders>
                    <w:tl2br w:val="nil"/>
                    <w:tr2bl w:val="nil"/>
                  </w:tcBorders>
                  <w:vAlign w:val="center"/>
                </w:tcPr>
                <w:p w14:paraId="3EC250E8">
                  <w:pPr>
                    <w:pStyle w:val="11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相对密度（水=1）=0.66</w:t>
                  </w:r>
                </w:p>
              </w:tc>
              <w:tc>
                <w:tcPr>
                  <w:tcW w:w="3035" w:type="dxa"/>
                  <w:tcBorders>
                    <w:tl2br w:val="nil"/>
                    <w:tr2bl w:val="nil"/>
                  </w:tcBorders>
                  <w:vAlign w:val="center"/>
                </w:tcPr>
                <w:p w14:paraId="165C4A23">
                  <w:pPr>
                    <w:pStyle w:val="11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相对蒸汽密度（空气=1）=2.97</w:t>
                  </w:r>
                </w:p>
              </w:tc>
            </w:tr>
            <w:tr w14:paraId="0CF2E3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vMerge w:val="continue"/>
                  <w:tcBorders>
                    <w:tl2br w:val="nil"/>
                    <w:tr2bl w:val="nil"/>
                  </w:tcBorders>
                  <w:vAlign w:val="center"/>
                </w:tcPr>
                <w:p w14:paraId="5197D8D4">
                  <w:pPr>
                    <w:pStyle w:val="11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p>
              </w:tc>
              <w:tc>
                <w:tcPr>
                  <w:tcW w:w="3387" w:type="dxa"/>
                  <w:tcBorders>
                    <w:tl2br w:val="nil"/>
                    <w:tr2bl w:val="nil"/>
                  </w:tcBorders>
                  <w:vAlign w:val="center"/>
                </w:tcPr>
                <w:p w14:paraId="1F7D6D92">
                  <w:pPr>
                    <w:pStyle w:val="11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color w:val="auto"/>
                      <w:sz w:val="21"/>
                      <w:szCs w:val="21"/>
                    </w:rPr>
                    <w:t>饱和蒸气压=17kPa（20℃）</w:t>
                  </w:r>
                </w:p>
              </w:tc>
              <w:tc>
                <w:tcPr>
                  <w:tcW w:w="3035" w:type="dxa"/>
                  <w:tcBorders>
                    <w:tl2br w:val="nil"/>
                    <w:tr2bl w:val="nil"/>
                  </w:tcBorders>
                  <w:vAlign w:val="center"/>
                </w:tcPr>
                <w:p w14:paraId="5FD7F354">
                  <w:pPr>
                    <w:pStyle w:val="118"/>
                    <w:adjustRightInd w:val="0"/>
                    <w:snapToGrid w:val="0"/>
                    <w:spacing w:line="360" w:lineRule="auto"/>
                    <w:ind w:firstLine="0" w:firstLineChars="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燃烧热=-4159.1kJ/mol</w:t>
                  </w:r>
                </w:p>
              </w:tc>
            </w:tr>
            <w:tr w14:paraId="2BB08C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vMerge w:val="continue"/>
                  <w:tcBorders>
                    <w:tl2br w:val="nil"/>
                    <w:tr2bl w:val="nil"/>
                  </w:tcBorders>
                  <w:vAlign w:val="center"/>
                </w:tcPr>
                <w:p w14:paraId="10663E91">
                  <w:pPr>
                    <w:pStyle w:val="11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p>
              </w:tc>
              <w:tc>
                <w:tcPr>
                  <w:tcW w:w="3387" w:type="dxa"/>
                  <w:tcBorders>
                    <w:tl2br w:val="nil"/>
                    <w:tr2bl w:val="nil"/>
                  </w:tcBorders>
                  <w:vAlign w:val="center"/>
                </w:tcPr>
                <w:p w14:paraId="03CB2470">
                  <w:pPr>
                    <w:pStyle w:val="11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color w:val="auto"/>
                      <w:sz w:val="21"/>
                      <w:szCs w:val="21"/>
                    </w:rPr>
                    <w:t>临界压力=1.09MPa</w:t>
                  </w:r>
                </w:p>
              </w:tc>
              <w:tc>
                <w:tcPr>
                  <w:tcW w:w="3035" w:type="dxa"/>
                  <w:tcBorders>
                    <w:tl2br w:val="nil"/>
                    <w:tr2bl w:val="nil"/>
                  </w:tcBorders>
                  <w:vAlign w:val="center"/>
                </w:tcPr>
                <w:p w14:paraId="707F8201">
                  <w:pPr>
                    <w:pStyle w:val="11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color w:val="auto"/>
                      <w:sz w:val="21"/>
                      <w:szCs w:val="21"/>
                    </w:rPr>
                    <w:t>辛醇/水分配系数=1.9</w:t>
                  </w:r>
                </w:p>
              </w:tc>
            </w:tr>
            <w:tr w14:paraId="00D749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vMerge w:val="continue"/>
                  <w:tcBorders>
                    <w:tl2br w:val="nil"/>
                    <w:tr2bl w:val="nil"/>
                  </w:tcBorders>
                  <w:vAlign w:val="center"/>
                </w:tcPr>
                <w:p w14:paraId="45677DD8">
                  <w:pPr>
                    <w:pStyle w:val="11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p>
              </w:tc>
              <w:tc>
                <w:tcPr>
                  <w:tcW w:w="3387" w:type="dxa"/>
                  <w:tcBorders>
                    <w:tl2br w:val="nil"/>
                    <w:tr2bl w:val="nil"/>
                  </w:tcBorders>
                  <w:vAlign w:val="center"/>
                </w:tcPr>
                <w:p w14:paraId="077B7DFE">
                  <w:pPr>
                    <w:pStyle w:val="118"/>
                    <w:adjustRightInd w:val="0"/>
                    <w:snapToGrid w:val="0"/>
                    <w:spacing w:line="360" w:lineRule="auto"/>
                    <w:ind w:firstLine="0" w:firstLineChars="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闪点=22℃</w:t>
                  </w:r>
                </w:p>
              </w:tc>
              <w:tc>
                <w:tcPr>
                  <w:tcW w:w="3035" w:type="dxa"/>
                  <w:tcBorders>
                    <w:tl2br w:val="nil"/>
                    <w:tr2bl w:val="nil"/>
                  </w:tcBorders>
                  <w:vAlign w:val="center"/>
                </w:tcPr>
                <w:p w14:paraId="0FEAC0B8">
                  <w:pPr>
                    <w:pStyle w:val="11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color w:val="auto"/>
                      <w:sz w:val="21"/>
                      <w:szCs w:val="21"/>
                    </w:rPr>
                    <w:t>引燃温度=225℃</w:t>
                  </w:r>
                </w:p>
              </w:tc>
            </w:tr>
            <w:tr w14:paraId="2714F3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vMerge w:val="continue"/>
                  <w:tcBorders>
                    <w:tl2br w:val="nil"/>
                    <w:tr2bl w:val="nil"/>
                  </w:tcBorders>
                  <w:vAlign w:val="center"/>
                </w:tcPr>
                <w:p w14:paraId="6AC3B5B1">
                  <w:pPr>
                    <w:pStyle w:val="11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p>
              </w:tc>
              <w:tc>
                <w:tcPr>
                  <w:tcW w:w="3387" w:type="dxa"/>
                  <w:tcBorders>
                    <w:tl2br w:val="nil"/>
                    <w:tr2bl w:val="nil"/>
                  </w:tcBorders>
                  <w:vAlign w:val="center"/>
                </w:tcPr>
                <w:p w14:paraId="5A157097">
                  <w:pPr>
                    <w:pStyle w:val="118"/>
                    <w:adjustRightInd w:val="0"/>
                    <w:snapToGrid w:val="0"/>
                    <w:spacing w:line="360" w:lineRule="auto"/>
                    <w:ind w:firstLine="0" w:firstLineChars="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爆炸下限=1.1%</w:t>
                  </w:r>
                </w:p>
              </w:tc>
              <w:tc>
                <w:tcPr>
                  <w:tcW w:w="3035" w:type="dxa"/>
                  <w:tcBorders>
                    <w:tl2br w:val="nil"/>
                    <w:tr2bl w:val="nil"/>
                  </w:tcBorders>
                  <w:vAlign w:val="center"/>
                </w:tcPr>
                <w:p w14:paraId="6A7C3C85">
                  <w:pPr>
                    <w:pStyle w:val="118"/>
                    <w:adjustRightInd w:val="0"/>
                    <w:snapToGrid w:val="0"/>
                    <w:spacing w:line="360" w:lineRule="auto"/>
                    <w:ind w:firstLine="0" w:firstLineChars="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爆炸上限=7.5%</w:t>
                  </w:r>
                </w:p>
              </w:tc>
            </w:tr>
            <w:tr w14:paraId="2EC33B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vMerge w:val="continue"/>
                  <w:tcBorders>
                    <w:tl2br w:val="nil"/>
                    <w:tr2bl w:val="nil"/>
                  </w:tcBorders>
                  <w:vAlign w:val="center"/>
                </w:tcPr>
                <w:p w14:paraId="6AA43E52">
                  <w:pPr>
                    <w:pStyle w:val="11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p>
              </w:tc>
              <w:tc>
                <w:tcPr>
                  <w:tcW w:w="6422" w:type="dxa"/>
                  <w:gridSpan w:val="2"/>
                  <w:tcBorders>
                    <w:tl2br w:val="nil"/>
                    <w:tr2bl w:val="nil"/>
                  </w:tcBorders>
                  <w:vAlign w:val="center"/>
                </w:tcPr>
                <w:p w14:paraId="4F9E8BDC">
                  <w:pPr>
                    <w:pStyle w:val="118"/>
                    <w:adjustRightInd w:val="0"/>
                    <w:snapToGrid w:val="0"/>
                    <w:spacing w:line="360" w:lineRule="auto"/>
                    <w:ind w:firstLine="0" w:firstLineChars="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溶解性</w:t>
                  </w:r>
                  <w:r>
                    <w:rPr>
                      <w:rFonts w:hint="eastAsia" w:cs="Times New Roman"/>
                      <w:color w:val="auto"/>
                      <w:sz w:val="21"/>
                      <w:szCs w:val="21"/>
                      <w:lang w:eastAsia="zh-CN"/>
                    </w:rPr>
                    <w:t>：</w:t>
                  </w:r>
                  <w:r>
                    <w:rPr>
                      <w:rFonts w:hint="default" w:ascii="Times New Roman" w:hAnsi="Times New Roman" w:cs="Times New Roman"/>
                      <w:color w:val="auto"/>
                      <w:sz w:val="21"/>
                      <w:szCs w:val="21"/>
                    </w:rPr>
                    <w:t>不溶于水，溶于乙醇、乙醚、丙酮、氯仿等多数有机溶剂</w:t>
                  </w:r>
                </w:p>
              </w:tc>
            </w:tr>
            <w:tr w14:paraId="49688B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tcBorders>
                    <w:tl2br w:val="nil"/>
                    <w:tr2bl w:val="nil"/>
                  </w:tcBorders>
                  <w:vAlign w:val="center"/>
                </w:tcPr>
                <w:p w14:paraId="73F607B4">
                  <w:pPr>
                    <w:pStyle w:val="11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外观与气味</w:t>
                  </w:r>
                </w:p>
              </w:tc>
              <w:tc>
                <w:tcPr>
                  <w:tcW w:w="6422" w:type="dxa"/>
                  <w:gridSpan w:val="2"/>
                  <w:tcBorders>
                    <w:tl2br w:val="nil"/>
                    <w:tr2bl w:val="nil"/>
                  </w:tcBorders>
                  <w:vAlign w:val="center"/>
                </w:tcPr>
                <w:p w14:paraId="41F1CF09">
                  <w:pPr>
                    <w:pStyle w:val="11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高挥发性无色液体，有汽油味</w:t>
                  </w:r>
                </w:p>
              </w:tc>
            </w:tr>
            <w:tr w14:paraId="0163B2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92" w:type="dxa"/>
                  <w:gridSpan w:val="3"/>
                  <w:tcBorders>
                    <w:tl2br w:val="nil"/>
                    <w:tr2bl w:val="nil"/>
                  </w:tcBorders>
                  <w:vAlign w:val="center"/>
                </w:tcPr>
                <w:p w14:paraId="6DE1A1CE">
                  <w:pPr>
                    <w:pStyle w:val="11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火灾爆炸危险数据</w:t>
                  </w:r>
                </w:p>
              </w:tc>
            </w:tr>
            <w:tr w14:paraId="17216E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tcBorders>
                    <w:tl2br w:val="nil"/>
                    <w:tr2bl w:val="nil"/>
                  </w:tcBorders>
                  <w:vAlign w:val="center"/>
                </w:tcPr>
                <w:p w14:paraId="7A8AB6E5">
                  <w:pPr>
                    <w:pStyle w:val="11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灭火剂</w:t>
                  </w:r>
                </w:p>
              </w:tc>
              <w:tc>
                <w:tcPr>
                  <w:tcW w:w="6422" w:type="dxa"/>
                  <w:gridSpan w:val="2"/>
                  <w:tcBorders>
                    <w:tl2br w:val="nil"/>
                    <w:tr2bl w:val="nil"/>
                  </w:tcBorders>
                  <w:vAlign w:val="center"/>
                </w:tcPr>
                <w:p w14:paraId="7F3E0C23">
                  <w:pPr>
                    <w:pStyle w:val="11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用抗溶性泡沫、干粉、二氧化碳、砂土灭火</w:t>
                  </w:r>
                </w:p>
              </w:tc>
            </w:tr>
            <w:tr w14:paraId="481326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tcBorders>
                    <w:tl2br w:val="nil"/>
                    <w:tr2bl w:val="nil"/>
                  </w:tcBorders>
                  <w:vAlign w:val="center"/>
                </w:tcPr>
                <w:p w14:paraId="0E1B5002">
                  <w:pPr>
                    <w:pStyle w:val="11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危险特性</w:t>
                  </w:r>
                </w:p>
              </w:tc>
              <w:tc>
                <w:tcPr>
                  <w:tcW w:w="6422" w:type="dxa"/>
                  <w:gridSpan w:val="2"/>
                  <w:tcBorders>
                    <w:tl2br w:val="nil"/>
                    <w:tr2bl w:val="nil"/>
                  </w:tcBorders>
                  <w:vAlign w:val="center"/>
                </w:tcPr>
                <w:p w14:paraId="04AA4877">
                  <w:pPr>
                    <w:pStyle w:val="11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高闪点液体，可燃，并有腐蚀性、属于危险废物</w:t>
                  </w:r>
                </w:p>
              </w:tc>
            </w:tr>
            <w:tr w14:paraId="3A4EB5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tcBorders>
                    <w:tl2br w:val="nil"/>
                    <w:tr2bl w:val="nil"/>
                  </w:tcBorders>
                  <w:vAlign w:val="center"/>
                </w:tcPr>
                <w:p w14:paraId="2AAA0291">
                  <w:pPr>
                    <w:pStyle w:val="11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健康危害</w:t>
                  </w:r>
                </w:p>
                <w:p w14:paraId="1C2BBD7C">
                  <w:pPr>
                    <w:pStyle w:val="11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eastAsia" w:ascii="Times New Roman" w:hAnsi="Times New Roman" w:cs="Times New Roman" w:eastAsiaTheme="minorEastAsia"/>
                      <w:color w:val="auto"/>
                      <w:sz w:val="21"/>
                      <w:szCs w:val="21"/>
                      <w:lang w:eastAsia="zh-CN"/>
                    </w:rPr>
                  </w:pPr>
                  <w:r>
                    <w:rPr>
                      <w:rFonts w:hint="eastAsia" w:cs="Times New Roman" w:eastAsiaTheme="minorEastAsia"/>
                      <w:color w:val="auto"/>
                      <w:sz w:val="21"/>
                      <w:szCs w:val="21"/>
                      <w:lang w:eastAsia="zh-CN"/>
                    </w:rPr>
                    <w:t>（</w:t>
                  </w:r>
                  <w:r>
                    <w:rPr>
                      <w:rFonts w:hint="default" w:ascii="Times New Roman" w:hAnsi="Times New Roman" w:cs="Times New Roman" w:eastAsiaTheme="minorEastAsia"/>
                      <w:color w:val="auto"/>
                      <w:sz w:val="21"/>
                      <w:szCs w:val="21"/>
                    </w:rPr>
                    <w:t>急性、慢性</w:t>
                  </w:r>
                  <w:r>
                    <w:rPr>
                      <w:rFonts w:hint="eastAsia" w:cs="Times New Roman" w:eastAsiaTheme="minorEastAsia"/>
                      <w:color w:val="auto"/>
                      <w:sz w:val="21"/>
                      <w:szCs w:val="21"/>
                      <w:lang w:eastAsia="zh-CN"/>
                    </w:rPr>
                    <w:t>）</w:t>
                  </w:r>
                </w:p>
              </w:tc>
              <w:tc>
                <w:tcPr>
                  <w:tcW w:w="6422" w:type="dxa"/>
                  <w:gridSpan w:val="2"/>
                  <w:tcBorders>
                    <w:tl2br w:val="nil"/>
                    <w:tr2bl w:val="nil"/>
                  </w:tcBorders>
                  <w:vAlign w:val="center"/>
                </w:tcPr>
                <w:p w14:paraId="3ED98508">
                  <w:pPr>
                    <w:pStyle w:val="11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本品有麻醉和刺激作用。长期接触可致周围神经炎急性中毒</w:t>
                  </w:r>
                  <w:r>
                    <w:rPr>
                      <w:rFonts w:hint="eastAsia" w:cs="Times New Roman" w:eastAsiaTheme="minorEastAsia"/>
                      <w:color w:val="auto"/>
                      <w:sz w:val="21"/>
                      <w:szCs w:val="21"/>
                      <w:lang w:eastAsia="zh-CN"/>
                    </w:rPr>
                    <w:t>：</w:t>
                  </w:r>
                  <w:r>
                    <w:rPr>
                      <w:rFonts w:hint="default" w:ascii="Times New Roman" w:hAnsi="Times New Roman" w:cs="Times New Roman" w:eastAsiaTheme="minorEastAsia"/>
                      <w:color w:val="auto"/>
                      <w:sz w:val="21"/>
                      <w:szCs w:val="21"/>
                    </w:rPr>
                    <w:t>吸入高浓度本品出现头痛、头晕、恶心、共济失调等，重者引起神志丧失甚至死亡。对眼和上呼吸道有刺激性慢性中毒</w:t>
                  </w:r>
                  <w:r>
                    <w:rPr>
                      <w:rFonts w:hint="eastAsia" w:cs="Times New Roman" w:eastAsiaTheme="minorEastAsia"/>
                      <w:color w:val="auto"/>
                      <w:sz w:val="21"/>
                      <w:szCs w:val="21"/>
                      <w:lang w:eastAsia="zh-CN"/>
                    </w:rPr>
                    <w:t>：</w:t>
                  </w:r>
                  <w:r>
                    <w:rPr>
                      <w:rFonts w:hint="default" w:ascii="Times New Roman" w:hAnsi="Times New Roman" w:cs="Times New Roman" w:eastAsiaTheme="minorEastAsia"/>
                      <w:color w:val="auto"/>
                      <w:sz w:val="21"/>
                      <w:szCs w:val="21"/>
                    </w:rPr>
                    <w:t>长期接触出现头痛、头晕、乏力、胃纳减退</w:t>
                  </w:r>
                  <w:r>
                    <w:rPr>
                      <w:rFonts w:hint="eastAsia" w:cs="Times New Roman" w:eastAsiaTheme="minorEastAsia"/>
                      <w:color w:val="auto"/>
                      <w:sz w:val="21"/>
                      <w:szCs w:val="21"/>
                      <w:lang w:eastAsia="zh-CN"/>
                    </w:rPr>
                    <w:t>：</w:t>
                  </w:r>
                  <w:r>
                    <w:rPr>
                      <w:rFonts w:hint="default" w:ascii="Times New Roman" w:hAnsi="Times New Roman" w:cs="Times New Roman" w:eastAsiaTheme="minorEastAsia"/>
                      <w:color w:val="auto"/>
                      <w:sz w:val="21"/>
                      <w:szCs w:val="21"/>
                    </w:rPr>
                    <w:t>其后四肢远端逐渐发展成感觉异常，麻木，触、痛、震动和位置等感觉减退，尤以下肢为甚，上肢较少受累。进一步发展为下肢无力，肌肉疼痛，肌肉萎缩及运动障碍。神经-肌电图检查示感觉神经及运动神经传导速度减慢。</w:t>
                  </w:r>
                </w:p>
              </w:tc>
            </w:tr>
            <w:tr w14:paraId="547DB1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tcBorders>
                    <w:tl2br w:val="nil"/>
                    <w:tr2bl w:val="nil"/>
                  </w:tcBorders>
                  <w:vAlign w:val="center"/>
                </w:tcPr>
                <w:p w14:paraId="7892B3FA">
                  <w:pPr>
                    <w:pStyle w:val="11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泄漏紧急处理</w:t>
                  </w:r>
                </w:p>
              </w:tc>
              <w:tc>
                <w:tcPr>
                  <w:tcW w:w="6422" w:type="dxa"/>
                  <w:gridSpan w:val="2"/>
                  <w:tcBorders>
                    <w:tl2br w:val="nil"/>
                    <w:tr2bl w:val="nil"/>
                  </w:tcBorders>
                  <w:vAlign w:val="center"/>
                </w:tcPr>
                <w:p w14:paraId="3ACF4DA9">
                  <w:pPr>
                    <w:pStyle w:val="11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少量溢出时先进行溢流的围堵，避免污染面积扩散，用沙或泥土吸收溢出的液体，然后移至安全地区，以待日后处理。较大面积泄漏时，需使用围油栏对油污进行控制，防止扩散，并使用收油机、油拖网、吸油毡、浮式储油罐进行吸附、收集。</w:t>
                  </w:r>
                </w:p>
              </w:tc>
            </w:tr>
            <w:tr w14:paraId="43674A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tcBorders>
                    <w:tl2br w:val="nil"/>
                    <w:tr2bl w:val="nil"/>
                  </w:tcBorders>
                  <w:vAlign w:val="center"/>
                </w:tcPr>
                <w:p w14:paraId="7BB7E0EC">
                  <w:pPr>
                    <w:pStyle w:val="11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火灾事故处理</w:t>
                  </w:r>
                </w:p>
              </w:tc>
              <w:tc>
                <w:tcPr>
                  <w:tcW w:w="6422" w:type="dxa"/>
                  <w:gridSpan w:val="2"/>
                  <w:tcBorders>
                    <w:tl2br w:val="nil"/>
                    <w:tr2bl w:val="nil"/>
                  </w:tcBorders>
                  <w:vAlign w:val="center"/>
                </w:tcPr>
                <w:p w14:paraId="424AC034">
                  <w:pPr>
                    <w:pStyle w:val="11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小型火灾时立刻用储区附近备用的灭火器灭火，如其有迅速扩大之势，应避免靠近，须立即打开消火栓降低着火点及附近油漆的温度，控制火势，避免发生爆炸，待火焰减低后再用灭火器灭之大型火灾时应立刻开启消火栓降温，控制火势，避免爆炸，等待救援。</w:t>
                  </w:r>
                </w:p>
              </w:tc>
            </w:tr>
          </w:tbl>
          <w:p w14:paraId="7C2BC647">
            <w:pPr>
              <w:pStyle w:val="118"/>
              <w:spacing w:line="240" w:lineRule="auto"/>
              <w:ind w:firstLine="422"/>
              <w:jc w:val="center"/>
              <w:rPr>
                <w:b/>
                <w:bCs/>
                <w:color w:val="auto"/>
                <w:sz w:val="21"/>
                <w:szCs w:val="16"/>
              </w:rPr>
            </w:pPr>
            <w:r>
              <w:rPr>
                <w:rFonts w:hint="eastAsia"/>
                <w:b/>
                <w:bCs/>
                <w:color w:val="auto"/>
                <w:sz w:val="21"/>
                <w:szCs w:val="16"/>
              </w:rPr>
              <w:t>表4-</w:t>
            </w:r>
            <w:r>
              <w:rPr>
                <w:rFonts w:hint="eastAsia"/>
                <w:b/>
                <w:bCs/>
                <w:color w:val="auto"/>
                <w:sz w:val="21"/>
                <w:szCs w:val="16"/>
                <w:lang w:val="en-US" w:eastAsia="zh-CN"/>
              </w:rPr>
              <w:t>22</w:t>
            </w:r>
            <w:r>
              <w:rPr>
                <w:rFonts w:hint="eastAsia"/>
                <w:b/>
                <w:bCs/>
                <w:color w:val="auto"/>
                <w:sz w:val="21"/>
                <w:szCs w:val="16"/>
              </w:rPr>
              <w:t xml:space="preserve">  </w:t>
            </w:r>
            <w:r>
              <w:rPr>
                <w:rFonts w:hint="eastAsia"/>
                <w:b/>
                <w:bCs/>
                <w:color w:val="auto"/>
                <w:sz w:val="21"/>
                <w:szCs w:val="16"/>
                <w:lang w:eastAsia="zh-CN"/>
              </w:rPr>
              <w:t>废铅蓄电池</w:t>
            </w:r>
            <w:r>
              <w:rPr>
                <w:rFonts w:hint="eastAsia"/>
                <w:b/>
                <w:bCs/>
                <w:color w:val="auto"/>
                <w:sz w:val="21"/>
                <w:szCs w:val="16"/>
              </w:rPr>
              <w:t>的理化性质及毒理特证表</w:t>
            </w:r>
          </w:p>
          <w:tbl>
            <w:tblPr>
              <w:tblStyle w:val="32"/>
              <w:tblW w:w="819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70"/>
              <w:gridCol w:w="3211"/>
              <w:gridCol w:w="3211"/>
            </w:tblGrid>
            <w:tr w14:paraId="36C2D7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70" w:type="dxa"/>
                  <w:tcBorders>
                    <w:tl2br w:val="nil"/>
                    <w:tr2bl w:val="nil"/>
                  </w:tcBorders>
                  <w:vAlign w:val="center"/>
                </w:tcPr>
                <w:p w14:paraId="7C0CF9B3">
                  <w:pPr>
                    <w:pStyle w:val="118"/>
                    <w:widowControl/>
                    <w:adjustRightInd w:val="0"/>
                    <w:snapToGrid w:val="0"/>
                    <w:spacing w:line="360" w:lineRule="auto"/>
                    <w:ind w:firstLine="0" w:firstLineChars="0"/>
                    <w:jc w:val="center"/>
                    <w:rPr>
                      <w:rFonts w:eastAsiaTheme="minorEastAsia"/>
                      <w:color w:val="auto"/>
                      <w:sz w:val="21"/>
                      <w:szCs w:val="21"/>
                    </w:rPr>
                  </w:pPr>
                  <w:r>
                    <w:rPr>
                      <w:rFonts w:eastAsiaTheme="minorEastAsia"/>
                      <w:color w:val="auto"/>
                      <w:sz w:val="21"/>
                      <w:szCs w:val="21"/>
                    </w:rPr>
                    <w:t>物质名称</w:t>
                  </w:r>
                </w:p>
              </w:tc>
              <w:tc>
                <w:tcPr>
                  <w:tcW w:w="3211" w:type="dxa"/>
                  <w:tcBorders>
                    <w:tl2br w:val="nil"/>
                    <w:tr2bl w:val="nil"/>
                  </w:tcBorders>
                  <w:vAlign w:val="center"/>
                </w:tcPr>
                <w:p w14:paraId="4E36667D">
                  <w:pPr>
                    <w:pStyle w:val="118"/>
                    <w:adjustRightInd w:val="0"/>
                    <w:snapToGrid w:val="0"/>
                    <w:spacing w:line="360" w:lineRule="auto"/>
                    <w:ind w:firstLine="0" w:firstLineChars="0"/>
                    <w:jc w:val="center"/>
                    <w:rPr>
                      <w:rFonts w:eastAsiaTheme="minorEastAsia"/>
                      <w:color w:val="auto"/>
                      <w:sz w:val="21"/>
                      <w:szCs w:val="21"/>
                    </w:rPr>
                  </w:pPr>
                  <w:r>
                    <w:rPr>
                      <w:rFonts w:eastAsiaTheme="minorEastAsia"/>
                      <w:color w:val="auto"/>
                      <w:sz w:val="21"/>
                      <w:szCs w:val="21"/>
                    </w:rPr>
                    <w:t>理化性质</w:t>
                  </w:r>
                </w:p>
              </w:tc>
              <w:tc>
                <w:tcPr>
                  <w:tcW w:w="3211" w:type="dxa"/>
                  <w:tcBorders>
                    <w:tl2br w:val="nil"/>
                    <w:tr2bl w:val="nil"/>
                  </w:tcBorders>
                  <w:vAlign w:val="center"/>
                </w:tcPr>
                <w:p w14:paraId="7656356A">
                  <w:pPr>
                    <w:pStyle w:val="118"/>
                    <w:adjustRightInd w:val="0"/>
                    <w:snapToGrid w:val="0"/>
                    <w:spacing w:line="360" w:lineRule="auto"/>
                    <w:ind w:firstLine="0" w:firstLineChars="0"/>
                    <w:jc w:val="center"/>
                    <w:rPr>
                      <w:rFonts w:eastAsiaTheme="minorEastAsia"/>
                      <w:color w:val="auto"/>
                      <w:sz w:val="21"/>
                      <w:szCs w:val="21"/>
                    </w:rPr>
                  </w:pPr>
                  <w:r>
                    <w:rPr>
                      <w:rFonts w:eastAsiaTheme="minorEastAsia"/>
                      <w:color w:val="auto"/>
                      <w:sz w:val="21"/>
                      <w:szCs w:val="21"/>
                    </w:rPr>
                    <w:t>毒理特征</w:t>
                  </w:r>
                </w:p>
              </w:tc>
            </w:tr>
            <w:tr w14:paraId="6E22C4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70" w:type="dxa"/>
                  <w:tcBorders>
                    <w:tl2br w:val="nil"/>
                    <w:tr2bl w:val="nil"/>
                  </w:tcBorders>
                  <w:vAlign w:val="center"/>
                </w:tcPr>
                <w:p w14:paraId="2289FB03">
                  <w:pPr>
                    <w:pStyle w:val="118"/>
                    <w:widowControl/>
                    <w:adjustRightInd w:val="0"/>
                    <w:snapToGrid w:val="0"/>
                    <w:spacing w:line="360" w:lineRule="auto"/>
                    <w:ind w:firstLine="0" w:firstLineChars="0"/>
                    <w:jc w:val="center"/>
                    <w:rPr>
                      <w:rFonts w:eastAsiaTheme="minorEastAsia"/>
                      <w:color w:val="auto"/>
                      <w:sz w:val="21"/>
                      <w:szCs w:val="21"/>
                    </w:rPr>
                  </w:pPr>
                  <w:r>
                    <w:rPr>
                      <w:rFonts w:eastAsiaTheme="minorEastAsia"/>
                      <w:color w:val="auto"/>
                      <w:sz w:val="21"/>
                      <w:szCs w:val="21"/>
                    </w:rPr>
                    <w:t>硫酸铅</w:t>
                  </w:r>
                </w:p>
              </w:tc>
              <w:tc>
                <w:tcPr>
                  <w:tcW w:w="3211" w:type="dxa"/>
                  <w:tcBorders>
                    <w:tl2br w:val="nil"/>
                    <w:tr2bl w:val="nil"/>
                  </w:tcBorders>
                  <w:vAlign w:val="center"/>
                </w:tcPr>
                <w:p w14:paraId="4A9B87C1">
                  <w:pPr>
                    <w:widowControl/>
                    <w:jc w:val="center"/>
                    <w:rPr>
                      <w:rFonts w:eastAsiaTheme="minorEastAsia"/>
                      <w:color w:val="auto"/>
                      <w:kern w:val="0"/>
                      <w:szCs w:val="21"/>
                    </w:rPr>
                  </w:pPr>
                  <w:r>
                    <w:rPr>
                      <w:rFonts w:eastAsiaTheme="minorEastAsia"/>
                      <w:color w:val="auto"/>
                      <w:kern w:val="0"/>
                      <w:szCs w:val="21"/>
                    </w:rPr>
                    <w:t>白色单斜或正交晶体，熔点1170℃，微溶于水，几乎不溶于稀的强酸溶液，能溶于较浓的硫酸溶液、乙酸铵溶液和强碱溶液</w:t>
                  </w:r>
                </w:p>
              </w:tc>
              <w:tc>
                <w:tcPr>
                  <w:tcW w:w="3211" w:type="dxa"/>
                  <w:tcBorders>
                    <w:tl2br w:val="nil"/>
                    <w:tr2bl w:val="nil"/>
                  </w:tcBorders>
                  <w:vAlign w:val="center"/>
                </w:tcPr>
                <w:p w14:paraId="7E80E014">
                  <w:pPr>
                    <w:widowControl/>
                    <w:jc w:val="center"/>
                    <w:rPr>
                      <w:rFonts w:eastAsiaTheme="minorEastAsia"/>
                      <w:color w:val="auto"/>
                      <w:kern w:val="0"/>
                      <w:szCs w:val="21"/>
                    </w:rPr>
                  </w:pPr>
                  <w:r>
                    <w:rPr>
                      <w:rFonts w:eastAsiaTheme="minorEastAsia"/>
                      <w:color w:val="auto"/>
                      <w:kern w:val="0"/>
                      <w:szCs w:val="21"/>
                    </w:rPr>
                    <w:t>损害造血、神经、消化系统及肾脏。职业中毒主要为慢性。短时接触大剂量可发生急性或亚急性铅中毒，表现类似重症慢性铅中毒</w:t>
                  </w:r>
                </w:p>
              </w:tc>
            </w:tr>
            <w:tr w14:paraId="649B84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70" w:type="dxa"/>
                  <w:tcBorders>
                    <w:tl2br w:val="nil"/>
                    <w:tr2bl w:val="nil"/>
                  </w:tcBorders>
                  <w:vAlign w:val="center"/>
                </w:tcPr>
                <w:p w14:paraId="5C755BFC">
                  <w:pPr>
                    <w:pStyle w:val="118"/>
                    <w:widowControl/>
                    <w:adjustRightInd w:val="0"/>
                    <w:snapToGrid w:val="0"/>
                    <w:spacing w:line="360" w:lineRule="auto"/>
                    <w:ind w:firstLine="0" w:firstLineChars="0"/>
                    <w:jc w:val="center"/>
                    <w:rPr>
                      <w:rFonts w:eastAsiaTheme="minorEastAsia"/>
                      <w:color w:val="auto"/>
                      <w:sz w:val="21"/>
                      <w:szCs w:val="21"/>
                    </w:rPr>
                  </w:pPr>
                  <w:r>
                    <w:rPr>
                      <w:rFonts w:eastAsiaTheme="minorEastAsia"/>
                      <w:color w:val="auto"/>
                      <w:sz w:val="21"/>
                      <w:szCs w:val="21"/>
                    </w:rPr>
                    <w:t>硫酸</w:t>
                  </w:r>
                </w:p>
              </w:tc>
              <w:tc>
                <w:tcPr>
                  <w:tcW w:w="3211" w:type="dxa"/>
                  <w:tcBorders>
                    <w:tl2br w:val="nil"/>
                    <w:tr2bl w:val="nil"/>
                  </w:tcBorders>
                  <w:vAlign w:val="center"/>
                </w:tcPr>
                <w:p w14:paraId="630C411A">
                  <w:pPr>
                    <w:widowControl/>
                    <w:jc w:val="center"/>
                    <w:rPr>
                      <w:rFonts w:eastAsiaTheme="minorEastAsia"/>
                      <w:color w:val="auto"/>
                      <w:kern w:val="0"/>
                      <w:szCs w:val="21"/>
                    </w:rPr>
                  </w:pPr>
                  <w:r>
                    <w:rPr>
                      <w:rFonts w:eastAsiaTheme="minorEastAsia"/>
                      <w:color w:val="auto"/>
                      <w:kern w:val="0"/>
                      <w:szCs w:val="21"/>
                    </w:rPr>
                    <w:t>分子式：H</w:t>
                  </w:r>
                  <w:r>
                    <w:rPr>
                      <w:rFonts w:eastAsiaTheme="minorEastAsia"/>
                      <w:color w:val="auto"/>
                      <w:kern w:val="0"/>
                      <w:szCs w:val="21"/>
                      <w:vertAlign w:val="subscript"/>
                    </w:rPr>
                    <w:t>2</w:t>
                  </w:r>
                  <w:r>
                    <w:rPr>
                      <w:rFonts w:eastAsiaTheme="minorEastAsia"/>
                      <w:color w:val="auto"/>
                      <w:kern w:val="0"/>
                      <w:szCs w:val="21"/>
                    </w:rPr>
                    <w:t>SO</w:t>
                  </w:r>
                  <w:r>
                    <w:rPr>
                      <w:rFonts w:eastAsiaTheme="minorEastAsia"/>
                      <w:color w:val="auto"/>
                      <w:kern w:val="0"/>
                      <w:szCs w:val="21"/>
                      <w:vertAlign w:val="subscript"/>
                    </w:rPr>
                    <w:t>4</w:t>
                  </w:r>
                  <w:r>
                    <w:rPr>
                      <w:rFonts w:eastAsiaTheme="minorEastAsia"/>
                      <w:color w:val="auto"/>
                      <w:kern w:val="0"/>
                      <w:szCs w:val="21"/>
                    </w:rPr>
                    <w:t>，分子量为98，熔点为10.49℃，沸点为338℃，无色透明油状液体，具有氧化性和腐蚀性</w:t>
                  </w:r>
                </w:p>
              </w:tc>
              <w:tc>
                <w:tcPr>
                  <w:tcW w:w="3211" w:type="dxa"/>
                  <w:tcBorders>
                    <w:tl2br w:val="nil"/>
                    <w:tr2bl w:val="nil"/>
                  </w:tcBorders>
                  <w:vAlign w:val="center"/>
                </w:tcPr>
                <w:p w14:paraId="11EADD6E">
                  <w:pPr>
                    <w:widowControl/>
                    <w:jc w:val="center"/>
                    <w:rPr>
                      <w:rFonts w:eastAsiaTheme="minorEastAsia"/>
                      <w:color w:val="auto"/>
                      <w:kern w:val="0"/>
                      <w:szCs w:val="21"/>
                    </w:rPr>
                  </w:pPr>
                  <w:r>
                    <w:rPr>
                      <w:rFonts w:eastAsiaTheme="minorEastAsia"/>
                      <w:color w:val="auto"/>
                      <w:kern w:val="0"/>
                      <w:szCs w:val="21"/>
                    </w:rPr>
                    <w:t>属微毒类，急性毒性：LD50：2140mg/kg（大鼠经口）；LC50：510mg/m</w:t>
                  </w:r>
                  <w:r>
                    <w:rPr>
                      <w:rFonts w:eastAsiaTheme="minorEastAsia"/>
                      <w:color w:val="auto"/>
                      <w:kern w:val="0"/>
                      <w:szCs w:val="21"/>
                      <w:vertAlign w:val="superscript"/>
                    </w:rPr>
                    <w:t>3</w:t>
                  </w:r>
                </w:p>
              </w:tc>
            </w:tr>
          </w:tbl>
          <w:p w14:paraId="05FCBD30">
            <w:pPr>
              <w:pStyle w:val="118"/>
              <w:spacing w:line="240" w:lineRule="auto"/>
              <w:ind w:firstLine="422"/>
              <w:jc w:val="center"/>
              <w:rPr>
                <w:rFonts w:hint="eastAsia" w:ascii="Times New Roman" w:hAnsi="Times New Roman" w:eastAsia="宋体" w:cs="Times New Roman"/>
                <w:b/>
                <w:bCs/>
                <w:color w:val="auto"/>
                <w:sz w:val="21"/>
                <w:szCs w:val="16"/>
              </w:rPr>
            </w:pPr>
            <w:r>
              <w:rPr>
                <w:rFonts w:hint="eastAsia" w:ascii="Times New Roman" w:hAnsi="Times New Roman" w:eastAsia="宋体" w:cs="Times New Roman"/>
                <w:b/>
                <w:bCs/>
                <w:color w:val="auto"/>
                <w:sz w:val="21"/>
                <w:szCs w:val="16"/>
              </w:rPr>
              <w:t>表4-</w:t>
            </w:r>
            <w:r>
              <w:rPr>
                <w:rFonts w:hint="eastAsia" w:ascii="Times New Roman" w:hAnsi="Times New Roman" w:eastAsia="宋体" w:cs="Times New Roman"/>
                <w:b/>
                <w:bCs/>
                <w:color w:val="auto"/>
                <w:sz w:val="21"/>
                <w:szCs w:val="16"/>
                <w:lang w:val="en-US" w:eastAsia="zh-CN"/>
              </w:rPr>
              <w:t>2</w:t>
            </w:r>
            <w:r>
              <w:rPr>
                <w:rFonts w:hint="eastAsia" w:cs="Times New Roman"/>
                <w:b/>
                <w:bCs/>
                <w:color w:val="auto"/>
                <w:sz w:val="21"/>
                <w:szCs w:val="16"/>
                <w:lang w:val="en-US" w:eastAsia="zh-CN"/>
              </w:rPr>
              <w:t>3</w:t>
            </w:r>
            <w:r>
              <w:rPr>
                <w:rFonts w:hint="eastAsia" w:ascii="Times New Roman" w:hAnsi="Times New Roman" w:eastAsia="宋体" w:cs="Times New Roman"/>
                <w:b/>
                <w:bCs/>
                <w:color w:val="auto"/>
                <w:sz w:val="21"/>
                <w:szCs w:val="16"/>
              </w:rPr>
              <w:t xml:space="preserve">  危险物质数量与临界量比值</w:t>
            </w:r>
          </w:p>
          <w:tbl>
            <w:tblPr>
              <w:tblStyle w:val="3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38"/>
              <w:gridCol w:w="2562"/>
              <w:gridCol w:w="1305"/>
              <w:gridCol w:w="857"/>
              <w:gridCol w:w="1623"/>
            </w:tblGrid>
            <w:tr w14:paraId="3C6231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1738" w:type="dxa"/>
                  <w:tcBorders>
                    <w:tl2br w:val="nil"/>
                    <w:tr2bl w:val="nil"/>
                  </w:tcBorders>
                  <w:vAlign w:val="center"/>
                </w:tcPr>
                <w:p w14:paraId="02CCD0B2">
                  <w:pPr>
                    <w:pStyle w:val="118"/>
                    <w:adjustRightInd w:val="0"/>
                    <w:snapToGrid w:val="0"/>
                    <w:spacing w:line="360" w:lineRule="auto"/>
                    <w:ind w:firstLine="0" w:firstLineChars="0"/>
                    <w:jc w:val="center"/>
                    <w:rPr>
                      <w:rFonts w:hint="eastAsia" w:ascii="Times New Roman" w:hAnsi="Times New Roman" w:cs="Times New Roman" w:eastAsiaTheme="minorEastAsia"/>
                      <w:color w:val="auto"/>
                      <w:sz w:val="21"/>
                      <w:szCs w:val="21"/>
                      <w:lang w:eastAsia="zh-CN"/>
                    </w:rPr>
                  </w:pPr>
                  <w:r>
                    <w:rPr>
                      <w:rFonts w:hint="eastAsia" w:cs="Times New Roman" w:eastAsiaTheme="minorEastAsia"/>
                      <w:color w:val="auto"/>
                      <w:sz w:val="21"/>
                      <w:szCs w:val="21"/>
                      <w:lang w:val="en-US" w:eastAsia="zh-CN"/>
                    </w:rPr>
                    <w:t>序号</w:t>
                  </w:r>
                </w:p>
              </w:tc>
              <w:tc>
                <w:tcPr>
                  <w:tcW w:w="2562" w:type="dxa"/>
                  <w:tcBorders>
                    <w:tl2br w:val="nil"/>
                    <w:tr2bl w:val="nil"/>
                  </w:tcBorders>
                  <w:vAlign w:val="center"/>
                </w:tcPr>
                <w:p w14:paraId="0698C9F2">
                  <w:pPr>
                    <w:pStyle w:val="11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危险物质</w:t>
                  </w:r>
                </w:p>
              </w:tc>
              <w:tc>
                <w:tcPr>
                  <w:tcW w:w="1305" w:type="dxa"/>
                  <w:tcBorders>
                    <w:tl2br w:val="nil"/>
                    <w:tr2bl w:val="nil"/>
                  </w:tcBorders>
                  <w:vAlign w:val="center"/>
                </w:tcPr>
                <w:p w14:paraId="78F14BBB">
                  <w:pPr>
                    <w:pStyle w:val="11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最大存储量</w:t>
                  </w:r>
                </w:p>
              </w:tc>
              <w:tc>
                <w:tcPr>
                  <w:tcW w:w="857" w:type="dxa"/>
                  <w:tcBorders>
                    <w:tl2br w:val="nil"/>
                    <w:tr2bl w:val="nil"/>
                  </w:tcBorders>
                  <w:vAlign w:val="center"/>
                </w:tcPr>
                <w:p w14:paraId="2E77BE65">
                  <w:pPr>
                    <w:pStyle w:val="11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临界量</w:t>
                  </w:r>
                </w:p>
              </w:tc>
              <w:tc>
                <w:tcPr>
                  <w:tcW w:w="1623" w:type="dxa"/>
                  <w:tcBorders>
                    <w:tl2br w:val="nil"/>
                    <w:tr2bl w:val="nil"/>
                  </w:tcBorders>
                  <w:vAlign w:val="center"/>
                </w:tcPr>
                <w:p w14:paraId="778DEADE">
                  <w:pPr>
                    <w:pStyle w:val="11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drawing>
                      <wp:inline distT="0" distB="0" distL="114300" distR="114300">
                        <wp:extent cx="614680" cy="424815"/>
                        <wp:effectExtent l="0" t="0" r="0" b="13970"/>
                        <wp:docPr id="19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3"/>
                                <pic:cNvPicPr>
                                  <a:picLocks noChangeAspect="1"/>
                                </pic:cNvPicPr>
                              </pic:nvPicPr>
                              <pic:blipFill>
                                <a:blip r:embed="rId20"/>
                                <a:stretch>
                                  <a:fillRect/>
                                </a:stretch>
                              </pic:blipFill>
                              <pic:spPr>
                                <a:xfrm>
                                  <a:off x="0" y="0"/>
                                  <a:ext cx="614680" cy="424815"/>
                                </a:xfrm>
                                <a:prstGeom prst="rect">
                                  <a:avLst/>
                                </a:prstGeom>
                                <a:noFill/>
                                <a:ln>
                                  <a:noFill/>
                                </a:ln>
                              </pic:spPr>
                            </pic:pic>
                          </a:graphicData>
                        </a:graphic>
                      </wp:inline>
                    </w:drawing>
                  </w:r>
                </w:p>
              </w:tc>
            </w:tr>
            <w:tr w14:paraId="30E6E8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38" w:type="dxa"/>
                  <w:tcBorders>
                    <w:tl2br w:val="nil"/>
                    <w:tr2bl w:val="nil"/>
                  </w:tcBorders>
                  <w:vAlign w:val="center"/>
                </w:tcPr>
                <w:p w14:paraId="75906109">
                  <w:pPr>
                    <w:pStyle w:val="11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1</w:t>
                  </w:r>
                </w:p>
              </w:tc>
              <w:tc>
                <w:tcPr>
                  <w:tcW w:w="2562" w:type="dxa"/>
                  <w:tcBorders>
                    <w:tl2br w:val="nil"/>
                    <w:tr2bl w:val="nil"/>
                  </w:tcBorders>
                  <w:vAlign w:val="center"/>
                </w:tcPr>
                <w:p w14:paraId="2624308E">
                  <w:pPr>
                    <w:pStyle w:val="11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eastAsia" w:cs="Times New Roman" w:eastAsiaTheme="minorEastAsia"/>
                      <w:color w:val="auto"/>
                      <w:sz w:val="21"/>
                      <w:szCs w:val="21"/>
                      <w:lang w:val="en-US" w:eastAsia="zh-CN"/>
                    </w:rPr>
                    <w:t>废油液</w:t>
                  </w:r>
                </w:p>
              </w:tc>
              <w:tc>
                <w:tcPr>
                  <w:tcW w:w="1305" w:type="dxa"/>
                  <w:tcBorders>
                    <w:tl2br w:val="nil"/>
                    <w:tr2bl w:val="nil"/>
                  </w:tcBorders>
                  <w:vAlign w:val="center"/>
                </w:tcPr>
                <w:p w14:paraId="4C05D436">
                  <w:pPr>
                    <w:pStyle w:val="11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0.5t</w:t>
                  </w:r>
                </w:p>
              </w:tc>
              <w:tc>
                <w:tcPr>
                  <w:tcW w:w="857" w:type="dxa"/>
                  <w:tcBorders>
                    <w:tl2br w:val="nil"/>
                    <w:tr2bl w:val="nil"/>
                  </w:tcBorders>
                  <w:vAlign w:val="center"/>
                </w:tcPr>
                <w:p w14:paraId="58C50A41">
                  <w:pPr>
                    <w:pStyle w:val="11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2500t</w:t>
                  </w:r>
                </w:p>
              </w:tc>
              <w:tc>
                <w:tcPr>
                  <w:tcW w:w="1623" w:type="dxa"/>
                  <w:tcBorders>
                    <w:tl2br w:val="nil"/>
                    <w:tr2bl w:val="nil"/>
                  </w:tcBorders>
                  <w:vAlign w:val="center"/>
                </w:tcPr>
                <w:p w14:paraId="6B0C39B9">
                  <w:pPr>
                    <w:pStyle w:val="11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0.0002</w:t>
                  </w:r>
                </w:p>
              </w:tc>
            </w:tr>
            <w:tr w14:paraId="70D054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38" w:type="dxa"/>
                  <w:tcBorders>
                    <w:tl2br w:val="nil"/>
                    <w:tr2bl w:val="nil"/>
                  </w:tcBorders>
                  <w:vAlign w:val="center"/>
                </w:tcPr>
                <w:p w14:paraId="051CACAA">
                  <w:pPr>
                    <w:pStyle w:val="118"/>
                    <w:adjustRightInd w:val="0"/>
                    <w:snapToGrid w:val="0"/>
                    <w:spacing w:line="360" w:lineRule="auto"/>
                    <w:ind w:firstLine="0" w:firstLineChars="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2</w:t>
                  </w:r>
                </w:p>
              </w:tc>
              <w:tc>
                <w:tcPr>
                  <w:tcW w:w="2562" w:type="dxa"/>
                  <w:tcBorders>
                    <w:tl2br w:val="nil"/>
                    <w:tr2bl w:val="nil"/>
                  </w:tcBorders>
                  <w:vAlign w:val="center"/>
                </w:tcPr>
                <w:p w14:paraId="37ABED99">
                  <w:pPr>
                    <w:pStyle w:val="118"/>
                    <w:adjustRightInd w:val="0"/>
                    <w:snapToGrid w:val="0"/>
                    <w:spacing w:line="360" w:lineRule="auto"/>
                    <w:ind w:firstLine="0" w:firstLineChars="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硫酸</w:t>
                  </w:r>
                </w:p>
              </w:tc>
              <w:tc>
                <w:tcPr>
                  <w:tcW w:w="1305" w:type="dxa"/>
                  <w:tcBorders>
                    <w:tl2br w:val="nil"/>
                    <w:tr2bl w:val="nil"/>
                  </w:tcBorders>
                  <w:vAlign w:val="center"/>
                </w:tcPr>
                <w:p w14:paraId="549D99D8">
                  <w:pPr>
                    <w:pStyle w:val="11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0.035t</w:t>
                  </w:r>
                </w:p>
              </w:tc>
              <w:tc>
                <w:tcPr>
                  <w:tcW w:w="857" w:type="dxa"/>
                  <w:tcBorders>
                    <w:tl2br w:val="nil"/>
                    <w:tr2bl w:val="nil"/>
                  </w:tcBorders>
                  <w:vAlign w:val="center"/>
                </w:tcPr>
                <w:p w14:paraId="2B534DF0">
                  <w:pPr>
                    <w:pStyle w:val="11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10t</w:t>
                  </w:r>
                </w:p>
              </w:tc>
              <w:tc>
                <w:tcPr>
                  <w:tcW w:w="1623" w:type="dxa"/>
                  <w:tcBorders>
                    <w:tl2br w:val="nil"/>
                    <w:tr2bl w:val="nil"/>
                  </w:tcBorders>
                  <w:vAlign w:val="center"/>
                </w:tcPr>
                <w:p w14:paraId="2FDFBE47">
                  <w:pPr>
                    <w:pStyle w:val="11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0.0035</w:t>
                  </w:r>
                </w:p>
              </w:tc>
            </w:tr>
            <w:tr w14:paraId="2081C3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62" w:type="dxa"/>
                  <w:gridSpan w:val="4"/>
                  <w:tcBorders>
                    <w:tl2br w:val="nil"/>
                    <w:tr2bl w:val="nil"/>
                  </w:tcBorders>
                  <w:vAlign w:val="center"/>
                </w:tcPr>
                <w:p w14:paraId="234EAC0F">
                  <w:pPr>
                    <w:pStyle w:val="11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Q</w:t>
                  </w:r>
                </w:p>
              </w:tc>
              <w:tc>
                <w:tcPr>
                  <w:tcW w:w="1623" w:type="dxa"/>
                  <w:tcBorders>
                    <w:tl2br w:val="nil"/>
                    <w:tr2bl w:val="nil"/>
                  </w:tcBorders>
                  <w:vAlign w:val="center"/>
                </w:tcPr>
                <w:p w14:paraId="690AEEF3">
                  <w:pPr>
                    <w:pStyle w:val="11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rPr>
                    <w:t>0.00</w:t>
                  </w:r>
                  <w:r>
                    <w:rPr>
                      <w:rFonts w:hint="eastAsia" w:cs="Times New Roman" w:eastAsiaTheme="minorEastAsia"/>
                      <w:color w:val="auto"/>
                      <w:sz w:val="21"/>
                      <w:szCs w:val="21"/>
                      <w:lang w:val="en-US" w:eastAsia="zh-CN"/>
                    </w:rPr>
                    <w:t>37</w:t>
                  </w:r>
                </w:p>
              </w:tc>
            </w:tr>
          </w:tbl>
          <w:p w14:paraId="3725B3E3">
            <w:pPr>
              <w:pStyle w:val="11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计算所涉及的每种危险物质在厂界内的最大存在总量与其附录B中对应临界量的比</w:t>
            </w:r>
            <w:r>
              <w:rPr>
                <w:rFonts w:hint="default" w:ascii="Times New Roman" w:hAnsi="Times New Roman" w:cs="Times New Roman" w:eastAsiaTheme="minorEastAsia"/>
                <w:color w:val="auto"/>
                <w:sz w:val="21"/>
                <w:szCs w:val="21"/>
              </w:rPr>
              <w:t>值Q。当只涉及</w:t>
            </w:r>
            <w:r>
              <w:rPr>
                <w:rFonts w:hint="default" w:ascii="Times New Roman" w:hAnsi="Times New Roman" w:cs="Times New Roman" w:eastAsiaTheme="minorEastAsia"/>
                <w:color w:val="auto"/>
              </w:rPr>
              <w:t>一种危险物质时，计算该物质的总量与其临界量比值。</w:t>
            </w:r>
          </w:p>
          <w:p w14:paraId="61329044">
            <w:pPr>
              <w:pStyle w:val="118"/>
              <w:adjustRightInd w:val="0"/>
              <w:snapToGrid w:val="0"/>
              <w:spacing w:line="360" w:lineRule="auto"/>
              <w:ind w:firstLine="480"/>
              <w:rPr>
                <w:rFonts w:hint="default" w:ascii="Times New Roman" w:hAnsi="Times New Roman" w:cs="Times New Roman"/>
                <w:color w:val="auto"/>
              </w:rPr>
            </w:pPr>
            <w:r>
              <w:rPr>
                <w:rFonts w:hint="default" w:ascii="Times New Roman" w:hAnsi="Times New Roman" w:cs="Times New Roman" w:eastAsiaTheme="minorEastAsia"/>
                <w:color w:val="auto"/>
              </w:rPr>
              <w:t>根据《建设项目环境风险评价技术导则》（HJ169-2018）中附录B中表B.2其他危险物质临界量推荐值。</w:t>
            </w:r>
          </w:p>
          <w:p w14:paraId="1551EBAD">
            <w:pPr>
              <w:pStyle w:val="118"/>
              <w:adjustRightInd w:val="0"/>
              <w:snapToGrid w:val="0"/>
              <w:spacing w:line="360" w:lineRule="auto"/>
              <w:ind w:firstLine="482"/>
              <w:jc w:val="center"/>
              <w:rPr>
                <w:rFonts w:hint="default" w:ascii="Times New Roman" w:hAnsi="Times New Roman" w:cs="Times New Roman" w:eastAsiaTheme="minorEastAsia"/>
                <w:color w:val="auto"/>
              </w:rPr>
            </w:pPr>
            <w:r>
              <w:rPr>
                <w:rFonts w:hint="default" w:ascii="Times New Roman" w:hAnsi="Times New Roman" w:cs="Times New Roman"/>
                <w:b/>
                <w:color w:val="auto"/>
                <w:position w:val="-30"/>
              </w:rPr>
              <w:object>
                <v:shape id="_x0000_i1026" o:spt="75" type="#_x0000_t75" style="height:34pt;width:110pt;" o:ole="t" filled="f" o:preferrelative="t" stroked="f" coordsize="21600,21600">
                  <v:path/>
                  <v:fill on="f" focussize="0,0"/>
                  <v:stroke on="f" joinstyle="miter"/>
                  <v:imagedata r:id="rId22" o:title=""/>
                  <o:lock v:ext="edit" aspectratio="t"/>
                  <w10:wrap type="none"/>
                  <w10:anchorlock/>
                </v:shape>
                <o:OLEObject Type="Embed" ProgID="Equation.3" ShapeID="_x0000_i1026" DrawAspect="Content" ObjectID="_1468075726" r:id="rId21">
                  <o:LockedField>false</o:LockedField>
                </o:OLEObject>
              </w:object>
            </w:r>
          </w:p>
          <w:p w14:paraId="73D47B22">
            <w:pPr>
              <w:pStyle w:val="11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式中：</w:t>
            </w:r>
            <w:r>
              <w:rPr>
                <w:rFonts w:hint="default" w:ascii="Times New Roman" w:hAnsi="Times New Roman" w:cs="Times New Roman" w:eastAsiaTheme="minorEastAsia"/>
                <w:color w:val="auto"/>
              </w:rPr>
              <w:drawing>
                <wp:inline distT="0" distB="0" distL="114300" distR="114300">
                  <wp:extent cx="857885" cy="230505"/>
                  <wp:effectExtent l="0" t="0" r="18415" b="17780"/>
                  <wp:docPr id="1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5"/>
                          <pic:cNvPicPr>
                            <a:picLocks noChangeAspect="1"/>
                          </pic:cNvPicPr>
                        </pic:nvPicPr>
                        <pic:blipFill>
                          <a:blip r:embed="rId23"/>
                          <a:stretch>
                            <a:fillRect/>
                          </a:stretch>
                        </pic:blipFill>
                        <pic:spPr>
                          <a:xfrm>
                            <a:off x="0" y="0"/>
                            <a:ext cx="857885" cy="230505"/>
                          </a:xfrm>
                          <a:prstGeom prst="rect">
                            <a:avLst/>
                          </a:prstGeom>
                          <a:noFill/>
                          <a:ln>
                            <a:noFill/>
                          </a:ln>
                        </pic:spPr>
                      </pic:pic>
                    </a:graphicData>
                  </a:graphic>
                </wp:inline>
              </w:drawing>
            </w:r>
            <w:r>
              <w:rPr>
                <w:rFonts w:hint="default" w:ascii="Times New Roman" w:hAnsi="Times New Roman" w:cs="Times New Roman" w:eastAsiaTheme="minorEastAsia"/>
                <w:color w:val="auto"/>
              </w:rPr>
              <w:t>——每种危险物质的最大存在总量，t。</w:t>
            </w:r>
          </w:p>
          <w:p w14:paraId="70760FB2">
            <w:pPr>
              <w:pStyle w:val="11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drawing>
                <wp:inline distT="0" distB="0" distL="114300" distR="114300">
                  <wp:extent cx="1023620" cy="247015"/>
                  <wp:effectExtent l="0" t="0" r="5080" b="635"/>
                  <wp:docPr id="19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6"/>
                          <pic:cNvPicPr>
                            <a:picLocks noChangeAspect="1"/>
                          </pic:cNvPicPr>
                        </pic:nvPicPr>
                        <pic:blipFill>
                          <a:blip r:embed="rId24"/>
                          <a:stretch>
                            <a:fillRect/>
                          </a:stretch>
                        </pic:blipFill>
                        <pic:spPr>
                          <a:xfrm>
                            <a:off x="0" y="0"/>
                            <a:ext cx="1023620" cy="247015"/>
                          </a:xfrm>
                          <a:prstGeom prst="rect">
                            <a:avLst/>
                          </a:prstGeom>
                          <a:noFill/>
                          <a:ln>
                            <a:noFill/>
                          </a:ln>
                        </pic:spPr>
                      </pic:pic>
                    </a:graphicData>
                  </a:graphic>
                </wp:inline>
              </w:drawing>
            </w:r>
            <w:r>
              <w:rPr>
                <w:rFonts w:hint="default" w:ascii="Times New Roman" w:hAnsi="Times New Roman" w:cs="Times New Roman" w:eastAsiaTheme="minorEastAsia"/>
                <w:color w:val="auto"/>
              </w:rPr>
              <w:t>——每种危险物质的临界量，t。</w:t>
            </w:r>
          </w:p>
          <w:p w14:paraId="4D045B51">
            <w:pPr>
              <w:pStyle w:val="11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当Q＜1时，该项目环境风险潜势为Ⅰ。</w:t>
            </w:r>
          </w:p>
          <w:p w14:paraId="6A9040C9">
            <w:pPr>
              <w:pStyle w:val="11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当Q≥1时，将Q值划分为（1）1≤Q＜10（2）10≤Q＜100（3）Q≥100</w:t>
            </w:r>
          </w:p>
          <w:p w14:paraId="3BE22284">
            <w:pPr>
              <w:pStyle w:val="11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本项目Q=0.</w:t>
            </w:r>
            <w:r>
              <w:rPr>
                <w:rFonts w:hint="eastAsia" w:cs="Times New Roman" w:eastAsiaTheme="minorEastAsia"/>
                <w:color w:val="auto"/>
                <w:lang w:val="en-US" w:eastAsia="zh-CN"/>
              </w:rPr>
              <w:t>0</w:t>
            </w:r>
            <w:r>
              <w:rPr>
                <w:rFonts w:hint="eastAsia" w:ascii="Times New Roman" w:hAnsi="Times New Roman" w:cs="Times New Roman"/>
                <w:color w:val="auto"/>
                <w:lang w:val="en-US" w:eastAsia="zh-CN"/>
              </w:rPr>
              <w:t>0</w:t>
            </w:r>
            <w:r>
              <w:rPr>
                <w:rFonts w:hint="eastAsia" w:cs="Times New Roman"/>
                <w:color w:val="auto"/>
                <w:lang w:val="en-US" w:eastAsia="zh-CN"/>
              </w:rPr>
              <w:t>37</w:t>
            </w:r>
            <w:r>
              <w:rPr>
                <w:rFonts w:hint="default" w:ascii="Times New Roman" w:hAnsi="Times New Roman" w:cs="Times New Roman" w:eastAsiaTheme="minorEastAsia"/>
                <w:color w:val="auto"/>
              </w:rPr>
              <w:t>＜1，本项目环境风险潜势为Ⅰ。</w:t>
            </w:r>
          </w:p>
          <w:p w14:paraId="1AA73977">
            <w:pPr>
              <w:pStyle w:val="118"/>
              <w:adjustRightInd w:val="0"/>
              <w:snapToGrid w:val="0"/>
              <w:spacing w:line="360" w:lineRule="auto"/>
              <w:ind w:firstLine="480" w:firstLineChars="200"/>
              <w:rPr>
                <w:rFonts w:hint="eastAsia" w:ascii="Times New Roman" w:hAnsi="Times New Roman" w:cs="Times New Roman"/>
                <w:color w:val="auto"/>
                <w:lang w:eastAsia="zh-CN"/>
              </w:rPr>
            </w:pPr>
            <w:r>
              <w:rPr>
                <w:rFonts w:hint="eastAsia" w:ascii="Times New Roman" w:hAnsi="Times New Roman" w:cs="Times New Roman"/>
                <w:color w:val="auto"/>
                <w:lang w:eastAsia="zh-CN"/>
              </w:rPr>
              <w:t>2、风险分析</w:t>
            </w:r>
          </w:p>
          <w:p w14:paraId="3F590E92">
            <w:pPr>
              <w:pStyle w:val="118"/>
              <w:adjustRightInd w:val="0"/>
              <w:snapToGrid w:val="0"/>
              <w:spacing w:line="360" w:lineRule="auto"/>
              <w:ind w:firstLine="480" w:firstLineChars="200"/>
              <w:rPr>
                <w:rFonts w:hint="eastAsia" w:ascii="Times New Roman" w:hAnsi="Times New Roman" w:cs="Times New Roman"/>
                <w:color w:val="auto"/>
                <w:lang w:eastAsia="zh-CN"/>
              </w:rPr>
            </w:pPr>
            <w:r>
              <w:rPr>
                <w:rFonts w:hint="eastAsia" w:cs="Times New Roman"/>
                <w:color w:val="auto"/>
                <w:lang w:eastAsia="zh-CN"/>
              </w:rPr>
              <w:t>（</w:t>
            </w:r>
            <w:r>
              <w:rPr>
                <w:rFonts w:hint="eastAsia" w:cs="Times New Roman"/>
                <w:color w:val="auto"/>
                <w:lang w:val="en-US" w:eastAsia="zh-CN"/>
              </w:rPr>
              <w:t>1</w:t>
            </w:r>
            <w:r>
              <w:rPr>
                <w:rFonts w:hint="eastAsia" w:cs="Times New Roman"/>
                <w:color w:val="auto"/>
                <w:lang w:eastAsia="zh-CN"/>
              </w:rPr>
              <w:t>）</w:t>
            </w:r>
            <w:r>
              <w:rPr>
                <w:rFonts w:hint="eastAsia" w:ascii="Times New Roman" w:hAnsi="Times New Roman" w:cs="Times New Roman"/>
                <w:color w:val="auto"/>
                <w:lang w:eastAsia="zh-CN"/>
              </w:rPr>
              <w:t>废油液泄漏、油箱拆解遇明火造成火灾爆炸风险事故影响分析</w:t>
            </w:r>
          </w:p>
          <w:p w14:paraId="38B34D5E">
            <w:pPr>
              <w:pStyle w:val="118"/>
              <w:adjustRightInd w:val="0"/>
              <w:snapToGrid w:val="0"/>
              <w:spacing w:line="360" w:lineRule="auto"/>
              <w:ind w:firstLine="480" w:firstLineChars="200"/>
              <w:rPr>
                <w:rFonts w:hint="eastAsia" w:ascii="Times New Roman" w:hAnsi="Times New Roman" w:cs="Times New Roman"/>
                <w:color w:val="auto"/>
                <w:lang w:eastAsia="zh-CN"/>
              </w:rPr>
            </w:pPr>
            <w:r>
              <w:rPr>
                <w:rFonts w:hint="eastAsia" w:ascii="Times New Roman" w:hAnsi="Times New Roman" w:cs="Times New Roman"/>
                <w:color w:val="auto"/>
                <w:lang w:eastAsia="zh-CN"/>
              </w:rPr>
              <w:t>若柴油、废油液等危险物质发生泄漏，若遇到火源很容易就会被点燃而引发火灾，火灾燃烧产生的废气次生污染以及消防过程产生的消防废水也可能对区域空气、地表水、土壤、地下水等环境因素造成污染。</w:t>
            </w:r>
          </w:p>
          <w:p w14:paraId="4EF1CBE1">
            <w:pPr>
              <w:pStyle w:val="118"/>
              <w:numPr>
                <w:ilvl w:val="0"/>
                <w:numId w:val="5"/>
              </w:numPr>
              <w:adjustRightInd w:val="0"/>
              <w:snapToGrid w:val="0"/>
              <w:spacing w:line="360" w:lineRule="auto"/>
              <w:ind w:left="0" w:leftChars="0" w:firstLine="480" w:firstLineChars="200"/>
              <w:rPr>
                <w:rFonts w:hint="eastAsia" w:ascii="Times New Roman" w:hAnsi="Times New Roman" w:cs="Times New Roman"/>
                <w:color w:val="auto"/>
                <w:lang w:eastAsia="zh-CN"/>
              </w:rPr>
            </w:pPr>
            <w:r>
              <w:rPr>
                <w:rFonts w:hint="eastAsia" w:cs="Times New Roman"/>
                <w:color w:val="auto"/>
                <w:lang w:val="en-US" w:eastAsia="zh-CN"/>
              </w:rPr>
              <w:t>废</w:t>
            </w:r>
            <w:r>
              <w:rPr>
                <w:rFonts w:hint="eastAsia" w:ascii="Times New Roman" w:hAnsi="Times New Roman" w:cs="Times New Roman"/>
                <w:color w:val="auto"/>
                <w:lang w:eastAsia="zh-CN"/>
              </w:rPr>
              <w:t>铅酸蓄电池电解液泄漏风险事故影响分析</w:t>
            </w:r>
          </w:p>
          <w:p w14:paraId="255586BB">
            <w:pPr>
              <w:pStyle w:val="118"/>
              <w:numPr>
                <w:ilvl w:val="0"/>
                <w:numId w:val="5"/>
              </w:numPr>
              <w:adjustRightInd w:val="0"/>
              <w:snapToGrid w:val="0"/>
              <w:spacing w:line="360" w:lineRule="auto"/>
              <w:ind w:left="0" w:leftChars="0" w:firstLine="480" w:firstLineChars="200"/>
              <w:rPr>
                <w:rFonts w:hint="eastAsia" w:ascii="Times New Roman" w:hAnsi="Times New Roman" w:cs="Times New Roman"/>
                <w:color w:val="auto"/>
                <w:lang w:eastAsia="zh-CN"/>
              </w:rPr>
            </w:pPr>
            <w:r>
              <w:rPr>
                <w:rFonts w:hint="eastAsia" w:ascii="Times New Roman" w:hAnsi="Times New Roman" w:cs="Times New Roman"/>
                <w:color w:val="auto"/>
                <w:lang w:eastAsia="zh-CN"/>
              </w:rPr>
              <w:t>废铅酸蓄电池采用专用的存放箱存放，若在搬运过程中箱子跌落，电池破损，泄漏的电解液直接泄漏在储存箱内。开启储存箱进行清理时，电解液中的硫酸少量挥发，对事故处理的工作人员和场区内环境空气造成影响，电解液泄漏至环境中可能对环境空气、地下水产生影响。</w:t>
            </w:r>
          </w:p>
          <w:p w14:paraId="3DAAD95E">
            <w:pPr>
              <w:pStyle w:val="118"/>
              <w:adjustRightInd w:val="0"/>
              <w:snapToGrid w:val="0"/>
              <w:spacing w:line="360" w:lineRule="auto"/>
              <w:ind w:firstLine="480" w:firstLineChars="200"/>
              <w:rPr>
                <w:rFonts w:hint="eastAsia" w:ascii="Times New Roman" w:hAnsi="Times New Roman" w:cs="Times New Roman"/>
                <w:color w:val="auto"/>
                <w:lang w:eastAsia="zh-CN"/>
              </w:rPr>
            </w:pPr>
            <w:r>
              <w:rPr>
                <w:rFonts w:hint="eastAsia" w:ascii="Times New Roman" w:hAnsi="Times New Roman" w:cs="Times New Roman"/>
                <w:color w:val="auto"/>
                <w:lang w:eastAsia="zh-CN"/>
              </w:rPr>
              <w:t>3、风险防范措施</w:t>
            </w:r>
          </w:p>
          <w:p w14:paraId="1A1F1EF1">
            <w:pPr>
              <w:pStyle w:val="118"/>
              <w:adjustRightInd w:val="0"/>
              <w:snapToGrid w:val="0"/>
              <w:spacing w:line="360" w:lineRule="auto"/>
              <w:ind w:firstLine="480" w:firstLineChars="200"/>
              <w:rPr>
                <w:rFonts w:hint="eastAsia" w:ascii="Times New Roman" w:hAnsi="Times New Roman" w:cs="Times New Roman"/>
                <w:color w:val="auto"/>
                <w:lang w:eastAsia="zh-CN"/>
              </w:rPr>
            </w:pPr>
            <w:r>
              <w:rPr>
                <w:rFonts w:hint="eastAsia" w:cs="Times New Roman"/>
                <w:color w:val="auto"/>
                <w:lang w:eastAsia="zh-CN"/>
              </w:rPr>
              <w:t>（</w:t>
            </w:r>
            <w:r>
              <w:rPr>
                <w:rFonts w:hint="eastAsia" w:cs="Times New Roman"/>
                <w:color w:val="auto"/>
                <w:lang w:val="en-US" w:eastAsia="zh-CN"/>
              </w:rPr>
              <w:t>1</w:t>
            </w:r>
            <w:r>
              <w:rPr>
                <w:rFonts w:hint="eastAsia" w:cs="Times New Roman"/>
                <w:color w:val="auto"/>
                <w:lang w:eastAsia="zh-CN"/>
              </w:rPr>
              <w:t>）</w:t>
            </w:r>
            <w:r>
              <w:rPr>
                <w:rFonts w:hint="eastAsia" w:ascii="Times New Roman" w:hAnsi="Times New Roman" w:cs="Times New Roman"/>
                <w:color w:val="auto"/>
                <w:lang w:eastAsia="zh-CN"/>
              </w:rPr>
              <w:t>危险废物储存运输过程中风险防范措施</w:t>
            </w:r>
          </w:p>
          <w:p w14:paraId="73AA8653">
            <w:pPr>
              <w:pStyle w:val="118"/>
              <w:adjustRightInd w:val="0"/>
              <w:snapToGrid w:val="0"/>
              <w:spacing w:line="360" w:lineRule="auto"/>
              <w:ind w:firstLine="480" w:firstLineChars="200"/>
              <w:rPr>
                <w:rFonts w:hint="eastAsia" w:cs="Times New Roman"/>
                <w:color w:val="auto"/>
                <w:lang w:eastAsia="zh-CN"/>
              </w:rPr>
            </w:pPr>
            <w:r>
              <w:rPr>
                <w:rFonts w:hint="eastAsia" w:ascii="Times New Roman" w:hAnsi="Times New Roman" w:cs="Times New Roman"/>
                <w:color w:val="auto"/>
                <w:lang w:eastAsia="zh-CN"/>
              </w:rPr>
              <w:t>贮存要求</w:t>
            </w:r>
            <w:r>
              <w:rPr>
                <w:rFonts w:hint="eastAsia" w:cs="Times New Roman"/>
                <w:color w:val="auto"/>
                <w:lang w:eastAsia="zh-CN"/>
              </w:rPr>
              <w:t>：</w:t>
            </w:r>
          </w:p>
          <w:p w14:paraId="468D4830">
            <w:pPr>
              <w:pStyle w:val="118"/>
              <w:adjustRightInd w:val="0"/>
              <w:snapToGrid w:val="0"/>
              <w:spacing w:line="360" w:lineRule="auto"/>
              <w:ind w:firstLine="480" w:firstLineChars="200"/>
              <w:rPr>
                <w:rFonts w:hint="default" w:ascii="Times New Roman" w:hAnsi="Times New Roman" w:cs="Times New Roman"/>
                <w:color w:val="auto"/>
                <w:lang w:val="en-US" w:eastAsia="zh-CN"/>
              </w:rPr>
            </w:pPr>
            <w:r>
              <w:rPr>
                <w:rFonts w:hint="eastAsia" w:ascii="Times New Roman" w:hAnsi="Times New Roman" w:cs="Times New Roman"/>
                <w:color w:val="auto"/>
                <w:lang w:eastAsia="zh-CN"/>
              </w:rPr>
              <w:t>①</w:t>
            </w:r>
            <w:r>
              <w:rPr>
                <w:rFonts w:hint="eastAsia" w:cs="Times New Roman"/>
                <w:color w:val="auto"/>
                <w:lang w:val="en-US" w:eastAsia="zh-CN"/>
              </w:rPr>
              <w:t>危废贮存点</w:t>
            </w:r>
            <w:r>
              <w:rPr>
                <w:rFonts w:hint="eastAsia" w:ascii="Times New Roman" w:hAnsi="Times New Roman" w:cs="Times New Roman"/>
                <w:color w:val="auto"/>
                <w:lang w:eastAsia="zh-CN"/>
              </w:rPr>
              <w:t>门口需张贴标注规范的危险废物标识和信息板，屋内张贴《危险废物管理制度》</w:t>
            </w:r>
            <w:r>
              <w:rPr>
                <w:rFonts w:hint="eastAsia" w:cs="Times New Roman"/>
                <w:color w:val="auto"/>
                <w:lang w:eastAsia="zh-CN"/>
              </w:rPr>
              <w:t>；</w:t>
            </w:r>
          </w:p>
          <w:p w14:paraId="1296AB33">
            <w:pPr>
              <w:pStyle w:val="118"/>
              <w:adjustRightInd w:val="0"/>
              <w:snapToGrid w:val="0"/>
              <w:spacing w:line="360" w:lineRule="auto"/>
              <w:ind w:firstLine="480" w:firstLineChars="200"/>
              <w:rPr>
                <w:rFonts w:hint="eastAsia" w:ascii="Times New Roman" w:hAnsi="Times New Roman" w:cs="Times New Roman"/>
                <w:color w:val="auto"/>
                <w:lang w:eastAsia="zh-CN"/>
              </w:rPr>
            </w:pPr>
            <w:r>
              <w:rPr>
                <w:rFonts w:hint="eastAsia" w:ascii="Times New Roman" w:hAnsi="Times New Roman" w:cs="Times New Roman"/>
                <w:color w:val="auto"/>
                <w:lang w:eastAsia="zh-CN"/>
              </w:rPr>
              <w:t>②不同的危险废物应有明显的区域划分，液态危险废物需盛装在完好的容器内，并将容器防治在防泄漏托盘内，并在容器粘贴危险废物信息标签</w:t>
            </w:r>
            <w:r>
              <w:rPr>
                <w:rFonts w:hint="eastAsia" w:cs="Times New Roman"/>
                <w:color w:val="auto"/>
                <w:lang w:eastAsia="zh-CN"/>
              </w:rPr>
              <w:t>；</w:t>
            </w:r>
            <w:r>
              <w:rPr>
                <w:rFonts w:hint="eastAsia" w:ascii="Times New Roman" w:hAnsi="Times New Roman" w:cs="Times New Roman"/>
                <w:color w:val="auto"/>
                <w:lang w:eastAsia="zh-CN"/>
              </w:rPr>
              <w:t>固态危险废物需包装完好无破损，并系挂危险废物信息标签。</w:t>
            </w:r>
          </w:p>
          <w:p w14:paraId="74E9C44E">
            <w:pPr>
              <w:pStyle w:val="118"/>
              <w:adjustRightInd w:val="0"/>
              <w:snapToGrid w:val="0"/>
              <w:spacing w:line="360" w:lineRule="auto"/>
              <w:ind w:firstLine="480" w:firstLineChars="200"/>
              <w:rPr>
                <w:rFonts w:hint="eastAsia" w:ascii="Times New Roman" w:hAnsi="Times New Roman" w:cs="Times New Roman"/>
                <w:color w:val="auto"/>
                <w:lang w:eastAsia="zh-CN"/>
              </w:rPr>
            </w:pPr>
            <w:r>
              <w:rPr>
                <w:rFonts w:hint="eastAsia" w:ascii="Times New Roman" w:hAnsi="Times New Roman" w:cs="Times New Roman"/>
                <w:color w:val="auto"/>
                <w:lang w:eastAsia="zh-CN"/>
              </w:rPr>
              <w:t>③需按危险废物转移三联单的要求做好危险废物台账，危险废物暂存间内禁止存放陈危险废物及应急工具以外的其他物品。产生的危险废物应每个月都进行转移处理。危险废物的储存、处置过程中必须严格执行国家《危险废物贮存污染控制标准》</w:t>
            </w:r>
            <w:r>
              <w:rPr>
                <w:rFonts w:hint="eastAsia" w:cs="Times New Roman"/>
                <w:color w:val="auto"/>
                <w:lang w:eastAsia="zh-CN"/>
              </w:rPr>
              <w:t>（</w:t>
            </w:r>
            <w:r>
              <w:rPr>
                <w:rFonts w:hint="eastAsia" w:ascii="Times New Roman" w:hAnsi="Times New Roman" w:cs="Times New Roman"/>
                <w:color w:val="auto"/>
                <w:lang w:eastAsia="zh-CN"/>
              </w:rPr>
              <w:t>GB18597-2001</w:t>
            </w:r>
            <w:r>
              <w:rPr>
                <w:rFonts w:hint="eastAsia" w:cs="Times New Roman"/>
                <w:color w:val="auto"/>
                <w:lang w:eastAsia="zh-CN"/>
              </w:rPr>
              <w:t>）</w:t>
            </w:r>
            <w:r>
              <w:rPr>
                <w:rFonts w:hint="eastAsia" w:ascii="Times New Roman" w:hAnsi="Times New Roman" w:cs="Times New Roman"/>
                <w:color w:val="auto"/>
                <w:lang w:eastAsia="zh-CN"/>
              </w:rPr>
              <w:t>及《危险化学品安全管理条例》的有关规定。</w:t>
            </w:r>
          </w:p>
          <w:p w14:paraId="6B147331">
            <w:pPr>
              <w:pStyle w:val="118"/>
              <w:adjustRightInd w:val="0"/>
              <w:snapToGrid w:val="0"/>
              <w:spacing w:line="360" w:lineRule="auto"/>
              <w:ind w:firstLine="480" w:firstLineChars="200"/>
              <w:rPr>
                <w:rFonts w:hint="eastAsia" w:cs="Times New Roman"/>
                <w:color w:val="auto"/>
                <w:lang w:eastAsia="zh-CN"/>
              </w:rPr>
            </w:pPr>
            <w:r>
              <w:rPr>
                <w:rFonts w:hint="eastAsia" w:ascii="Times New Roman" w:hAnsi="Times New Roman" w:cs="Times New Roman"/>
                <w:color w:val="auto"/>
                <w:lang w:eastAsia="zh-CN"/>
              </w:rPr>
              <w:t>泄漏措施</w:t>
            </w:r>
            <w:r>
              <w:rPr>
                <w:rFonts w:hint="eastAsia" w:cs="Times New Roman"/>
                <w:color w:val="auto"/>
                <w:lang w:eastAsia="zh-CN"/>
              </w:rPr>
              <w:t>：</w:t>
            </w:r>
          </w:p>
          <w:p w14:paraId="3167C849">
            <w:pPr>
              <w:pStyle w:val="118"/>
              <w:adjustRightInd w:val="0"/>
              <w:snapToGrid w:val="0"/>
              <w:spacing w:line="360" w:lineRule="auto"/>
              <w:ind w:firstLine="480" w:firstLineChars="200"/>
              <w:rPr>
                <w:rFonts w:hint="eastAsia" w:ascii="Times New Roman" w:hAnsi="Times New Roman" w:cs="Times New Roman"/>
                <w:color w:val="auto"/>
                <w:lang w:eastAsia="zh-CN"/>
              </w:rPr>
            </w:pPr>
            <w:r>
              <w:rPr>
                <w:rFonts w:hint="eastAsia" w:ascii="Times New Roman" w:hAnsi="Times New Roman" w:cs="Times New Roman"/>
                <w:color w:val="auto"/>
                <w:lang w:eastAsia="zh-CN"/>
              </w:rPr>
              <w:t>①一旦发生泄漏，首先要疏散无关人员，隔离泄污染区，如果是小量的泄漏，且物料不具有危险性，同时能为该工作区的人员所控制时，则由该工作区的人员佩戴使用相应的个人防护用品</w:t>
            </w:r>
            <w:r>
              <w:rPr>
                <w:rFonts w:hint="eastAsia" w:cs="Times New Roman"/>
                <w:color w:val="auto"/>
                <w:lang w:eastAsia="zh-CN"/>
              </w:rPr>
              <w:t>，</w:t>
            </w:r>
            <w:r>
              <w:rPr>
                <w:rFonts w:hint="eastAsia" w:ascii="Times New Roman" w:hAnsi="Times New Roman" w:cs="Times New Roman"/>
                <w:color w:val="auto"/>
                <w:lang w:eastAsia="zh-CN"/>
              </w:rPr>
              <w:t>参照危险化学品安全技术说明书及标签上的安全信息采取控制措施</w:t>
            </w:r>
            <w:r>
              <w:rPr>
                <w:rFonts w:hint="eastAsia" w:cs="Times New Roman"/>
                <w:color w:val="auto"/>
                <w:lang w:eastAsia="zh-CN"/>
              </w:rPr>
              <w:t>，</w:t>
            </w:r>
            <w:r>
              <w:rPr>
                <w:rFonts w:hint="eastAsia" w:ascii="Times New Roman" w:hAnsi="Times New Roman" w:cs="Times New Roman"/>
                <w:color w:val="auto"/>
                <w:lang w:eastAsia="zh-CN"/>
              </w:rPr>
              <w:t>如果泄漏易燃品，则必须立即消除泄漏污染区域内的各种火源。</w:t>
            </w:r>
          </w:p>
          <w:p w14:paraId="2C5861D7">
            <w:pPr>
              <w:pStyle w:val="118"/>
              <w:adjustRightInd w:val="0"/>
              <w:snapToGrid w:val="0"/>
              <w:spacing w:line="360" w:lineRule="auto"/>
              <w:ind w:firstLine="480" w:firstLineChars="200"/>
              <w:rPr>
                <w:rFonts w:hint="eastAsia" w:ascii="Times New Roman" w:hAnsi="Times New Roman" w:cs="Times New Roman"/>
                <w:color w:val="auto"/>
                <w:lang w:eastAsia="zh-CN"/>
              </w:rPr>
            </w:pPr>
            <w:r>
              <w:rPr>
                <w:rFonts w:hint="eastAsia" w:ascii="Times New Roman" w:hAnsi="Times New Roman" w:cs="Times New Roman"/>
                <w:color w:val="auto"/>
                <w:lang w:eastAsia="zh-CN"/>
              </w:rPr>
              <w:t>②容器发生泄漏，应根据实际情况，采取措施堵塞和修补裂口，制止进一步泄漏，或转换容器</w:t>
            </w:r>
            <w:r>
              <w:rPr>
                <w:rFonts w:hint="eastAsia" w:cs="Times New Roman"/>
                <w:color w:val="auto"/>
                <w:lang w:eastAsia="zh-CN"/>
              </w:rPr>
              <w:t>（</w:t>
            </w:r>
            <w:r>
              <w:rPr>
                <w:rFonts w:hint="eastAsia" w:ascii="Times New Roman" w:hAnsi="Times New Roman" w:cs="Times New Roman"/>
                <w:color w:val="auto"/>
                <w:lang w:eastAsia="zh-CN"/>
              </w:rPr>
              <w:t>利用包装空桶闲置储缸</w:t>
            </w:r>
            <w:r>
              <w:rPr>
                <w:rFonts w:hint="eastAsia" w:cs="Times New Roman"/>
                <w:color w:val="auto"/>
                <w:lang w:eastAsia="zh-CN"/>
              </w:rPr>
              <w:t>）</w:t>
            </w:r>
            <w:r>
              <w:rPr>
                <w:rFonts w:hint="eastAsia" w:ascii="Times New Roman" w:hAnsi="Times New Roman" w:cs="Times New Roman"/>
                <w:color w:val="auto"/>
                <w:lang w:eastAsia="zh-CN"/>
              </w:rPr>
              <w:t>。</w:t>
            </w:r>
          </w:p>
          <w:p w14:paraId="7E86B673">
            <w:pPr>
              <w:pStyle w:val="118"/>
              <w:adjustRightInd w:val="0"/>
              <w:snapToGrid w:val="0"/>
              <w:spacing w:line="360" w:lineRule="auto"/>
              <w:ind w:firstLine="480" w:firstLineChars="200"/>
              <w:rPr>
                <w:rFonts w:hint="eastAsia" w:ascii="Times New Roman" w:hAnsi="Times New Roman" w:cs="Times New Roman"/>
                <w:color w:val="auto"/>
                <w:lang w:eastAsia="zh-CN"/>
              </w:rPr>
            </w:pPr>
            <w:r>
              <w:rPr>
                <w:rFonts w:hint="eastAsia" w:ascii="Times New Roman" w:hAnsi="Times New Roman" w:cs="Times New Roman"/>
                <w:color w:val="auto"/>
                <w:lang w:eastAsia="zh-CN"/>
              </w:rPr>
              <w:t>③拆解区以及危险品仓库四周均设置导流槽，将泄漏物质导流入密封桶内，存于危废</w:t>
            </w:r>
            <w:r>
              <w:rPr>
                <w:rFonts w:hint="eastAsia" w:cs="Times New Roman"/>
                <w:color w:val="auto"/>
                <w:lang w:val="en-US" w:eastAsia="zh-CN"/>
              </w:rPr>
              <w:t>贮存点</w:t>
            </w:r>
            <w:r>
              <w:rPr>
                <w:rFonts w:hint="eastAsia" w:ascii="Times New Roman" w:hAnsi="Times New Roman" w:cs="Times New Roman"/>
                <w:color w:val="auto"/>
                <w:lang w:eastAsia="zh-CN"/>
              </w:rPr>
              <w:t>，得以有效的处理，避免危险有毒物质流入外界造成环境污染。</w:t>
            </w:r>
          </w:p>
          <w:p w14:paraId="140FFB41">
            <w:pPr>
              <w:pStyle w:val="118"/>
              <w:adjustRightInd w:val="0"/>
              <w:snapToGrid w:val="0"/>
              <w:spacing w:line="360" w:lineRule="auto"/>
              <w:ind w:firstLine="480" w:firstLineChars="200"/>
              <w:rPr>
                <w:rFonts w:hint="eastAsia" w:ascii="Times New Roman" w:hAnsi="Times New Roman" w:cs="Times New Roman"/>
                <w:color w:val="auto"/>
                <w:lang w:eastAsia="zh-CN"/>
              </w:rPr>
            </w:pPr>
            <w:r>
              <w:rPr>
                <w:rFonts w:hint="eastAsia" w:ascii="Times New Roman" w:hAnsi="Times New Roman" w:cs="Times New Roman"/>
                <w:color w:val="auto"/>
                <w:lang w:eastAsia="zh-CN"/>
              </w:rPr>
              <w:t>④对于发生泄漏引起火灾等事故应把消防产生的废水进行收集，灭火处理完毕后将该废水送至有资质的公司处理，严禁泄漏到环境中去，造成环境风险事故。</w:t>
            </w:r>
          </w:p>
          <w:p w14:paraId="3A60666D">
            <w:pPr>
              <w:pStyle w:val="118"/>
              <w:adjustRightInd w:val="0"/>
              <w:snapToGrid w:val="0"/>
              <w:spacing w:line="360" w:lineRule="auto"/>
              <w:ind w:firstLine="480" w:firstLineChars="200"/>
              <w:rPr>
                <w:rFonts w:hint="eastAsia" w:ascii="Times New Roman" w:hAnsi="Times New Roman" w:cs="Times New Roman"/>
                <w:color w:val="auto"/>
                <w:lang w:eastAsia="zh-CN"/>
              </w:rPr>
            </w:pPr>
            <w:r>
              <w:rPr>
                <w:rFonts w:hint="eastAsia" w:ascii="Times New Roman" w:hAnsi="Times New Roman" w:cs="Times New Roman"/>
                <w:color w:val="auto"/>
                <w:lang w:eastAsia="zh-CN"/>
              </w:rPr>
              <w:t>⑤当拆解过程中发生单个蓄电池破损、电解液泄漏，及时用收集容器对泄漏液体进行收集、密封保存，少量滴落的电解液采用石灰、活性炭等吸附材料覆盖，吸附材料收集后作为危废交由有资质的单位处置。当处理储存箱内泄漏电解液，需将破损的和完好的电池取出、分开隔离贮存，箱内电解液采用专用收集容器收集、密封保存。处理事故的工作人员在进行清理工作时须穿戴防护服、防腐蚀手套、口罩等防护用品，避免在操作中受到伤害。</w:t>
            </w:r>
          </w:p>
          <w:p w14:paraId="55709922">
            <w:pPr>
              <w:pStyle w:val="118"/>
              <w:adjustRightInd w:val="0"/>
              <w:snapToGrid w:val="0"/>
              <w:spacing w:line="360" w:lineRule="auto"/>
              <w:ind w:firstLine="480" w:firstLineChars="200"/>
              <w:rPr>
                <w:rFonts w:hint="eastAsia" w:ascii="Times New Roman" w:hAnsi="Times New Roman" w:cs="Times New Roman"/>
                <w:color w:val="auto"/>
                <w:lang w:eastAsia="zh-CN"/>
              </w:rPr>
            </w:pPr>
            <w:r>
              <w:rPr>
                <w:rFonts w:hint="eastAsia" w:ascii="Times New Roman" w:hAnsi="Times New Roman" w:cs="Times New Roman"/>
                <w:color w:val="auto"/>
                <w:lang w:eastAsia="zh-CN"/>
              </w:rPr>
              <w:t>⑥</w:t>
            </w:r>
            <w:r>
              <w:rPr>
                <w:rFonts w:hint="eastAsia" w:cs="Times New Roman"/>
                <w:color w:val="auto"/>
                <w:lang w:eastAsia="zh-CN"/>
              </w:rPr>
              <w:t>危废暂存点</w:t>
            </w:r>
            <w:r>
              <w:rPr>
                <w:rFonts w:hint="eastAsia" w:ascii="Times New Roman" w:hAnsi="Times New Roman" w:cs="Times New Roman"/>
                <w:color w:val="auto"/>
                <w:lang w:eastAsia="zh-CN"/>
              </w:rPr>
              <w:t>内设置1座事故池，容积为2m</w:t>
            </w:r>
            <w:r>
              <w:rPr>
                <w:rFonts w:hint="eastAsia" w:cs="Times New Roman"/>
                <w:color w:val="auto"/>
                <w:vertAlign w:val="superscript"/>
                <w:lang w:val="en-US" w:eastAsia="zh-CN"/>
              </w:rPr>
              <w:t>3</w:t>
            </w:r>
            <w:r>
              <w:rPr>
                <w:rFonts w:hint="eastAsia" w:ascii="Times New Roman" w:hAnsi="Times New Roman" w:cs="Times New Roman"/>
                <w:color w:val="auto"/>
                <w:lang w:eastAsia="zh-CN"/>
              </w:rPr>
              <w:t>，并设置导流沟，危废</w:t>
            </w:r>
            <w:r>
              <w:rPr>
                <w:rFonts w:hint="eastAsia" w:cs="Times New Roman"/>
                <w:color w:val="auto"/>
                <w:lang w:val="en-US" w:eastAsia="zh-CN"/>
              </w:rPr>
              <w:t>贮存点</w:t>
            </w:r>
            <w:r>
              <w:rPr>
                <w:rFonts w:hint="eastAsia" w:ascii="Times New Roman" w:hAnsi="Times New Roman" w:cs="Times New Roman"/>
                <w:color w:val="auto"/>
                <w:lang w:eastAsia="zh-CN"/>
              </w:rPr>
              <w:t>危险废物发生泄漏情况下，通过导流沟进入事故池暂存。可防止对地下水的环境污染。</w:t>
            </w:r>
          </w:p>
          <w:p w14:paraId="37487382">
            <w:pPr>
              <w:pStyle w:val="118"/>
              <w:adjustRightInd w:val="0"/>
              <w:snapToGrid w:val="0"/>
              <w:spacing w:line="360" w:lineRule="auto"/>
              <w:ind w:firstLine="480" w:firstLineChars="200"/>
              <w:rPr>
                <w:rFonts w:hint="eastAsia" w:ascii="Times New Roman" w:hAnsi="Times New Roman" w:cs="Times New Roman"/>
                <w:color w:val="auto"/>
                <w:lang w:eastAsia="zh-CN"/>
              </w:rPr>
            </w:pPr>
            <w:r>
              <w:rPr>
                <w:rFonts w:hint="eastAsia" w:cs="Times New Roman"/>
                <w:color w:val="auto"/>
                <w:lang w:eastAsia="zh-CN"/>
              </w:rPr>
              <w:t>（</w:t>
            </w:r>
            <w:r>
              <w:rPr>
                <w:rFonts w:hint="eastAsia" w:cs="Times New Roman"/>
                <w:color w:val="auto"/>
                <w:lang w:val="en-US" w:eastAsia="zh-CN"/>
              </w:rPr>
              <w:t>2</w:t>
            </w:r>
            <w:r>
              <w:rPr>
                <w:rFonts w:hint="eastAsia" w:cs="Times New Roman"/>
                <w:color w:val="auto"/>
                <w:lang w:eastAsia="zh-CN"/>
              </w:rPr>
              <w:t>）</w:t>
            </w:r>
            <w:r>
              <w:rPr>
                <w:rFonts w:hint="eastAsia" w:ascii="Times New Roman" w:hAnsi="Times New Roman" w:cs="Times New Roman"/>
                <w:color w:val="auto"/>
                <w:lang w:eastAsia="zh-CN"/>
              </w:rPr>
              <w:t>消防及火灾报警系统</w:t>
            </w:r>
          </w:p>
          <w:p w14:paraId="2983D14E">
            <w:pPr>
              <w:pStyle w:val="118"/>
              <w:adjustRightInd w:val="0"/>
              <w:snapToGrid w:val="0"/>
              <w:spacing w:line="360" w:lineRule="auto"/>
              <w:ind w:firstLine="480" w:firstLineChars="200"/>
              <w:rPr>
                <w:rFonts w:hint="eastAsia" w:ascii="Times New Roman" w:hAnsi="Times New Roman" w:cs="Times New Roman"/>
                <w:color w:val="auto"/>
                <w:lang w:eastAsia="zh-CN"/>
              </w:rPr>
            </w:pPr>
            <w:r>
              <w:rPr>
                <w:rFonts w:hint="eastAsia" w:ascii="Times New Roman" w:hAnsi="Times New Roman" w:cs="Times New Roman"/>
                <w:color w:val="auto"/>
                <w:lang w:eastAsia="zh-CN"/>
              </w:rPr>
              <w:t>①拆解车间内严禁明火，严禁在未排空废油液的情况下进行油箱拆解。</w:t>
            </w:r>
          </w:p>
          <w:p w14:paraId="533A7164">
            <w:pPr>
              <w:pStyle w:val="118"/>
              <w:adjustRightInd w:val="0"/>
              <w:snapToGrid w:val="0"/>
              <w:spacing w:line="360" w:lineRule="auto"/>
              <w:ind w:firstLine="480" w:firstLineChars="200"/>
              <w:rPr>
                <w:rFonts w:hint="eastAsia" w:ascii="Times New Roman" w:hAnsi="Times New Roman" w:cs="Times New Roman"/>
                <w:color w:val="auto"/>
                <w:lang w:eastAsia="zh-CN"/>
              </w:rPr>
            </w:pPr>
            <w:r>
              <w:rPr>
                <w:rFonts w:hint="eastAsia" w:ascii="Times New Roman" w:hAnsi="Times New Roman" w:cs="Times New Roman"/>
                <w:color w:val="auto"/>
                <w:lang w:eastAsia="zh-CN"/>
              </w:rPr>
              <w:t>②厂内配备满足</w:t>
            </w:r>
            <w:r>
              <w:rPr>
                <w:rFonts w:hint="eastAsia" w:cs="Times New Roman"/>
                <w:color w:val="auto"/>
                <w:lang w:eastAsia="zh-CN"/>
              </w:rPr>
              <w:t>《建筑设计防火规范》（</w:t>
            </w:r>
            <w:r>
              <w:rPr>
                <w:rFonts w:hint="eastAsia" w:ascii="Times New Roman" w:hAnsi="Times New Roman" w:cs="Times New Roman"/>
                <w:color w:val="auto"/>
                <w:lang w:eastAsia="zh-CN"/>
              </w:rPr>
              <w:t>GB50016</w:t>
            </w:r>
            <w:r>
              <w:rPr>
                <w:rFonts w:hint="eastAsia" w:cs="Times New Roman"/>
                <w:color w:val="auto"/>
                <w:lang w:val="en-US" w:eastAsia="zh-CN"/>
              </w:rPr>
              <w:t>-2014</w:t>
            </w:r>
            <w:r>
              <w:rPr>
                <w:rFonts w:hint="eastAsia" w:cs="Times New Roman"/>
                <w:color w:val="auto"/>
                <w:lang w:eastAsia="zh-CN"/>
              </w:rPr>
              <w:t>）</w:t>
            </w:r>
            <w:r>
              <w:rPr>
                <w:rFonts w:hint="eastAsia" w:ascii="Times New Roman" w:hAnsi="Times New Roman" w:cs="Times New Roman"/>
                <w:color w:val="auto"/>
                <w:lang w:eastAsia="zh-CN"/>
              </w:rPr>
              <w:t>规定的消防设施设备</w:t>
            </w:r>
            <w:r>
              <w:rPr>
                <w:rFonts w:hint="eastAsia" w:cs="Times New Roman"/>
                <w:color w:val="auto"/>
                <w:lang w:eastAsia="zh-CN"/>
              </w:rPr>
              <w:t>（</w:t>
            </w:r>
            <w:r>
              <w:rPr>
                <w:rFonts w:hint="eastAsia" w:ascii="Times New Roman" w:hAnsi="Times New Roman" w:cs="Times New Roman"/>
                <w:color w:val="auto"/>
                <w:lang w:eastAsia="zh-CN"/>
              </w:rPr>
              <w:t>灭火器、消火栓、消防沙等</w:t>
            </w:r>
            <w:r>
              <w:rPr>
                <w:rFonts w:hint="eastAsia" w:cs="Times New Roman"/>
                <w:color w:val="auto"/>
                <w:lang w:eastAsia="zh-CN"/>
              </w:rPr>
              <w:t>）</w:t>
            </w:r>
            <w:r>
              <w:rPr>
                <w:rFonts w:hint="eastAsia" w:ascii="Times New Roman" w:hAnsi="Times New Roman" w:cs="Times New Roman"/>
                <w:color w:val="auto"/>
                <w:lang w:eastAsia="zh-CN"/>
              </w:rPr>
              <w:t>，设置消防池，每年对灭火器材、设施进行检查，如有损坏或压力不足应及时维修更新。检测内容、时间、人员应有记录保存。安全检测应根据设备的安全性、危险性设定检测频次。在消防器材、设施放置处，安排相应的管理者负责。</w:t>
            </w:r>
          </w:p>
          <w:p w14:paraId="270EE9AC">
            <w:pPr>
              <w:pStyle w:val="118"/>
              <w:adjustRightInd w:val="0"/>
              <w:snapToGrid w:val="0"/>
              <w:spacing w:line="360" w:lineRule="auto"/>
              <w:ind w:firstLine="480" w:firstLineChars="200"/>
              <w:rPr>
                <w:rFonts w:hint="eastAsia" w:ascii="Times New Roman" w:hAnsi="Times New Roman" w:cs="Times New Roman"/>
                <w:color w:val="auto"/>
                <w:lang w:eastAsia="zh-CN"/>
              </w:rPr>
            </w:pPr>
            <w:r>
              <w:rPr>
                <w:rFonts w:hint="eastAsia" w:ascii="Times New Roman" w:hAnsi="Times New Roman" w:cs="Times New Roman"/>
                <w:color w:val="auto"/>
                <w:lang w:eastAsia="zh-CN"/>
              </w:rPr>
              <w:t>③保持消防器材的完整齐备，严禁将消防器材挪作他用，特殊情况必须经相关管理部门的同意。</w:t>
            </w:r>
          </w:p>
          <w:p w14:paraId="1F2F790D">
            <w:pPr>
              <w:pStyle w:val="118"/>
              <w:adjustRightInd w:val="0"/>
              <w:snapToGrid w:val="0"/>
              <w:spacing w:line="360" w:lineRule="auto"/>
              <w:ind w:firstLine="480" w:firstLineChars="200"/>
              <w:rPr>
                <w:rFonts w:hint="eastAsia" w:ascii="Times New Roman" w:hAnsi="Times New Roman" w:cs="Times New Roman"/>
                <w:color w:val="auto"/>
                <w:lang w:eastAsia="zh-CN"/>
              </w:rPr>
            </w:pPr>
            <w:r>
              <w:rPr>
                <w:rFonts w:hint="eastAsia" w:cs="Times New Roman"/>
                <w:color w:val="auto"/>
                <w:lang w:eastAsia="zh-CN"/>
              </w:rPr>
              <w:t>（</w:t>
            </w:r>
            <w:r>
              <w:rPr>
                <w:rFonts w:hint="eastAsia" w:cs="Times New Roman"/>
                <w:color w:val="auto"/>
                <w:lang w:val="en-US" w:eastAsia="zh-CN"/>
              </w:rPr>
              <w:t>3</w:t>
            </w:r>
            <w:r>
              <w:rPr>
                <w:rFonts w:hint="eastAsia" w:cs="Times New Roman"/>
                <w:color w:val="auto"/>
                <w:lang w:eastAsia="zh-CN"/>
              </w:rPr>
              <w:t>）</w:t>
            </w:r>
            <w:r>
              <w:rPr>
                <w:rFonts w:hint="eastAsia" w:ascii="Times New Roman" w:hAnsi="Times New Roman" w:cs="Times New Roman"/>
                <w:color w:val="auto"/>
                <w:lang w:eastAsia="zh-CN"/>
              </w:rPr>
              <w:t>风险防范综合措施</w:t>
            </w:r>
          </w:p>
          <w:p w14:paraId="5DFDFD2E">
            <w:pPr>
              <w:pStyle w:val="118"/>
              <w:adjustRightInd w:val="0"/>
              <w:snapToGrid w:val="0"/>
              <w:spacing w:line="360" w:lineRule="auto"/>
              <w:ind w:firstLine="480" w:firstLineChars="200"/>
              <w:rPr>
                <w:rFonts w:hint="eastAsia" w:ascii="Times New Roman" w:hAnsi="Times New Roman" w:cs="Times New Roman"/>
                <w:color w:val="auto"/>
                <w:lang w:eastAsia="zh-CN"/>
              </w:rPr>
            </w:pPr>
            <w:r>
              <w:rPr>
                <w:rFonts w:hint="eastAsia" w:ascii="Times New Roman" w:hAnsi="Times New Roman" w:cs="Times New Roman"/>
                <w:color w:val="auto"/>
                <w:lang w:eastAsia="zh-CN"/>
              </w:rPr>
              <w:t>①强化安全生产管理，必须制订岗位责任制，将责任落实到部门和个人严格遵守操作规程，严格遵守《化学危险品管理条例》及国家、地方关于易燃、易爆、有毒有害物料的储运使用安全规定。</w:t>
            </w:r>
          </w:p>
          <w:p w14:paraId="7E9DF58A">
            <w:pPr>
              <w:pStyle w:val="118"/>
              <w:adjustRightInd w:val="0"/>
              <w:snapToGrid w:val="0"/>
              <w:spacing w:line="360" w:lineRule="auto"/>
              <w:ind w:firstLine="480" w:firstLineChars="200"/>
              <w:rPr>
                <w:rFonts w:hint="eastAsia" w:ascii="Times New Roman" w:hAnsi="Times New Roman" w:cs="Times New Roman"/>
                <w:color w:val="auto"/>
                <w:lang w:eastAsia="zh-CN"/>
              </w:rPr>
            </w:pPr>
            <w:r>
              <w:rPr>
                <w:rFonts w:hint="eastAsia" w:ascii="Times New Roman" w:hAnsi="Times New Roman" w:cs="Times New Roman"/>
                <w:color w:val="auto"/>
                <w:lang w:eastAsia="zh-CN"/>
              </w:rPr>
              <w:t>②建立健全环保及安全管理部门，该部门应加强监督检查，按规定监测厂内外空气及水体中的有毒有害物质，及时发现，立即处理，避免污染。</w:t>
            </w:r>
          </w:p>
          <w:p w14:paraId="70CE821A">
            <w:pPr>
              <w:pStyle w:val="118"/>
              <w:adjustRightInd w:val="0"/>
              <w:snapToGrid w:val="0"/>
              <w:spacing w:line="360" w:lineRule="auto"/>
              <w:ind w:firstLine="480" w:firstLineChars="200"/>
              <w:rPr>
                <w:rFonts w:hint="eastAsia" w:ascii="Times New Roman" w:hAnsi="Times New Roman" w:cs="Times New Roman"/>
                <w:color w:val="auto"/>
                <w:lang w:eastAsia="zh-CN"/>
              </w:rPr>
            </w:pPr>
            <w:r>
              <w:rPr>
                <w:rFonts w:hint="eastAsia" w:ascii="Times New Roman" w:hAnsi="Times New Roman" w:cs="Times New Roman"/>
                <w:color w:val="auto"/>
                <w:lang w:eastAsia="zh-CN"/>
              </w:rPr>
              <w:t>③建设单位应编制建设项目环境风险应急预案，报环保部门批准后生产中实施，并安排环境风险应急预案及风险污染处置演练，进行应急处置宣传、教育。</w:t>
            </w:r>
          </w:p>
          <w:p w14:paraId="7ADC5401">
            <w:pPr>
              <w:pStyle w:val="118"/>
              <w:adjustRightInd w:val="0"/>
              <w:snapToGrid w:val="0"/>
              <w:spacing w:line="360" w:lineRule="auto"/>
              <w:ind w:firstLine="480" w:firstLineChars="200"/>
              <w:rPr>
                <w:rFonts w:hint="eastAsia" w:ascii="Times New Roman" w:hAnsi="Times New Roman" w:cs="Times New Roman"/>
                <w:color w:val="auto"/>
                <w:lang w:eastAsia="zh-CN"/>
              </w:rPr>
            </w:pPr>
            <w:r>
              <w:rPr>
                <w:rFonts w:hint="eastAsia" w:ascii="Times New Roman" w:hAnsi="Times New Roman" w:cs="Times New Roman"/>
                <w:color w:val="auto"/>
                <w:lang w:eastAsia="zh-CN"/>
              </w:rPr>
              <w:t>④成立事故应急处理小组，由车间安全负责人担任事故应急小组组长，一旦发火灾等事故，应立即启动事故应急预案，并向有关环境管理部门汇报情况，协助环境管理部门进行应急监测等工作。</w:t>
            </w:r>
          </w:p>
          <w:p w14:paraId="25BEF05C">
            <w:pPr>
              <w:pStyle w:val="118"/>
              <w:adjustRightInd w:val="0"/>
              <w:snapToGrid w:val="0"/>
              <w:spacing w:line="360" w:lineRule="auto"/>
              <w:ind w:firstLine="480" w:firstLineChars="200"/>
              <w:rPr>
                <w:rFonts w:hint="eastAsia" w:ascii="Times New Roman" w:hAnsi="Times New Roman" w:cs="Times New Roman"/>
                <w:color w:val="auto"/>
                <w:lang w:eastAsia="zh-CN"/>
              </w:rPr>
            </w:pPr>
            <w:r>
              <w:rPr>
                <w:rFonts w:hint="eastAsia" w:ascii="Times New Roman" w:hAnsi="Times New Roman" w:cs="Times New Roman"/>
                <w:color w:val="auto"/>
                <w:lang w:eastAsia="zh-CN"/>
              </w:rPr>
              <w:t>综上所述，根据项目环境风险评价分析，主要的风险来自泄露和火灾爆炸事故。本环评要求企业必须加强安全管理，严格落实环评报告提出的风险防范措施和应急措施。经采取环评报告提出的风险防范措施和应急预案后，项目建成后全厂的环境风险在可控制和承受的范围之内。</w:t>
            </w:r>
          </w:p>
          <w:p w14:paraId="09986F16">
            <w:pPr>
              <w:pStyle w:val="118"/>
              <w:adjustRightInd w:val="0"/>
              <w:snapToGrid w:val="0"/>
              <w:spacing w:line="360" w:lineRule="auto"/>
              <w:ind w:firstLine="480" w:firstLineChars="200"/>
              <w:rPr>
                <w:rFonts w:hint="eastAsia" w:ascii="Times New Roman" w:hAnsi="Times New Roman" w:cs="Times New Roman"/>
                <w:color w:val="auto"/>
                <w:lang w:eastAsia="zh-CN"/>
              </w:rPr>
            </w:pPr>
          </w:p>
          <w:p w14:paraId="043AFABC">
            <w:pPr>
              <w:pStyle w:val="118"/>
              <w:adjustRightInd w:val="0"/>
              <w:snapToGrid w:val="0"/>
              <w:spacing w:line="360" w:lineRule="auto"/>
              <w:ind w:firstLine="480" w:firstLineChars="200"/>
              <w:rPr>
                <w:rFonts w:hint="eastAsia" w:ascii="Times New Roman" w:hAnsi="Times New Roman" w:cs="Times New Roman"/>
                <w:color w:val="auto"/>
                <w:lang w:eastAsia="zh-CN"/>
              </w:rPr>
            </w:pPr>
          </w:p>
          <w:p w14:paraId="0AA20631">
            <w:pPr>
              <w:pStyle w:val="118"/>
              <w:adjustRightInd w:val="0"/>
              <w:snapToGrid w:val="0"/>
              <w:spacing w:line="360" w:lineRule="auto"/>
              <w:ind w:firstLine="480" w:firstLineChars="200"/>
              <w:rPr>
                <w:rFonts w:hint="eastAsia" w:ascii="Times New Roman" w:hAnsi="Times New Roman" w:cs="Times New Roman"/>
                <w:color w:val="auto"/>
                <w:lang w:eastAsia="zh-CN"/>
              </w:rPr>
            </w:pPr>
          </w:p>
          <w:p w14:paraId="35075653">
            <w:pPr>
              <w:pStyle w:val="118"/>
              <w:adjustRightInd w:val="0"/>
              <w:snapToGrid w:val="0"/>
              <w:spacing w:line="360" w:lineRule="auto"/>
              <w:ind w:firstLine="480" w:firstLineChars="200"/>
              <w:rPr>
                <w:rFonts w:hint="eastAsia" w:ascii="Times New Roman" w:hAnsi="Times New Roman" w:cs="Times New Roman"/>
                <w:color w:val="auto"/>
                <w:lang w:eastAsia="zh-CN"/>
              </w:rPr>
            </w:pPr>
          </w:p>
          <w:p w14:paraId="0B297A9E">
            <w:pPr>
              <w:pStyle w:val="118"/>
              <w:adjustRightInd w:val="0"/>
              <w:snapToGrid w:val="0"/>
              <w:spacing w:line="360" w:lineRule="auto"/>
              <w:ind w:firstLine="480" w:firstLineChars="200"/>
              <w:rPr>
                <w:rFonts w:hint="eastAsia" w:ascii="Times New Roman" w:hAnsi="Times New Roman" w:cs="Times New Roman"/>
                <w:color w:val="auto"/>
                <w:lang w:eastAsia="zh-CN"/>
              </w:rPr>
            </w:pPr>
          </w:p>
          <w:p w14:paraId="53379D12">
            <w:pPr>
              <w:pStyle w:val="118"/>
              <w:adjustRightInd w:val="0"/>
              <w:snapToGrid w:val="0"/>
              <w:spacing w:line="360" w:lineRule="auto"/>
              <w:ind w:firstLine="480" w:firstLineChars="200"/>
              <w:rPr>
                <w:rFonts w:hint="eastAsia" w:ascii="Times New Roman" w:hAnsi="Times New Roman" w:cs="Times New Roman"/>
                <w:color w:val="auto"/>
                <w:lang w:eastAsia="zh-CN"/>
              </w:rPr>
            </w:pPr>
          </w:p>
          <w:p w14:paraId="723CC5D2">
            <w:pPr>
              <w:pStyle w:val="118"/>
              <w:adjustRightInd w:val="0"/>
              <w:snapToGrid w:val="0"/>
              <w:spacing w:line="360" w:lineRule="auto"/>
              <w:ind w:firstLine="480" w:firstLineChars="200"/>
              <w:rPr>
                <w:rFonts w:hint="eastAsia" w:ascii="Times New Roman" w:hAnsi="Times New Roman" w:cs="Times New Roman"/>
                <w:color w:val="auto"/>
                <w:lang w:eastAsia="zh-CN"/>
              </w:rPr>
            </w:pPr>
          </w:p>
          <w:p w14:paraId="7A6E5A47">
            <w:pPr>
              <w:pStyle w:val="118"/>
              <w:adjustRightInd w:val="0"/>
              <w:snapToGrid w:val="0"/>
              <w:spacing w:line="360" w:lineRule="auto"/>
              <w:ind w:firstLine="480" w:firstLineChars="200"/>
              <w:rPr>
                <w:rFonts w:hint="eastAsia" w:ascii="Times New Roman" w:hAnsi="Times New Roman" w:cs="Times New Roman"/>
                <w:color w:val="auto"/>
                <w:lang w:eastAsia="zh-CN"/>
              </w:rPr>
            </w:pPr>
          </w:p>
          <w:p w14:paraId="2022AA81">
            <w:pPr>
              <w:pStyle w:val="118"/>
              <w:adjustRightInd w:val="0"/>
              <w:snapToGrid w:val="0"/>
              <w:spacing w:line="360" w:lineRule="auto"/>
              <w:ind w:firstLine="480" w:firstLineChars="200"/>
              <w:rPr>
                <w:rFonts w:hint="eastAsia" w:ascii="Times New Roman" w:hAnsi="Times New Roman" w:cs="Times New Roman"/>
                <w:color w:val="auto"/>
                <w:lang w:eastAsia="zh-CN"/>
              </w:rPr>
            </w:pPr>
          </w:p>
          <w:p w14:paraId="4650358E">
            <w:pPr>
              <w:pStyle w:val="118"/>
              <w:adjustRightInd w:val="0"/>
              <w:snapToGrid w:val="0"/>
              <w:spacing w:line="360" w:lineRule="auto"/>
              <w:ind w:firstLine="480" w:firstLineChars="200"/>
              <w:rPr>
                <w:rFonts w:hint="eastAsia" w:ascii="Times New Roman" w:hAnsi="Times New Roman" w:cs="Times New Roman"/>
                <w:color w:val="auto"/>
                <w:lang w:eastAsia="zh-CN"/>
              </w:rPr>
            </w:pPr>
          </w:p>
          <w:p w14:paraId="7BA175A1">
            <w:pPr>
              <w:pStyle w:val="118"/>
              <w:adjustRightInd w:val="0"/>
              <w:snapToGrid w:val="0"/>
              <w:spacing w:line="360" w:lineRule="auto"/>
              <w:ind w:firstLine="480" w:firstLineChars="200"/>
              <w:rPr>
                <w:rFonts w:hint="eastAsia" w:ascii="Times New Roman" w:hAnsi="Times New Roman" w:cs="Times New Roman"/>
                <w:color w:val="auto"/>
                <w:lang w:eastAsia="zh-CN"/>
              </w:rPr>
            </w:pPr>
          </w:p>
          <w:p w14:paraId="7402FB07">
            <w:pPr>
              <w:pStyle w:val="118"/>
              <w:adjustRightInd w:val="0"/>
              <w:snapToGrid w:val="0"/>
              <w:spacing w:line="360" w:lineRule="auto"/>
              <w:ind w:firstLine="480" w:firstLineChars="200"/>
              <w:rPr>
                <w:rFonts w:hint="eastAsia" w:ascii="Times New Roman" w:hAnsi="Times New Roman" w:cs="Times New Roman"/>
                <w:color w:val="auto"/>
                <w:lang w:eastAsia="zh-CN"/>
              </w:rPr>
            </w:pPr>
          </w:p>
          <w:p w14:paraId="64AA4EC5">
            <w:pPr>
              <w:pStyle w:val="118"/>
              <w:adjustRightInd w:val="0"/>
              <w:snapToGrid w:val="0"/>
              <w:spacing w:line="360" w:lineRule="auto"/>
              <w:ind w:firstLine="480" w:firstLineChars="200"/>
              <w:rPr>
                <w:rFonts w:hint="eastAsia" w:ascii="Times New Roman" w:hAnsi="Times New Roman" w:cs="Times New Roman"/>
                <w:color w:val="auto"/>
                <w:lang w:eastAsia="zh-CN"/>
              </w:rPr>
            </w:pPr>
          </w:p>
          <w:p w14:paraId="67FB055B">
            <w:pPr>
              <w:pStyle w:val="118"/>
              <w:adjustRightInd w:val="0"/>
              <w:snapToGrid w:val="0"/>
              <w:spacing w:line="360" w:lineRule="auto"/>
              <w:ind w:firstLine="480" w:firstLineChars="200"/>
              <w:rPr>
                <w:rFonts w:hint="eastAsia" w:ascii="Times New Roman" w:hAnsi="Times New Roman" w:cs="Times New Roman"/>
                <w:color w:val="auto"/>
                <w:lang w:eastAsia="zh-CN"/>
              </w:rPr>
            </w:pPr>
          </w:p>
          <w:p w14:paraId="1BDECC6E">
            <w:pPr>
              <w:pStyle w:val="118"/>
              <w:adjustRightInd w:val="0"/>
              <w:snapToGrid w:val="0"/>
              <w:spacing w:line="360" w:lineRule="auto"/>
              <w:ind w:firstLine="480" w:firstLineChars="200"/>
              <w:rPr>
                <w:rFonts w:hint="eastAsia" w:ascii="Times New Roman" w:hAnsi="Times New Roman" w:cs="Times New Roman"/>
                <w:color w:val="auto"/>
                <w:lang w:eastAsia="zh-CN"/>
              </w:rPr>
            </w:pPr>
          </w:p>
          <w:p w14:paraId="7EAFA3A8">
            <w:pPr>
              <w:pStyle w:val="118"/>
              <w:adjustRightInd w:val="0"/>
              <w:snapToGrid w:val="0"/>
              <w:spacing w:line="360" w:lineRule="auto"/>
              <w:ind w:firstLine="480" w:firstLineChars="200"/>
              <w:rPr>
                <w:rFonts w:hint="eastAsia" w:ascii="Times New Roman" w:hAnsi="Times New Roman" w:cs="Times New Roman"/>
                <w:color w:val="auto"/>
                <w:lang w:eastAsia="zh-CN"/>
              </w:rPr>
            </w:pPr>
          </w:p>
          <w:p w14:paraId="2B6F529B">
            <w:pPr>
              <w:pStyle w:val="118"/>
              <w:adjustRightInd w:val="0"/>
              <w:snapToGrid w:val="0"/>
              <w:spacing w:line="360" w:lineRule="auto"/>
              <w:ind w:firstLine="480" w:firstLineChars="200"/>
              <w:rPr>
                <w:rFonts w:hint="eastAsia" w:ascii="Times New Roman" w:hAnsi="Times New Roman" w:cs="Times New Roman"/>
                <w:color w:val="auto"/>
                <w:lang w:eastAsia="zh-CN"/>
              </w:rPr>
            </w:pPr>
          </w:p>
          <w:p w14:paraId="5C48A17E">
            <w:pPr>
              <w:pStyle w:val="118"/>
              <w:adjustRightInd w:val="0"/>
              <w:snapToGrid w:val="0"/>
              <w:spacing w:line="360" w:lineRule="auto"/>
              <w:ind w:left="0" w:leftChars="0" w:firstLine="0" w:firstLineChars="0"/>
              <w:rPr>
                <w:rFonts w:hint="eastAsia" w:ascii="Times New Roman" w:hAnsi="Times New Roman" w:cs="Times New Roman" w:eastAsiaTheme="minorEastAsia"/>
                <w:color w:val="auto"/>
                <w:kern w:val="0"/>
                <w:sz w:val="24"/>
                <w:highlight w:val="none"/>
                <w:lang w:val="en-US" w:eastAsia="zh-CN"/>
              </w:rPr>
            </w:pPr>
          </w:p>
        </w:tc>
      </w:tr>
    </w:tbl>
    <w:p w14:paraId="39E4387E">
      <w:pPr>
        <w:adjustRightInd w:val="0"/>
        <w:snapToGrid w:val="0"/>
        <w:jc w:val="center"/>
        <w:rPr>
          <w:b/>
          <w:bCs/>
          <w:color w:val="auto"/>
          <w:sz w:val="24"/>
        </w:rPr>
        <w:sectPr>
          <w:footerReference r:id="rId5" w:type="default"/>
          <w:pgSz w:w="11907" w:h="16840"/>
          <w:pgMar w:top="1701" w:right="1531" w:bottom="2127" w:left="1531" w:header="851" w:footer="1531" w:gutter="0"/>
          <w:pgBorders>
            <w:top w:val="none" w:sz="0" w:space="0"/>
            <w:left w:val="none" w:sz="0" w:space="0"/>
            <w:bottom w:val="none" w:sz="0" w:space="0"/>
            <w:right w:val="none" w:sz="0" w:space="0"/>
          </w:pgBorders>
          <w:pgNumType w:fmt="decimal"/>
          <w:cols w:space="720" w:num="1"/>
          <w:docGrid w:linePitch="312" w:charSpace="0"/>
        </w:sectPr>
      </w:pPr>
    </w:p>
    <w:p w14:paraId="4DD3A601">
      <w:pPr>
        <w:pStyle w:val="26"/>
        <w:spacing w:before="0" w:beforeAutospacing="0" w:after="0" w:afterAutospacing="0"/>
        <w:jc w:val="center"/>
        <w:outlineLvl w:val="0"/>
        <w:rPr>
          <w:rFonts w:ascii="Times New Roman" w:hAnsi="Times New Roman"/>
          <w:b/>
          <w:snapToGrid w:val="0"/>
          <w:color w:val="auto"/>
          <w:sz w:val="30"/>
          <w:szCs w:val="30"/>
        </w:rPr>
      </w:pPr>
      <w:bookmarkStart w:id="27" w:name="_Toc7200"/>
      <w:r>
        <w:rPr>
          <w:rFonts w:ascii="Times New Roman" w:hAnsi="Times New Roman"/>
          <w:b/>
          <w:snapToGrid w:val="0"/>
          <w:color w:val="auto"/>
          <w:sz w:val="30"/>
          <w:szCs w:val="30"/>
        </w:rPr>
        <w:t>五、</w:t>
      </w:r>
      <w:bookmarkStart w:id="28" w:name="_Hlk54167917"/>
      <w:r>
        <w:rPr>
          <w:rFonts w:ascii="Times New Roman" w:hAnsi="Times New Roman"/>
          <w:b/>
          <w:snapToGrid w:val="0"/>
          <w:color w:val="auto"/>
          <w:sz w:val="30"/>
          <w:szCs w:val="30"/>
        </w:rPr>
        <w:t>环境保护措施监督检查清单</w:t>
      </w:r>
      <w:bookmarkEnd w:id="27"/>
      <w:bookmarkEnd w:id="28"/>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96"/>
        <w:gridCol w:w="1618"/>
        <w:gridCol w:w="1217"/>
        <w:gridCol w:w="2023"/>
        <w:gridCol w:w="2762"/>
      </w:tblGrid>
      <w:tr w14:paraId="5E7A29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96" w:type="dxa"/>
            <w:tcBorders>
              <w:tl2br w:val="single" w:color="auto" w:sz="4" w:space="0"/>
            </w:tcBorders>
            <w:noWrap/>
          </w:tcPr>
          <w:p w14:paraId="54577802">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630" w:firstLineChars="300"/>
              <w:textAlignment w:val="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内容</w:t>
            </w:r>
          </w:p>
          <w:p w14:paraId="5FF0F32F">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textAlignment w:val="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要素</w:t>
            </w:r>
          </w:p>
        </w:tc>
        <w:tc>
          <w:tcPr>
            <w:tcW w:w="1618" w:type="dxa"/>
            <w:noWrap/>
            <w:vAlign w:val="center"/>
          </w:tcPr>
          <w:p w14:paraId="3C0E4323">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排放口</w:t>
            </w:r>
            <w:r>
              <w:rPr>
                <w:rFonts w:hint="eastAsia" w:cs="Times New Roman" w:eastAsiaTheme="minorEastAsia"/>
                <w:color w:val="auto"/>
                <w:szCs w:val="21"/>
                <w:lang w:eastAsia="zh-CN"/>
              </w:rPr>
              <w:t>（</w:t>
            </w:r>
            <w:r>
              <w:rPr>
                <w:rFonts w:hint="default" w:ascii="Times New Roman" w:hAnsi="Times New Roman" w:cs="Times New Roman" w:eastAsiaTheme="minorEastAsia"/>
                <w:color w:val="auto"/>
                <w:szCs w:val="21"/>
              </w:rPr>
              <w:t>编号、</w:t>
            </w:r>
          </w:p>
          <w:p w14:paraId="3D360BA9">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名称</w:t>
            </w:r>
            <w:r>
              <w:rPr>
                <w:rFonts w:hint="eastAsia" w:cs="Times New Roman" w:eastAsiaTheme="minorEastAsia"/>
                <w:color w:val="auto"/>
                <w:szCs w:val="21"/>
                <w:lang w:eastAsia="zh-CN"/>
              </w:rPr>
              <w:t>）</w:t>
            </w:r>
            <w:r>
              <w:rPr>
                <w:rFonts w:hint="default" w:ascii="Times New Roman" w:hAnsi="Times New Roman" w:cs="Times New Roman" w:eastAsiaTheme="minorEastAsia"/>
                <w:color w:val="auto"/>
                <w:szCs w:val="21"/>
              </w:rPr>
              <w:t>/污染源</w:t>
            </w:r>
          </w:p>
        </w:tc>
        <w:tc>
          <w:tcPr>
            <w:tcW w:w="1217" w:type="dxa"/>
            <w:noWrap/>
            <w:vAlign w:val="center"/>
          </w:tcPr>
          <w:p w14:paraId="795E3814">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污染物项目</w:t>
            </w:r>
          </w:p>
        </w:tc>
        <w:tc>
          <w:tcPr>
            <w:tcW w:w="2023" w:type="dxa"/>
            <w:noWrap/>
            <w:vAlign w:val="center"/>
          </w:tcPr>
          <w:p w14:paraId="4FFD7BFA">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环境保护措施</w:t>
            </w:r>
          </w:p>
        </w:tc>
        <w:tc>
          <w:tcPr>
            <w:tcW w:w="2762" w:type="dxa"/>
            <w:noWrap/>
            <w:vAlign w:val="center"/>
          </w:tcPr>
          <w:p w14:paraId="5007E9BD">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执行标准</w:t>
            </w:r>
          </w:p>
        </w:tc>
      </w:tr>
      <w:tr w14:paraId="04B20F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96" w:type="dxa"/>
            <w:vMerge w:val="restart"/>
            <w:noWrap/>
            <w:vAlign w:val="center"/>
          </w:tcPr>
          <w:p w14:paraId="238DEDAD">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lang w:val="en-US" w:eastAsia="zh-CN"/>
              </w:rPr>
            </w:pPr>
            <w:r>
              <w:rPr>
                <w:rFonts w:hint="eastAsia" w:cs="Times New Roman" w:eastAsiaTheme="minorEastAsia"/>
                <w:color w:val="auto"/>
                <w:szCs w:val="21"/>
                <w:lang w:val="en-US" w:eastAsia="zh-CN"/>
              </w:rPr>
              <w:t>大气环境</w:t>
            </w:r>
          </w:p>
        </w:tc>
        <w:tc>
          <w:tcPr>
            <w:tcW w:w="1618" w:type="dxa"/>
            <w:noWrap/>
            <w:vAlign w:val="center"/>
          </w:tcPr>
          <w:p w14:paraId="23D42C45">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eastAsia" w:cs="Times New Roman" w:eastAsiaTheme="minorEastAsia"/>
                <w:color w:val="auto"/>
                <w:szCs w:val="21"/>
                <w:lang w:val="en-US" w:eastAsia="zh-CN"/>
              </w:rPr>
            </w:pPr>
            <w:r>
              <w:rPr>
                <w:rFonts w:hint="default" w:ascii="Times New Roman" w:hAnsi="Times New Roman" w:cs="Times New Roman" w:eastAsiaTheme="minorEastAsia"/>
                <w:color w:val="auto"/>
                <w:szCs w:val="21"/>
              </w:rPr>
              <w:t>DA00</w:t>
            </w:r>
            <w:r>
              <w:rPr>
                <w:rFonts w:hint="eastAsia" w:cs="Times New Roman" w:eastAsiaTheme="minorEastAsia"/>
                <w:color w:val="auto"/>
                <w:szCs w:val="21"/>
                <w:lang w:val="en-US" w:eastAsia="zh-CN"/>
              </w:rPr>
              <w:t>1</w:t>
            </w:r>
          </w:p>
          <w:p w14:paraId="420D147E">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cs="Times New Roman" w:eastAsiaTheme="minorEastAsia"/>
                <w:color w:val="auto"/>
                <w:szCs w:val="21"/>
                <w:lang w:val="en-US" w:eastAsia="zh-CN"/>
              </w:rPr>
            </w:pPr>
            <w:r>
              <w:rPr>
                <w:rFonts w:hint="eastAsia" w:cs="Times New Roman" w:eastAsiaTheme="minorEastAsia"/>
                <w:color w:val="auto"/>
                <w:szCs w:val="21"/>
                <w:lang w:val="en-US" w:eastAsia="zh-CN"/>
              </w:rPr>
              <w:t>（预处理过程挥发的有机废气）</w:t>
            </w:r>
          </w:p>
        </w:tc>
        <w:tc>
          <w:tcPr>
            <w:tcW w:w="1217" w:type="dxa"/>
            <w:noWrap/>
            <w:vAlign w:val="center"/>
          </w:tcPr>
          <w:p w14:paraId="2907C6C5">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color w:val="auto"/>
                <w:lang w:val="en-US" w:eastAsia="zh-CN"/>
              </w:rPr>
            </w:pPr>
            <w:r>
              <w:rPr>
                <w:rFonts w:hint="eastAsia"/>
                <w:color w:val="auto"/>
                <w:lang w:val="en-US" w:eastAsia="zh-CN"/>
              </w:rPr>
              <w:t>非甲烷总烃</w:t>
            </w:r>
          </w:p>
        </w:tc>
        <w:tc>
          <w:tcPr>
            <w:tcW w:w="2023" w:type="dxa"/>
            <w:noWrap/>
            <w:vAlign w:val="center"/>
          </w:tcPr>
          <w:p w14:paraId="75E5AC49">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snapToGrid w:val="0"/>
                <w:color w:val="auto"/>
                <w:lang w:val="en-US" w:eastAsia="zh-CN"/>
              </w:rPr>
            </w:pPr>
            <w:r>
              <w:rPr>
                <w:rFonts w:hint="eastAsia" w:cs="Times New Roman" w:eastAsiaTheme="minorEastAsia"/>
                <w:snapToGrid w:val="0"/>
                <w:color w:val="auto"/>
                <w:lang w:val="en-US" w:eastAsia="zh-CN"/>
              </w:rPr>
              <w:t>布袋除尘器+15m高排气筒</w:t>
            </w:r>
          </w:p>
        </w:tc>
        <w:tc>
          <w:tcPr>
            <w:tcW w:w="2762" w:type="dxa"/>
            <w:vMerge w:val="restart"/>
            <w:noWrap/>
            <w:vAlign w:val="center"/>
          </w:tcPr>
          <w:p w14:paraId="6FC1DE02">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lang w:val="zh-CN" w:eastAsia="zh-CN"/>
              </w:rPr>
            </w:pPr>
            <w:r>
              <w:rPr>
                <w:rFonts w:hint="eastAsia" w:ascii="Times New Roman" w:hAnsi="Times New Roman" w:cs="Times New Roman" w:eastAsiaTheme="minorEastAsia"/>
                <w:color w:val="auto"/>
                <w:szCs w:val="21"/>
                <w:lang w:val="en-US" w:eastAsia="zh-CN"/>
              </w:rPr>
              <w:t>《大气污染物综合排放标准》（GB16297-1996）表2中二级标准</w:t>
            </w:r>
          </w:p>
        </w:tc>
      </w:tr>
      <w:tr w14:paraId="0F3AB5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96" w:type="dxa"/>
            <w:vMerge w:val="continue"/>
            <w:noWrap/>
            <w:vAlign w:val="center"/>
          </w:tcPr>
          <w:p w14:paraId="2D8E0E58">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eastAsia" w:cs="Times New Roman" w:eastAsiaTheme="minorEastAsia"/>
                <w:color w:val="auto"/>
                <w:szCs w:val="21"/>
                <w:lang w:val="en-US" w:eastAsia="zh-CN"/>
              </w:rPr>
            </w:pPr>
          </w:p>
        </w:tc>
        <w:tc>
          <w:tcPr>
            <w:tcW w:w="1618" w:type="dxa"/>
            <w:noWrap/>
            <w:vAlign w:val="center"/>
          </w:tcPr>
          <w:p w14:paraId="3C82A600">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eastAsia" w:cs="Times New Roman" w:eastAsiaTheme="minorEastAsia"/>
                <w:color w:val="auto"/>
                <w:szCs w:val="21"/>
                <w:lang w:val="en-US" w:eastAsia="zh-CN"/>
              </w:rPr>
            </w:pPr>
            <w:r>
              <w:rPr>
                <w:rFonts w:hint="default" w:ascii="Times New Roman" w:hAnsi="Times New Roman" w:cs="Times New Roman" w:eastAsiaTheme="minorEastAsia"/>
                <w:color w:val="auto"/>
                <w:szCs w:val="21"/>
              </w:rPr>
              <w:t>DA00</w:t>
            </w:r>
            <w:r>
              <w:rPr>
                <w:rFonts w:hint="eastAsia" w:cs="Times New Roman" w:eastAsiaTheme="minorEastAsia"/>
                <w:color w:val="auto"/>
                <w:szCs w:val="21"/>
                <w:lang w:val="en-US" w:eastAsia="zh-CN"/>
              </w:rPr>
              <w:t>1</w:t>
            </w:r>
          </w:p>
          <w:p w14:paraId="58D8084E">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eastAsia" w:cs="Times New Roman" w:eastAsiaTheme="minorEastAsia"/>
                <w:color w:val="auto"/>
                <w:szCs w:val="21"/>
                <w:lang w:val="en-US" w:eastAsia="zh-CN"/>
              </w:rPr>
            </w:pPr>
            <w:r>
              <w:rPr>
                <w:rFonts w:hint="eastAsia" w:cs="Times New Roman" w:eastAsiaTheme="minorEastAsia"/>
                <w:color w:val="auto"/>
                <w:szCs w:val="21"/>
                <w:lang w:val="en-US" w:eastAsia="zh-CN"/>
              </w:rPr>
              <w:t>（切割废气）</w:t>
            </w:r>
          </w:p>
        </w:tc>
        <w:tc>
          <w:tcPr>
            <w:tcW w:w="1217" w:type="dxa"/>
            <w:noWrap/>
            <w:vAlign w:val="center"/>
          </w:tcPr>
          <w:p w14:paraId="47901DDB">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color w:val="auto"/>
                <w:lang w:eastAsia="zh-CN"/>
              </w:rPr>
            </w:pPr>
            <w:r>
              <w:rPr>
                <w:rFonts w:hint="default"/>
                <w:color w:val="auto"/>
                <w:lang w:eastAsia="zh-CN"/>
              </w:rPr>
              <w:t>颗粒物</w:t>
            </w:r>
          </w:p>
        </w:tc>
        <w:tc>
          <w:tcPr>
            <w:tcW w:w="2023" w:type="dxa"/>
            <w:noWrap/>
            <w:vAlign w:val="center"/>
          </w:tcPr>
          <w:p w14:paraId="12EF225F">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eastAsia" w:cs="Times New Roman" w:eastAsiaTheme="minorEastAsia"/>
                <w:snapToGrid w:val="0"/>
                <w:color w:val="auto"/>
                <w:lang w:val="en-US" w:eastAsia="zh-CN"/>
              </w:rPr>
            </w:pPr>
            <w:r>
              <w:rPr>
                <w:rFonts w:hint="eastAsia" w:cs="Times New Roman" w:eastAsiaTheme="minorEastAsia"/>
                <w:snapToGrid w:val="0"/>
                <w:color w:val="auto"/>
                <w:lang w:val="en-US" w:eastAsia="zh-CN"/>
              </w:rPr>
              <w:t>活性炭吸附装置+15m高排气筒</w:t>
            </w:r>
          </w:p>
        </w:tc>
        <w:tc>
          <w:tcPr>
            <w:tcW w:w="2762" w:type="dxa"/>
            <w:vMerge w:val="continue"/>
            <w:noWrap/>
            <w:vAlign w:val="center"/>
          </w:tcPr>
          <w:p w14:paraId="21454858">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cs="Times New Roman" w:eastAsiaTheme="minorEastAsia"/>
                <w:color w:val="auto"/>
                <w:szCs w:val="21"/>
                <w:lang w:val="en-US" w:eastAsia="zh-CN"/>
              </w:rPr>
            </w:pPr>
          </w:p>
        </w:tc>
      </w:tr>
      <w:tr w14:paraId="3C6F70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9" w:hRule="atLeast"/>
          <w:jc w:val="center"/>
        </w:trPr>
        <w:tc>
          <w:tcPr>
            <w:tcW w:w="1396" w:type="dxa"/>
            <w:vMerge w:val="continue"/>
            <w:noWrap/>
            <w:vAlign w:val="center"/>
          </w:tcPr>
          <w:p w14:paraId="4E4E53EC">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p>
        </w:tc>
        <w:tc>
          <w:tcPr>
            <w:tcW w:w="1618" w:type="dxa"/>
            <w:noWrap/>
            <w:vAlign w:val="center"/>
          </w:tcPr>
          <w:p w14:paraId="6FF4B880">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eastAsia"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DA002</w:t>
            </w:r>
          </w:p>
          <w:p w14:paraId="783BC77D">
            <w:pPr>
              <w:pStyle w:val="42"/>
              <w:rPr>
                <w:rFonts w:hint="default"/>
                <w:color w:val="auto"/>
                <w:sz w:val="21"/>
                <w:szCs w:val="21"/>
                <w:lang w:val="en-US" w:eastAsia="zh-CN"/>
              </w:rPr>
            </w:pPr>
            <w:r>
              <w:rPr>
                <w:rFonts w:hint="eastAsia" w:cs="Times New Roman" w:eastAsiaTheme="minorEastAsia"/>
                <w:color w:val="auto"/>
                <w:sz w:val="21"/>
                <w:szCs w:val="21"/>
                <w:lang w:val="en-US" w:eastAsia="zh-CN"/>
              </w:rPr>
              <w:t>（锅炉房）</w:t>
            </w:r>
          </w:p>
        </w:tc>
        <w:tc>
          <w:tcPr>
            <w:tcW w:w="1217" w:type="dxa"/>
            <w:noWrap/>
            <w:vAlign w:val="center"/>
          </w:tcPr>
          <w:p w14:paraId="7FF46C8C">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eastAsia"/>
                <w:color w:val="auto"/>
                <w:sz w:val="21"/>
                <w:szCs w:val="21"/>
                <w:lang w:val="en-US" w:eastAsia="zh-CN"/>
              </w:rPr>
            </w:pPr>
            <w:r>
              <w:rPr>
                <w:rFonts w:hint="default" w:ascii="Times New Roman" w:hAnsi="Times New Roman" w:cs="Times New Roman" w:eastAsiaTheme="minorEastAsia"/>
                <w:color w:val="auto"/>
                <w:sz w:val="21"/>
                <w:szCs w:val="21"/>
                <w:highlight w:val="none"/>
              </w:rPr>
              <w:t>颗粒物</w:t>
            </w:r>
            <w:r>
              <w:rPr>
                <w:rFonts w:hint="default" w:ascii="Times New Roman" w:hAnsi="Times New Roman"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lang w:val="en-US" w:eastAsia="zh-CN"/>
              </w:rPr>
              <w:t>SO</w:t>
            </w:r>
            <w:r>
              <w:rPr>
                <w:rFonts w:hint="default" w:ascii="Times New Roman" w:hAnsi="Times New Roman" w:cs="Times New Roman" w:eastAsiaTheme="minorEastAsia"/>
                <w:color w:val="auto"/>
                <w:sz w:val="21"/>
                <w:szCs w:val="21"/>
                <w:highlight w:val="none"/>
                <w:vertAlign w:val="subscript"/>
                <w:lang w:val="en-US" w:eastAsia="zh-CN"/>
              </w:rPr>
              <w:t>2</w:t>
            </w:r>
            <w:r>
              <w:rPr>
                <w:rFonts w:hint="default" w:ascii="Times New Roman" w:hAnsi="Times New Roman"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lang w:val="en-US" w:eastAsia="zh-CN"/>
              </w:rPr>
              <w:t>NO</w:t>
            </w:r>
            <w:r>
              <w:rPr>
                <w:rFonts w:hint="eastAsia" w:ascii="Times New Roman" w:hAnsi="Times New Roman" w:cs="Times New Roman" w:eastAsiaTheme="minorEastAsia"/>
                <w:color w:val="auto"/>
                <w:sz w:val="21"/>
                <w:szCs w:val="21"/>
                <w:highlight w:val="none"/>
                <w:lang w:val="en-US" w:eastAsia="zh-CN"/>
              </w:rPr>
              <w:t>x、烟气黑度</w:t>
            </w:r>
          </w:p>
        </w:tc>
        <w:tc>
          <w:tcPr>
            <w:tcW w:w="2023" w:type="dxa"/>
            <w:noWrap/>
            <w:vAlign w:val="center"/>
          </w:tcPr>
          <w:p w14:paraId="32EE506F">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cs="Times New Roman" w:eastAsiaTheme="minorEastAsia"/>
                <w:snapToGrid w:val="0"/>
                <w:color w:val="auto"/>
                <w:lang w:val="en-US" w:eastAsia="zh-CN"/>
              </w:rPr>
            </w:pPr>
            <w:r>
              <w:rPr>
                <w:rFonts w:hint="eastAsia" w:cs="Times New Roman" w:eastAsiaTheme="minorEastAsia"/>
                <w:snapToGrid w:val="0"/>
                <w:color w:val="auto"/>
                <w:lang w:val="en-US" w:eastAsia="zh-CN"/>
              </w:rPr>
              <w:t>旋风除尘器+布袋除尘器+30m高烟囱</w:t>
            </w:r>
          </w:p>
        </w:tc>
        <w:tc>
          <w:tcPr>
            <w:tcW w:w="2762" w:type="dxa"/>
            <w:noWrap/>
            <w:vAlign w:val="center"/>
          </w:tcPr>
          <w:p w14:paraId="417FEF7B">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eastAsia" w:cs="Times New Roman" w:eastAsiaTheme="minorEastAsia"/>
                <w:snapToGrid w:val="0"/>
                <w:color w:val="auto"/>
                <w:lang w:val="en-US" w:eastAsia="zh-CN"/>
              </w:rPr>
            </w:pPr>
            <w:r>
              <w:rPr>
                <w:rFonts w:hint="eastAsia" w:cs="Times New Roman" w:eastAsiaTheme="minorEastAsia"/>
                <w:snapToGrid w:val="0"/>
                <w:color w:val="auto"/>
                <w:lang w:val="en-US" w:eastAsia="zh-CN"/>
              </w:rPr>
              <w:t>《锅炉大气污染物排放标准》（GB13271-2014）表2标准限值要求</w:t>
            </w:r>
          </w:p>
        </w:tc>
      </w:tr>
      <w:tr w14:paraId="3DF535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9" w:hRule="atLeast"/>
          <w:jc w:val="center"/>
        </w:trPr>
        <w:tc>
          <w:tcPr>
            <w:tcW w:w="1396" w:type="dxa"/>
            <w:vMerge w:val="continue"/>
            <w:noWrap/>
            <w:vAlign w:val="center"/>
          </w:tcPr>
          <w:p w14:paraId="710443C6">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p>
        </w:tc>
        <w:tc>
          <w:tcPr>
            <w:tcW w:w="1618" w:type="dxa"/>
            <w:noWrap/>
            <w:vAlign w:val="center"/>
          </w:tcPr>
          <w:p w14:paraId="336FB0E1">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cs="Times New Roman" w:eastAsiaTheme="minorEastAsia"/>
                <w:color w:val="auto"/>
                <w:szCs w:val="21"/>
                <w:lang w:val="en-US" w:eastAsia="zh-CN"/>
              </w:rPr>
            </w:pPr>
            <w:r>
              <w:rPr>
                <w:rFonts w:hint="eastAsia" w:cs="Times New Roman" w:eastAsiaTheme="minorEastAsia"/>
                <w:color w:val="auto"/>
                <w:szCs w:val="21"/>
                <w:lang w:val="en-US" w:eastAsia="zh-CN"/>
              </w:rPr>
              <w:t>厂房外</w:t>
            </w:r>
          </w:p>
        </w:tc>
        <w:tc>
          <w:tcPr>
            <w:tcW w:w="1217" w:type="dxa"/>
            <w:noWrap/>
            <w:vAlign w:val="center"/>
          </w:tcPr>
          <w:p w14:paraId="26CB815F">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color w:val="auto"/>
                <w:lang w:val="en-US" w:eastAsia="zh-CN"/>
              </w:rPr>
            </w:pPr>
            <w:r>
              <w:rPr>
                <w:rFonts w:hint="eastAsia"/>
                <w:color w:val="auto"/>
                <w:lang w:val="en-US" w:eastAsia="zh-CN"/>
              </w:rPr>
              <w:t>非甲烷总烃</w:t>
            </w:r>
          </w:p>
        </w:tc>
        <w:tc>
          <w:tcPr>
            <w:tcW w:w="2023" w:type="dxa"/>
            <w:noWrap/>
            <w:vAlign w:val="center"/>
          </w:tcPr>
          <w:p w14:paraId="56337142">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snapToGrid w:val="0"/>
                <w:color w:val="auto"/>
                <w:highlight w:val="none"/>
                <w:lang w:val="en-US" w:eastAsia="zh-CN"/>
              </w:rPr>
            </w:pPr>
            <w:r>
              <w:rPr>
                <w:rFonts w:hint="eastAsia" w:cs="Times New Roman" w:eastAsiaTheme="minorEastAsia"/>
                <w:snapToGrid w:val="0"/>
                <w:color w:val="auto"/>
                <w:highlight w:val="none"/>
                <w:lang w:val="en-US" w:eastAsia="zh-CN"/>
              </w:rPr>
              <w:t>自然通风</w:t>
            </w:r>
          </w:p>
        </w:tc>
        <w:tc>
          <w:tcPr>
            <w:tcW w:w="2762" w:type="dxa"/>
            <w:noWrap/>
            <w:vAlign w:val="center"/>
          </w:tcPr>
          <w:p w14:paraId="7DFF9B17">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cs="Times New Roman" w:eastAsiaTheme="minorEastAsia"/>
                <w:color w:val="auto"/>
                <w:szCs w:val="21"/>
                <w:lang w:val="en-US" w:eastAsia="zh-CN"/>
              </w:rPr>
            </w:pPr>
            <w:r>
              <w:rPr>
                <w:rFonts w:hint="eastAsia" w:ascii="Times New Roman" w:eastAsia="宋体"/>
                <w:color w:val="auto"/>
                <w:kern w:val="2"/>
                <w:sz w:val="21"/>
                <w:szCs w:val="21"/>
              </w:rPr>
              <w:t>《挥发性有机物无组织排放控制标准》（GB37822-2019）附录A厂区内无组织排放限值</w:t>
            </w:r>
          </w:p>
        </w:tc>
      </w:tr>
      <w:tr w14:paraId="6FB2D0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9" w:hRule="atLeast"/>
          <w:jc w:val="center"/>
        </w:trPr>
        <w:tc>
          <w:tcPr>
            <w:tcW w:w="1396" w:type="dxa"/>
            <w:vMerge w:val="continue"/>
            <w:noWrap/>
            <w:vAlign w:val="center"/>
          </w:tcPr>
          <w:p w14:paraId="00754B8F">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p>
        </w:tc>
        <w:tc>
          <w:tcPr>
            <w:tcW w:w="1618" w:type="dxa"/>
            <w:noWrap/>
            <w:vAlign w:val="center"/>
          </w:tcPr>
          <w:p w14:paraId="77CBB43D">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lang w:val="en-US" w:eastAsia="zh-CN"/>
              </w:rPr>
            </w:pPr>
            <w:r>
              <w:rPr>
                <w:rFonts w:hint="eastAsia" w:cs="Times New Roman" w:eastAsiaTheme="minorEastAsia"/>
                <w:color w:val="auto"/>
                <w:szCs w:val="21"/>
                <w:lang w:val="en-US" w:eastAsia="zh-CN"/>
              </w:rPr>
              <w:t>厂界</w:t>
            </w:r>
          </w:p>
        </w:tc>
        <w:tc>
          <w:tcPr>
            <w:tcW w:w="1217" w:type="dxa"/>
            <w:noWrap/>
            <w:vAlign w:val="center"/>
          </w:tcPr>
          <w:p w14:paraId="7FFB621F">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eastAsia" w:cs="Times New Roman" w:eastAsiaTheme="minorEastAsia"/>
                <w:color w:val="auto"/>
                <w:szCs w:val="21"/>
                <w:highlight w:val="none"/>
                <w:lang w:val="en-US" w:eastAsia="zh-CN"/>
              </w:rPr>
            </w:pPr>
            <w:r>
              <w:rPr>
                <w:rFonts w:hint="default"/>
                <w:color w:val="auto"/>
                <w:lang w:eastAsia="zh-CN"/>
              </w:rPr>
              <w:t>颗粒物</w:t>
            </w:r>
            <w:r>
              <w:rPr>
                <w:rFonts w:hint="eastAsia"/>
                <w:color w:val="auto"/>
                <w:lang w:eastAsia="zh-CN"/>
              </w:rPr>
              <w:t>、</w:t>
            </w:r>
            <w:r>
              <w:rPr>
                <w:rFonts w:hint="eastAsia"/>
                <w:color w:val="auto"/>
                <w:lang w:val="en-US" w:eastAsia="zh-CN"/>
              </w:rPr>
              <w:t>非甲烷总烃</w:t>
            </w:r>
          </w:p>
        </w:tc>
        <w:tc>
          <w:tcPr>
            <w:tcW w:w="2023" w:type="dxa"/>
            <w:noWrap/>
            <w:vAlign w:val="center"/>
          </w:tcPr>
          <w:p w14:paraId="541D8E54">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cs="Times New Roman" w:eastAsiaTheme="minorEastAsia"/>
                <w:snapToGrid w:val="0"/>
                <w:color w:val="auto"/>
                <w:highlight w:val="none"/>
                <w:lang w:val="en-US" w:eastAsia="zh-CN"/>
              </w:rPr>
            </w:pPr>
            <w:r>
              <w:rPr>
                <w:rFonts w:hint="eastAsia" w:cs="Times New Roman" w:eastAsiaTheme="minorEastAsia"/>
                <w:snapToGrid w:val="0"/>
                <w:color w:val="auto"/>
                <w:highlight w:val="none"/>
                <w:lang w:val="en-US" w:eastAsia="zh-CN"/>
              </w:rPr>
              <w:t>自然通风</w:t>
            </w:r>
          </w:p>
        </w:tc>
        <w:tc>
          <w:tcPr>
            <w:tcW w:w="2762" w:type="dxa"/>
            <w:noWrap/>
            <w:vAlign w:val="center"/>
          </w:tcPr>
          <w:p w14:paraId="7F416397">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cs="Times New Roman" w:eastAsiaTheme="minorEastAsia"/>
                <w:color w:val="auto"/>
                <w:szCs w:val="21"/>
                <w:lang w:val="en-US" w:eastAsia="zh-CN"/>
              </w:rPr>
            </w:pPr>
            <w:r>
              <w:rPr>
                <w:rFonts w:hint="eastAsia" w:ascii="Times New Roman" w:hAnsi="Times New Roman" w:cs="Times New Roman" w:eastAsiaTheme="minorEastAsia"/>
                <w:color w:val="auto"/>
                <w:szCs w:val="21"/>
                <w:lang w:val="en-US" w:eastAsia="zh-CN"/>
              </w:rPr>
              <w:t>《大气污染物综合排放标准》（GB16297-1996）表2中无组织排放标准限值</w:t>
            </w:r>
          </w:p>
        </w:tc>
      </w:tr>
      <w:tr w14:paraId="0C2C5B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9" w:hRule="atLeast"/>
          <w:jc w:val="center"/>
        </w:trPr>
        <w:tc>
          <w:tcPr>
            <w:tcW w:w="1396" w:type="dxa"/>
            <w:vMerge w:val="restart"/>
            <w:noWrap/>
            <w:vAlign w:val="center"/>
          </w:tcPr>
          <w:p w14:paraId="0645BEC7">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地表水环境</w:t>
            </w:r>
          </w:p>
        </w:tc>
        <w:tc>
          <w:tcPr>
            <w:tcW w:w="1618" w:type="dxa"/>
            <w:noWrap/>
            <w:vAlign w:val="center"/>
          </w:tcPr>
          <w:p w14:paraId="780DE9DD">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cs="Times New Roman" w:eastAsiaTheme="minorEastAsia"/>
                <w:color w:val="auto"/>
                <w:kern w:val="2"/>
                <w:sz w:val="21"/>
                <w:szCs w:val="21"/>
                <w:lang w:val="en-US" w:eastAsia="zh-CN" w:bidi="ar-SA"/>
              </w:rPr>
              <w:t>生活污水、锅炉排污水、软化水制备废水</w:t>
            </w:r>
          </w:p>
        </w:tc>
        <w:tc>
          <w:tcPr>
            <w:tcW w:w="1217" w:type="dxa"/>
            <w:noWrap/>
            <w:vAlign w:val="center"/>
          </w:tcPr>
          <w:p w14:paraId="1446B265">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snapToGrid w:val="0"/>
                <w:color w:val="auto"/>
                <w:kern w:val="2"/>
                <w:sz w:val="21"/>
                <w:szCs w:val="21"/>
                <w:highlight w:val="none"/>
                <w:lang w:val="en-US" w:eastAsia="zh-CN" w:bidi="ar-SA"/>
              </w:rPr>
            </w:pPr>
            <w:r>
              <w:rPr>
                <w:rFonts w:hint="eastAsia" w:cs="Times New Roman" w:eastAsiaTheme="minorEastAsia"/>
                <w:snapToGrid w:val="0"/>
                <w:color w:val="auto"/>
                <w:kern w:val="2"/>
                <w:sz w:val="21"/>
                <w:szCs w:val="21"/>
                <w:highlight w:val="none"/>
                <w:lang w:val="en-US" w:eastAsia="zh-CN" w:bidi="ar-SA"/>
              </w:rPr>
              <w:t>COD、BOD</w:t>
            </w:r>
            <w:r>
              <w:rPr>
                <w:rFonts w:hint="eastAsia" w:cs="Times New Roman" w:eastAsiaTheme="minorEastAsia"/>
                <w:snapToGrid w:val="0"/>
                <w:color w:val="auto"/>
                <w:kern w:val="2"/>
                <w:sz w:val="21"/>
                <w:szCs w:val="21"/>
                <w:highlight w:val="none"/>
                <w:vertAlign w:val="subscript"/>
                <w:lang w:val="en-US" w:eastAsia="zh-CN" w:bidi="ar-SA"/>
              </w:rPr>
              <w:t>5</w:t>
            </w:r>
            <w:r>
              <w:rPr>
                <w:rFonts w:hint="eastAsia" w:cs="Times New Roman" w:eastAsiaTheme="minorEastAsia"/>
                <w:snapToGrid w:val="0"/>
                <w:color w:val="auto"/>
                <w:kern w:val="2"/>
                <w:sz w:val="21"/>
                <w:szCs w:val="21"/>
                <w:highlight w:val="none"/>
                <w:lang w:val="en-US" w:eastAsia="zh-CN" w:bidi="ar-SA"/>
              </w:rPr>
              <w:t>、SS、氨氮</w:t>
            </w:r>
          </w:p>
        </w:tc>
        <w:tc>
          <w:tcPr>
            <w:tcW w:w="2023" w:type="dxa"/>
            <w:noWrap/>
            <w:vAlign w:val="center"/>
          </w:tcPr>
          <w:p w14:paraId="48042812">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i w:val="0"/>
                <w:iCs w:val="0"/>
                <w:caps w:val="0"/>
                <w:color w:val="auto"/>
                <w:spacing w:val="0"/>
                <w:sz w:val="21"/>
                <w:szCs w:val="21"/>
                <w:lang w:val="en-US" w:eastAsia="zh-CN"/>
              </w:rPr>
            </w:pPr>
            <w:r>
              <w:rPr>
                <w:rFonts w:hint="eastAsia" w:cs="Times New Roman"/>
                <w:i w:val="0"/>
                <w:iCs w:val="0"/>
                <w:caps w:val="0"/>
                <w:color w:val="auto"/>
                <w:spacing w:val="0"/>
                <w:sz w:val="21"/>
                <w:szCs w:val="21"/>
                <w:lang w:val="en-US" w:eastAsia="zh-CN"/>
              </w:rPr>
              <w:t>排入市政管网，进入鸡西市鸡冠区污水处理厂</w:t>
            </w:r>
          </w:p>
        </w:tc>
        <w:tc>
          <w:tcPr>
            <w:tcW w:w="2762" w:type="dxa"/>
            <w:vMerge w:val="restart"/>
            <w:noWrap/>
            <w:vAlign w:val="center"/>
          </w:tcPr>
          <w:p w14:paraId="1CB19589">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i w:val="0"/>
                <w:iCs w:val="0"/>
                <w:caps w:val="0"/>
                <w:color w:val="auto"/>
                <w:spacing w:val="0"/>
                <w:sz w:val="21"/>
                <w:szCs w:val="21"/>
                <w:lang w:val="en-US" w:eastAsia="zh-CN"/>
              </w:rPr>
            </w:pPr>
            <w:r>
              <w:rPr>
                <w:rFonts w:hint="eastAsia" w:ascii="Times New Roman" w:hAnsi="Times New Roman" w:cs="Times New Roman" w:eastAsiaTheme="minorEastAsia"/>
                <w:color w:val="auto"/>
                <w:szCs w:val="21"/>
                <w:lang w:val="en-US" w:eastAsia="zh-CN"/>
              </w:rPr>
              <w:t>《污水综合排放标准》（GB8978-1996）中表4三级排放标准</w:t>
            </w:r>
          </w:p>
        </w:tc>
      </w:tr>
      <w:tr w14:paraId="2EFB74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96" w:type="dxa"/>
            <w:vMerge w:val="continue"/>
            <w:noWrap/>
            <w:vAlign w:val="center"/>
          </w:tcPr>
          <w:p w14:paraId="5F56B4DB">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p>
        </w:tc>
        <w:tc>
          <w:tcPr>
            <w:tcW w:w="1618" w:type="dxa"/>
            <w:noWrap/>
            <w:vAlign w:val="center"/>
          </w:tcPr>
          <w:p w14:paraId="47C06B26">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eastAsia="宋体"/>
                <w:color w:val="auto"/>
                <w:lang w:val="en-US" w:eastAsia="zh-CN"/>
              </w:rPr>
            </w:pPr>
            <w:r>
              <w:rPr>
                <w:rFonts w:hint="eastAsia"/>
                <w:color w:val="auto"/>
                <w:lang w:val="en-US" w:eastAsia="zh-CN"/>
              </w:rPr>
              <w:t>初期雨水</w:t>
            </w:r>
          </w:p>
        </w:tc>
        <w:tc>
          <w:tcPr>
            <w:tcW w:w="1217" w:type="dxa"/>
            <w:noWrap/>
            <w:vAlign w:val="center"/>
          </w:tcPr>
          <w:p w14:paraId="633D1CF1">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i w:val="0"/>
                <w:iCs w:val="0"/>
                <w:caps w:val="0"/>
                <w:color w:val="auto"/>
                <w:spacing w:val="0"/>
                <w:sz w:val="21"/>
                <w:szCs w:val="21"/>
                <w:lang w:val="en-US"/>
              </w:rPr>
            </w:pPr>
            <w:r>
              <w:rPr>
                <w:rFonts w:hint="eastAsia" w:cs="Times New Roman" w:eastAsiaTheme="minorEastAsia"/>
                <w:snapToGrid w:val="0"/>
                <w:color w:val="auto"/>
                <w:kern w:val="2"/>
                <w:sz w:val="21"/>
                <w:szCs w:val="21"/>
                <w:highlight w:val="none"/>
                <w:lang w:val="en-US" w:eastAsia="zh-CN" w:bidi="ar-SA"/>
              </w:rPr>
              <w:t>COD、SS、氨氮、石油类</w:t>
            </w:r>
          </w:p>
        </w:tc>
        <w:tc>
          <w:tcPr>
            <w:tcW w:w="2023" w:type="dxa"/>
            <w:noWrap/>
            <w:vAlign w:val="center"/>
          </w:tcPr>
          <w:p w14:paraId="5A8AB62B">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i w:val="0"/>
                <w:iCs w:val="0"/>
                <w:caps w:val="0"/>
                <w:color w:val="auto"/>
                <w:spacing w:val="0"/>
                <w:sz w:val="21"/>
                <w:szCs w:val="21"/>
                <w:lang w:val="en-US" w:eastAsia="zh-CN"/>
              </w:rPr>
            </w:pPr>
            <w:r>
              <w:rPr>
                <w:rFonts w:hint="eastAsia" w:cs="Times New Roman"/>
                <w:i w:val="0"/>
                <w:iCs w:val="0"/>
                <w:caps w:val="0"/>
                <w:color w:val="auto"/>
                <w:spacing w:val="0"/>
                <w:sz w:val="21"/>
                <w:szCs w:val="21"/>
                <w:lang w:val="en-US" w:eastAsia="zh-CN"/>
              </w:rPr>
              <w:t>经一体化油水分离装置处理后，排入市政管网，进入鸡西市鸡冠区污水处理厂</w:t>
            </w:r>
          </w:p>
        </w:tc>
        <w:tc>
          <w:tcPr>
            <w:tcW w:w="2762" w:type="dxa"/>
            <w:vMerge w:val="continue"/>
            <w:noWrap/>
            <w:vAlign w:val="center"/>
          </w:tcPr>
          <w:p w14:paraId="09B2DC73">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i w:val="0"/>
                <w:iCs w:val="0"/>
                <w:caps w:val="0"/>
                <w:color w:val="auto"/>
                <w:spacing w:val="0"/>
                <w:sz w:val="21"/>
                <w:szCs w:val="21"/>
                <w:lang w:val="en-US" w:eastAsia="zh-CN"/>
              </w:rPr>
            </w:pPr>
          </w:p>
        </w:tc>
      </w:tr>
      <w:tr w14:paraId="44B7D5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9" w:hRule="atLeast"/>
          <w:jc w:val="center"/>
        </w:trPr>
        <w:tc>
          <w:tcPr>
            <w:tcW w:w="1396" w:type="dxa"/>
            <w:noWrap/>
            <w:vAlign w:val="center"/>
          </w:tcPr>
          <w:p w14:paraId="30311EBC">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声环境</w:t>
            </w:r>
          </w:p>
        </w:tc>
        <w:tc>
          <w:tcPr>
            <w:tcW w:w="1618" w:type="dxa"/>
            <w:noWrap/>
            <w:vAlign w:val="center"/>
          </w:tcPr>
          <w:p w14:paraId="0C913320">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设备噪声</w:t>
            </w:r>
          </w:p>
        </w:tc>
        <w:tc>
          <w:tcPr>
            <w:tcW w:w="1217" w:type="dxa"/>
            <w:noWrap/>
            <w:vAlign w:val="center"/>
          </w:tcPr>
          <w:p w14:paraId="31974EBA">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bCs/>
                <w:color w:val="auto"/>
                <w:szCs w:val="21"/>
                <w:lang w:val="zh-CN"/>
              </w:rPr>
              <w:t>L</w:t>
            </w:r>
            <w:r>
              <w:rPr>
                <w:rFonts w:hint="default" w:ascii="Times New Roman" w:hAnsi="Times New Roman" w:cs="Times New Roman" w:eastAsiaTheme="minorEastAsia"/>
                <w:bCs/>
                <w:color w:val="auto"/>
                <w:szCs w:val="21"/>
                <w:vertAlign w:val="subscript"/>
                <w:lang w:val="zh-CN"/>
              </w:rPr>
              <w:t>Aeq</w:t>
            </w:r>
          </w:p>
        </w:tc>
        <w:tc>
          <w:tcPr>
            <w:tcW w:w="2023" w:type="dxa"/>
            <w:noWrap/>
            <w:vAlign w:val="center"/>
          </w:tcPr>
          <w:p w14:paraId="24C630CC">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bCs/>
                <w:color w:val="auto"/>
                <w:szCs w:val="21"/>
              </w:rPr>
              <w:t>隔声、减振垫等降噪措施</w:t>
            </w:r>
          </w:p>
        </w:tc>
        <w:tc>
          <w:tcPr>
            <w:tcW w:w="2762" w:type="dxa"/>
            <w:noWrap/>
            <w:vAlign w:val="center"/>
          </w:tcPr>
          <w:p w14:paraId="24A50FB3">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《工业企业厂界环境噪声排放标准》</w:t>
            </w:r>
            <w:r>
              <w:rPr>
                <w:rFonts w:hint="eastAsia" w:cs="Times New Roman" w:eastAsiaTheme="minorEastAsia"/>
                <w:color w:val="auto"/>
                <w:szCs w:val="21"/>
                <w:lang w:eastAsia="zh-CN"/>
              </w:rPr>
              <w:t>（</w:t>
            </w:r>
            <w:r>
              <w:rPr>
                <w:rFonts w:hint="default" w:ascii="Times New Roman" w:hAnsi="Times New Roman" w:cs="Times New Roman" w:eastAsiaTheme="minorEastAsia"/>
                <w:color w:val="auto"/>
                <w:szCs w:val="21"/>
              </w:rPr>
              <w:t>GB12348-2008</w:t>
            </w:r>
            <w:r>
              <w:rPr>
                <w:rFonts w:hint="eastAsia" w:cs="Times New Roman" w:eastAsiaTheme="minorEastAsia"/>
                <w:color w:val="auto"/>
                <w:szCs w:val="21"/>
                <w:lang w:eastAsia="zh-CN"/>
              </w:rPr>
              <w:t>）</w:t>
            </w:r>
            <w:r>
              <w:rPr>
                <w:rFonts w:hint="default" w:ascii="Times New Roman" w:hAnsi="Times New Roman" w:cs="Times New Roman" w:eastAsiaTheme="minorEastAsia"/>
                <w:color w:val="auto"/>
                <w:szCs w:val="21"/>
              </w:rPr>
              <w:t>中</w:t>
            </w:r>
            <w:r>
              <w:rPr>
                <w:rFonts w:hint="eastAsia" w:cs="Times New Roman" w:eastAsiaTheme="minorEastAsia"/>
                <w:color w:val="auto"/>
                <w:szCs w:val="21"/>
                <w:lang w:val="en-US" w:eastAsia="zh-CN"/>
              </w:rPr>
              <w:t>2</w:t>
            </w:r>
            <w:r>
              <w:rPr>
                <w:rFonts w:hint="default" w:ascii="Times New Roman" w:hAnsi="Times New Roman" w:cs="Times New Roman" w:eastAsiaTheme="minorEastAsia"/>
                <w:color w:val="auto"/>
                <w:szCs w:val="21"/>
              </w:rPr>
              <w:t>类标准</w:t>
            </w:r>
          </w:p>
        </w:tc>
      </w:tr>
      <w:tr w14:paraId="616BD8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1396" w:type="dxa"/>
            <w:noWrap/>
            <w:vAlign w:val="center"/>
          </w:tcPr>
          <w:p w14:paraId="0D9DBCEF">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r>
              <w:rPr>
                <w:rFonts w:hint="default" w:ascii="Times New Roman" w:hAnsi="Times New Roman" w:cs="Times New Roman"/>
                <w:color w:val="auto"/>
                <w:szCs w:val="21"/>
              </w:rPr>
              <w:t>电磁辐射</w:t>
            </w:r>
          </w:p>
        </w:tc>
        <w:tc>
          <w:tcPr>
            <w:tcW w:w="1618" w:type="dxa"/>
            <w:noWrap/>
            <w:vAlign w:val="center"/>
          </w:tcPr>
          <w:p w14:paraId="58DF3925">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r>
              <w:rPr>
                <w:rFonts w:hint="default" w:ascii="Times New Roman" w:hAnsi="Times New Roman" w:cs="Times New Roman"/>
                <w:color w:val="auto"/>
                <w:szCs w:val="21"/>
              </w:rPr>
              <w:t>/</w:t>
            </w:r>
          </w:p>
        </w:tc>
        <w:tc>
          <w:tcPr>
            <w:tcW w:w="1217" w:type="dxa"/>
            <w:noWrap/>
            <w:vAlign w:val="center"/>
          </w:tcPr>
          <w:p w14:paraId="6AC6DB89">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bCs/>
                <w:color w:val="auto"/>
                <w:szCs w:val="21"/>
                <w:lang w:val="zh-CN"/>
              </w:rPr>
            </w:pPr>
            <w:r>
              <w:rPr>
                <w:rFonts w:hint="default" w:ascii="Times New Roman" w:hAnsi="Times New Roman" w:cs="Times New Roman"/>
                <w:color w:val="auto"/>
                <w:szCs w:val="21"/>
              </w:rPr>
              <w:t>/</w:t>
            </w:r>
          </w:p>
        </w:tc>
        <w:tc>
          <w:tcPr>
            <w:tcW w:w="2023" w:type="dxa"/>
            <w:noWrap/>
            <w:vAlign w:val="center"/>
          </w:tcPr>
          <w:p w14:paraId="75BC8B90">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bCs/>
                <w:color w:val="auto"/>
                <w:szCs w:val="21"/>
              </w:rPr>
            </w:pPr>
            <w:r>
              <w:rPr>
                <w:rFonts w:hint="default" w:ascii="Times New Roman" w:hAnsi="Times New Roman" w:cs="Times New Roman"/>
                <w:color w:val="auto"/>
                <w:szCs w:val="21"/>
              </w:rPr>
              <w:t>/</w:t>
            </w:r>
          </w:p>
        </w:tc>
        <w:tc>
          <w:tcPr>
            <w:tcW w:w="2762" w:type="dxa"/>
            <w:noWrap/>
            <w:vAlign w:val="center"/>
          </w:tcPr>
          <w:p w14:paraId="6CDC309A">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r>
              <w:rPr>
                <w:rFonts w:hint="default" w:ascii="Times New Roman" w:hAnsi="Times New Roman" w:cs="Times New Roman"/>
                <w:color w:val="auto"/>
                <w:szCs w:val="21"/>
              </w:rPr>
              <w:t>/</w:t>
            </w:r>
          </w:p>
        </w:tc>
      </w:tr>
      <w:tr w14:paraId="0760C7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7" w:hRule="atLeast"/>
          <w:jc w:val="center"/>
        </w:trPr>
        <w:tc>
          <w:tcPr>
            <w:tcW w:w="1396" w:type="dxa"/>
            <w:noWrap/>
            <w:vAlign w:val="center"/>
          </w:tcPr>
          <w:p w14:paraId="54CB6598">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固体废物</w:t>
            </w:r>
          </w:p>
        </w:tc>
        <w:tc>
          <w:tcPr>
            <w:tcW w:w="7620" w:type="dxa"/>
            <w:gridSpan w:val="4"/>
            <w:noWrap/>
            <w:vAlign w:val="center"/>
          </w:tcPr>
          <w:p w14:paraId="5F18BB1C">
            <w:pPr>
              <w:keepNext w:val="0"/>
              <w:keepLines w:val="0"/>
              <w:pageBreakBefore w:val="0"/>
              <w:widowControl w:val="0"/>
              <w:kinsoku/>
              <w:wordWrap/>
              <w:overflowPunct/>
              <w:topLinePunct w:val="0"/>
              <w:autoSpaceDE w:val="0"/>
              <w:autoSpaceDN w:val="0"/>
              <w:bidi w:val="0"/>
              <w:adjustRightIn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zCs w:val="21"/>
                <w:lang w:val="en-US"/>
              </w:rPr>
            </w:pPr>
            <w:r>
              <w:rPr>
                <w:rFonts w:hint="eastAsia" w:cs="Times New Roman" w:eastAsiaTheme="minorEastAsia"/>
                <w:color w:val="auto"/>
                <w:kern w:val="0"/>
                <w:szCs w:val="21"/>
                <w:lang w:val="en-US" w:eastAsia="zh-CN"/>
              </w:rPr>
              <w:t>不可利用废物外收支废品收购站，少量未收集与生活垃圾一起交由市政部门统一处理；废布袋有除尘器厂家检修后直接带走；铁屑及车间除尘器收尘和废钢铁集中收集后外售至废品回收站；废离子交换树脂</w:t>
            </w:r>
            <w:r>
              <w:rPr>
                <w:rFonts w:hint="default" w:eastAsia="宋体"/>
                <w:b w:val="0"/>
                <w:bCs w:val="0"/>
                <w:color w:val="auto"/>
                <w:szCs w:val="21"/>
                <w:highlight w:val="none"/>
                <w:lang w:val="en-US" w:eastAsia="zh-CN"/>
              </w:rPr>
              <w:t>更换后立即外运，不在锅炉房内存放，由厂家回收再生利用</w:t>
            </w:r>
            <w:r>
              <w:rPr>
                <w:rFonts w:hint="eastAsia"/>
                <w:b w:val="0"/>
                <w:bCs w:val="0"/>
                <w:color w:val="auto"/>
                <w:szCs w:val="21"/>
                <w:highlight w:val="none"/>
                <w:lang w:val="en-US" w:eastAsia="zh-CN"/>
              </w:rPr>
              <w:t>；</w:t>
            </w:r>
            <w:r>
              <w:rPr>
                <w:rFonts w:hint="eastAsia" w:cs="Times New Roman"/>
                <w:color w:val="auto"/>
                <w:kern w:val="2"/>
                <w:sz w:val="21"/>
                <w:szCs w:val="24"/>
                <w:highlight w:val="none"/>
                <w:lang w:val="en-US" w:eastAsia="zh-CN" w:bidi="ar-SA"/>
              </w:rPr>
              <w:t>锅炉除尘灰和锅炉灰渣</w:t>
            </w:r>
            <w:r>
              <w:rPr>
                <w:rFonts w:hint="eastAsia" w:eastAsia="宋体"/>
                <w:b w:val="0"/>
                <w:bCs w:val="0"/>
                <w:color w:val="auto"/>
                <w:szCs w:val="21"/>
                <w:highlight w:val="none"/>
                <w:lang w:val="en-US" w:eastAsia="zh-CN"/>
              </w:rPr>
              <w:t>全部外售制肥综合利用</w:t>
            </w:r>
            <w:r>
              <w:rPr>
                <w:rFonts w:hint="eastAsia"/>
                <w:b w:val="0"/>
                <w:bCs w:val="0"/>
                <w:color w:val="auto"/>
                <w:szCs w:val="21"/>
                <w:highlight w:val="none"/>
                <w:lang w:val="en-US" w:eastAsia="zh-CN"/>
              </w:rPr>
              <w:t>；</w:t>
            </w:r>
            <w:r>
              <w:rPr>
                <w:rFonts w:hint="eastAsia" w:cs="Times New Roman"/>
                <w:color w:val="auto"/>
                <w:highlight w:val="none"/>
                <w:lang w:val="en-US" w:eastAsia="zh-CN"/>
              </w:rPr>
              <w:t>废铅酸蓄电池、废油液及油泥、含油抹布及手套、废活性炭、</w:t>
            </w:r>
            <w:r>
              <w:rPr>
                <w:rFonts w:hint="eastAsia" w:cs="Times New Roman"/>
                <w:color w:val="auto"/>
                <w:kern w:val="2"/>
                <w:sz w:val="21"/>
                <w:szCs w:val="24"/>
                <w:highlight w:val="none"/>
                <w:lang w:val="en-US" w:eastAsia="zh-CN" w:bidi="ar-SA"/>
              </w:rPr>
              <w:t>废防冻液、废电路板</w:t>
            </w:r>
            <w:r>
              <w:rPr>
                <w:rFonts w:hint="default" w:cs="Times New Roman"/>
                <w:color w:val="auto"/>
                <w:kern w:val="0"/>
                <w:sz w:val="21"/>
                <w:szCs w:val="21"/>
                <w:highlight w:val="none"/>
                <w:lang w:val="en-US" w:eastAsia="zh-CN" w:bidi="ar-SA"/>
              </w:rPr>
              <w:t>暂存于</w:t>
            </w:r>
            <w:r>
              <w:rPr>
                <w:rFonts w:hint="eastAsia" w:cs="Times New Roman"/>
                <w:color w:val="auto"/>
                <w:kern w:val="0"/>
                <w:sz w:val="21"/>
                <w:szCs w:val="21"/>
                <w:highlight w:val="none"/>
                <w:lang w:val="en-US" w:eastAsia="zh-CN" w:bidi="ar-SA"/>
              </w:rPr>
              <w:t>危废贮存点</w:t>
            </w:r>
            <w:r>
              <w:rPr>
                <w:rFonts w:hint="default" w:cs="Times New Roman"/>
                <w:color w:val="auto"/>
                <w:kern w:val="0"/>
                <w:sz w:val="21"/>
                <w:szCs w:val="21"/>
                <w:highlight w:val="none"/>
                <w:lang w:val="en-US" w:eastAsia="zh-CN" w:bidi="ar-SA"/>
              </w:rPr>
              <w:t>，交由有危险废物处置资质单位处置</w:t>
            </w:r>
            <w:r>
              <w:rPr>
                <w:rFonts w:hint="eastAsia" w:cs="Times New Roman"/>
                <w:color w:val="auto"/>
                <w:kern w:val="0"/>
                <w:sz w:val="21"/>
                <w:szCs w:val="21"/>
                <w:highlight w:val="none"/>
                <w:lang w:val="en-US" w:eastAsia="zh-CN" w:bidi="ar-SA"/>
              </w:rPr>
              <w:t>。</w:t>
            </w:r>
          </w:p>
        </w:tc>
      </w:tr>
      <w:tr w14:paraId="757ABF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1396" w:type="dxa"/>
            <w:noWrap w:val="0"/>
            <w:vAlign w:val="center"/>
          </w:tcPr>
          <w:p w14:paraId="23D456BE">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土壤及地下水污染防治措施</w:t>
            </w:r>
          </w:p>
        </w:tc>
        <w:tc>
          <w:tcPr>
            <w:tcW w:w="7620" w:type="dxa"/>
            <w:gridSpan w:val="4"/>
            <w:noWrap w:val="0"/>
            <w:vAlign w:val="center"/>
          </w:tcPr>
          <w:p w14:paraId="73AB610B">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Cs w:val="21"/>
                <w:lang w:val="en-US" w:eastAsia="zh-CN"/>
              </w:rPr>
            </w:pPr>
            <w:r>
              <w:rPr>
                <w:rFonts w:hint="eastAsia" w:cs="Times New Roman"/>
                <w:color w:val="auto"/>
                <w:highlight w:val="none"/>
                <w:lang w:val="en-US" w:eastAsia="zh-CN"/>
              </w:rPr>
              <w:t>危废贮存点</w:t>
            </w:r>
            <w:r>
              <w:rPr>
                <w:rFonts w:hint="eastAsia" w:ascii="Times New Roman" w:hAnsi="Times New Roman" w:eastAsia="宋体" w:cs="Times New Roman"/>
                <w:color w:val="auto"/>
                <w:highlight w:val="none"/>
                <w:lang w:val="en-US" w:eastAsia="zh-CN"/>
              </w:rPr>
              <w:t>防渗要求按照《危险废物贮存污染控制标准》（GB18597-2023）的要求执行，为重点防渗区，基础敷设2mm厚的高密度聚乙烯防水层，上部敷设10cm厚水泥层，表面铺设防水树脂层，渗透系数≤10</w:t>
            </w:r>
            <w:r>
              <w:rPr>
                <w:rFonts w:hint="eastAsia" w:ascii="Times New Roman" w:hAnsi="Times New Roman" w:eastAsia="宋体" w:cs="Times New Roman"/>
                <w:color w:val="auto"/>
                <w:highlight w:val="none"/>
                <w:vertAlign w:val="superscript"/>
                <w:lang w:val="en-US" w:eastAsia="zh-CN"/>
              </w:rPr>
              <w:t>-10</w:t>
            </w:r>
            <w:r>
              <w:rPr>
                <w:rFonts w:hint="eastAsia" w:ascii="Times New Roman" w:hAnsi="Times New Roman" w:eastAsia="宋体" w:cs="Times New Roman"/>
                <w:color w:val="auto"/>
                <w:highlight w:val="none"/>
                <w:lang w:val="en-US" w:eastAsia="zh-CN"/>
              </w:rPr>
              <w:t>cm/s。</w:t>
            </w:r>
            <w:r>
              <w:rPr>
                <w:rFonts w:hint="eastAsia" w:cs="Times New Roman"/>
                <w:color w:val="auto"/>
                <w:highlight w:val="none"/>
                <w:lang w:val="en-US" w:eastAsia="zh-CN"/>
              </w:rPr>
              <w:t>待拆车辆暂存区、初期雨水收集池和拆解车间</w:t>
            </w:r>
            <w:r>
              <w:rPr>
                <w:rFonts w:hint="eastAsia" w:ascii="Times New Roman" w:hAnsi="Times New Roman" w:eastAsia="宋体" w:cs="Times New Roman"/>
                <w:color w:val="auto"/>
                <w:highlight w:val="none"/>
                <w:lang w:val="en-US" w:eastAsia="zh-CN"/>
              </w:rPr>
              <w:t>满足《环境影响评价技术导则 地下水环境》（HJ610-2016）表7中</w:t>
            </w:r>
            <w:r>
              <w:rPr>
                <w:rFonts w:hint="eastAsia" w:cs="Times New Roman"/>
                <w:color w:val="auto"/>
                <w:highlight w:val="none"/>
                <w:lang w:val="en-US" w:eastAsia="zh-CN"/>
              </w:rPr>
              <w:t>重点</w:t>
            </w:r>
            <w:r>
              <w:rPr>
                <w:rFonts w:hint="eastAsia" w:ascii="Times New Roman" w:hAnsi="Times New Roman" w:eastAsia="宋体" w:cs="Times New Roman"/>
                <w:color w:val="auto"/>
                <w:highlight w:val="none"/>
                <w:lang w:val="en-US" w:eastAsia="zh-CN"/>
              </w:rPr>
              <w:t>防渗区防渗技术要求（等效黏土防渗层Mb≥</w:t>
            </w:r>
            <w:r>
              <w:rPr>
                <w:rFonts w:hint="eastAsia" w:cs="Times New Roman"/>
                <w:color w:val="auto"/>
                <w:highlight w:val="none"/>
                <w:lang w:val="en-US" w:eastAsia="zh-CN"/>
              </w:rPr>
              <w:t>6.0</w:t>
            </w:r>
            <w:r>
              <w:rPr>
                <w:rFonts w:hint="eastAsia" w:ascii="Times New Roman" w:hAnsi="Times New Roman" w:eastAsia="宋体" w:cs="Times New Roman"/>
                <w:color w:val="auto"/>
                <w:highlight w:val="none"/>
                <w:lang w:val="en-US" w:eastAsia="zh-CN"/>
              </w:rPr>
              <w:t>m，渗透系数≤10</w:t>
            </w:r>
            <w:r>
              <w:rPr>
                <w:rFonts w:hint="eastAsia" w:ascii="Times New Roman" w:hAnsi="Times New Roman" w:eastAsia="宋体" w:cs="Times New Roman"/>
                <w:color w:val="auto"/>
                <w:highlight w:val="none"/>
                <w:vertAlign w:val="superscript"/>
                <w:lang w:val="en-US" w:eastAsia="zh-CN"/>
              </w:rPr>
              <w:t>-7</w:t>
            </w:r>
            <w:r>
              <w:rPr>
                <w:rFonts w:hint="eastAsia" w:ascii="Times New Roman" w:hAnsi="Times New Roman" w:eastAsia="宋体" w:cs="Times New Roman"/>
                <w:color w:val="auto"/>
                <w:highlight w:val="none"/>
                <w:lang w:val="en-US" w:eastAsia="zh-CN"/>
              </w:rPr>
              <w:t>cm/s）。</w:t>
            </w:r>
            <w:r>
              <w:rPr>
                <w:rFonts w:hint="eastAsia" w:cs="Times New Roman"/>
                <w:color w:val="auto"/>
                <w:highlight w:val="none"/>
                <w:lang w:val="en-US" w:eastAsia="zh-CN"/>
              </w:rPr>
              <w:t>废钢铁与废橡胶贮存库</w:t>
            </w:r>
            <w:r>
              <w:rPr>
                <w:rFonts w:hint="eastAsia" w:ascii="Times New Roman" w:hAnsi="Times New Roman" w:eastAsia="宋体" w:cs="Times New Roman"/>
                <w:color w:val="auto"/>
                <w:highlight w:val="none"/>
                <w:lang w:val="en-US" w:eastAsia="zh-CN"/>
              </w:rPr>
              <w:t>所在区域，采用抗渗等级不低于P6级的抗渗混凝土，满足《环境影响评价技术导则 地下水环境》（HJ610-2016）表7中一般防渗区防渗技术要求（等效黏土防渗层Mb≥1.5m，渗透系数≤10</w:t>
            </w:r>
            <w:r>
              <w:rPr>
                <w:rFonts w:hint="eastAsia" w:ascii="Times New Roman" w:hAnsi="Times New Roman" w:eastAsia="宋体" w:cs="Times New Roman"/>
                <w:color w:val="auto"/>
                <w:highlight w:val="none"/>
                <w:vertAlign w:val="superscript"/>
                <w:lang w:val="en-US" w:eastAsia="zh-CN"/>
              </w:rPr>
              <w:t>-7</w:t>
            </w:r>
            <w:r>
              <w:rPr>
                <w:rFonts w:hint="eastAsia" w:ascii="Times New Roman" w:hAnsi="Times New Roman" w:eastAsia="宋体" w:cs="Times New Roman"/>
                <w:color w:val="auto"/>
                <w:highlight w:val="none"/>
                <w:lang w:val="en-US" w:eastAsia="zh-CN"/>
              </w:rPr>
              <w:t>cm/s）。</w:t>
            </w:r>
            <w:r>
              <w:rPr>
                <w:rFonts w:hint="eastAsia" w:cs="Times New Roman"/>
                <w:color w:val="auto"/>
                <w:highlight w:val="none"/>
                <w:lang w:val="en-US" w:eastAsia="zh-CN"/>
              </w:rPr>
              <w:t>其他区域采用水泥地面硬化。</w:t>
            </w:r>
          </w:p>
        </w:tc>
      </w:tr>
      <w:tr w14:paraId="43C5AA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96" w:type="dxa"/>
            <w:noWrap w:val="0"/>
            <w:vAlign w:val="center"/>
          </w:tcPr>
          <w:p w14:paraId="1D9E8458">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生态保</w:t>
            </w:r>
          </w:p>
          <w:p w14:paraId="3AD06A5E">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护措施</w:t>
            </w:r>
          </w:p>
        </w:tc>
        <w:tc>
          <w:tcPr>
            <w:tcW w:w="7620" w:type="dxa"/>
            <w:gridSpan w:val="4"/>
            <w:noWrap w:val="0"/>
            <w:vAlign w:val="center"/>
          </w:tcPr>
          <w:p w14:paraId="31E9B980">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w:t>
            </w:r>
          </w:p>
        </w:tc>
      </w:tr>
      <w:tr w14:paraId="1EF270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1396" w:type="dxa"/>
            <w:noWrap w:val="0"/>
            <w:vAlign w:val="center"/>
          </w:tcPr>
          <w:p w14:paraId="4FAF1878">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环境风险</w:t>
            </w:r>
          </w:p>
          <w:p w14:paraId="022ABF4D">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防范措施</w:t>
            </w:r>
          </w:p>
        </w:tc>
        <w:tc>
          <w:tcPr>
            <w:tcW w:w="7620" w:type="dxa"/>
            <w:gridSpan w:val="4"/>
            <w:noWrap w:val="0"/>
            <w:vAlign w:val="center"/>
          </w:tcPr>
          <w:p w14:paraId="1E286012">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cs="Times New Roman"/>
                <w:color w:val="auto"/>
                <w:szCs w:val="21"/>
                <w:lang w:eastAsia="zh-CN"/>
              </w:rPr>
            </w:pPr>
            <w:r>
              <w:rPr>
                <w:rFonts w:hint="eastAsia" w:ascii="Times New Roman" w:hAnsi="Times New Roman" w:cs="Times New Roman"/>
                <w:color w:val="auto"/>
                <w:szCs w:val="21"/>
                <w:lang w:eastAsia="zh-CN"/>
              </w:rPr>
              <w:t>危废贮存点门口需张贴标注规范的危险废物标识和信息板，屋内张贴《危险废物管理制度》；不同的危险废物应有明显的区域划分，液态危险废物需盛装在完好的容器内，并将容器防治在防泄漏托盘内，并在容器粘贴危险废物信息标签；固态危险废物需包装完好无破损，并系挂危险废物信息标签。需按危险废物转移三联单的要求做好危险废物台账，危险废物暂存间内禁止存放陈危险废物及应急工具以外的其他物品。产生的危险废物应每个月都进行转移处理。危险废物的储存、处置过程中必须严格执行国家《危险废物贮存污染控制标准》（GB18597-2001）及《危险化学品安全管理条例》的有关规定。</w:t>
            </w:r>
          </w:p>
          <w:p w14:paraId="332EB5BD">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cs="Times New Roman"/>
                <w:color w:val="auto"/>
                <w:szCs w:val="21"/>
                <w:lang w:eastAsia="zh-CN"/>
              </w:rPr>
            </w:pPr>
            <w:r>
              <w:rPr>
                <w:rFonts w:hint="eastAsia" w:ascii="Times New Roman" w:hAnsi="Times New Roman" w:cs="Times New Roman"/>
                <w:color w:val="auto"/>
                <w:szCs w:val="21"/>
                <w:lang w:eastAsia="zh-CN"/>
              </w:rPr>
              <w:t>拆解区以及危险品仓库四周均设置导流槽，将泄漏物质导流入密封桶内，存于危废贮存点，得以有效的处理，避免危险有毒物质流入外界造成环境污染。对于发生泄漏引起火灾等事故应把消防产生的废水进行收集，灭火处理完毕后将该废水送至有资质的公司处理，严禁泄漏到环境中去，造成环境风险事故。当拆解过程中发生单个蓄电池破损、电解液泄漏，及时用收集容器对泄漏液体进行收集、密封保存，少量滴落的电解液采用石灰、活性炭等吸附材料覆盖，吸附材料收集后作为危废交由有资质的单位处置。当处理储存箱内泄漏电解液，需将破损的和完好的电池取出、分开隔离贮存，箱内电解液采用专用收集容器收集、密封保存。处理事故的工作人员在进行清理工作时须穿戴防护服、防腐蚀手套、口罩等防护用品，避免在操作中受到伤害。</w:t>
            </w:r>
            <w:r>
              <w:rPr>
                <w:rFonts w:hint="eastAsia" w:cs="Times New Roman"/>
                <w:color w:val="auto"/>
                <w:szCs w:val="21"/>
                <w:lang w:eastAsia="zh-CN"/>
              </w:rPr>
              <w:t>危废暂存点</w:t>
            </w:r>
            <w:r>
              <w:rPr>
                <w:rFonts w:hint="eastAsia" w:ascii="Times New Roman" w:hAnsi="Times New Roman" w:cs="Times New Roman"/>
                <w:color w:val="auto"/>
                <w:szCs w:val="21"/>
                <w:lang w:eastAsia="zh-CN"/>
              </w:rPr>
              <w:t>内设置1座事故池，容积为2m</w:t>
            </w:r>
            <w:r>
              <w:rPr>
                <w:rFonts w:hint="eastAsia" w:ascii="Times New Roman" w:hAnsi="Times New Roman" w:cs="Times New Roman"/>
                <w:color w:val="auto"/>
                <w:szCs w:val="21"/>
                <w:vertAlign w:val="superscript"/>
                <w:lang w:eastAsia="zh-CN"/>
              </w:rPr>
              <w:t>3</w:t>
            </w:r>
            <w:r>
              <w:rPr>
                <w:rFonts w:hint="eastAsia" w:ascii="Times New Roman" w:hAnsi="Times New Roman" w:cs="Times New Roman"/>
                <w:color w:val="auto"/>
                <w:szCs w:val="21"/>
                <w:lang w:eastAsia="zh-CN"/>
              </w:rPr>
              <w:t>，并设置导流沟，危废贮存点危险废物发生泄漏情况下，通过导流沟进入事故池暂存。可防止对地下水的环境污染。</w:t>
            </w:r>
          </w:p>
          <w:p w14:paraId="4E6A3D40">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cs="Times New Roman"/>
                <w:color w:val="auto"/>
                <w:szCs w:val="21"/>
                <w:lang w:eastAsia="zh-CN"/>
              </w:rPr>
            </w:pPr>
            <w:r>
              <w:rPr>
                <w:rFonts w:hint="eastAsia" w:ascii="Times New Roman" w:hAnsi="Times New Roman" w:cs="Times New Roman"/>
                <w:color w:val="auto"/>
                <w:szCs w:val="21"/>
                <w:lang w:eastAsia="zh-CN"/>
              </w:rPr>
              <w:t>拆解车间内严禁明火，严禁在未排空废油液的情况下进行油箱拆解。厂内配备满足《建筑设计防火规范》（GB50016-2014）规定的消防设施设备（灭火器、消火栓、消防沙等），设置消防池，每年对灭火器材、设施进行检查，如有损坏或压力不足应及时维修更新。检测内容、时间、人员应有记录保存。安全检测应根据设备的安全性、危险性设定检测频次。在消防器材、设施放置处，安排相应的管理者负责。保持消防器材的完整齐备，严禁将消防器材挪作他用，特殊情况必须经相关管理部门的同意。</w:t>
            </w:r>
          </w:p>
          <w:p w14:paraId="044F34E1">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eastAsia" w:ascii="Times New Roman" w:hAnsi="Times New Roman" w:cs="Times New Roman"/>
                <w:color w:val="auto"/>
                <w:szCs w:val="21"/>
                <w:lang w:eastAsia="zh-CN"/>
              </w:rPr>
            </w:pPr>
            <w:r>
              <w:rPr>
                <w:rFonts w:hint="eastAsia" w:ascii="Times New Roman" w:hAnsi="Times New Roman" w:cs="Times New Roman"/>
                <w:color w:val="auto"/>
                <w:szCs w:val="21"/>
                <w:lang w:eastAsia="zh-CN"/>
              </w:rPr>
              <w:t>建设单位应编制建设项目环境风险应急预案，报环保部门批准后生产中实施，并安排环境风险应急预案及风险污染处置演练，进行应急处置宣传、教育。成立事故应急处理小组，由车间安全负责人担任事故应急小组组长，一旦发火灾等事故，应立即启动事故应急预案，并向有关环境管理部门汇报情况，协助环境管理部门进行应急监测等工作。</w:t>
            </w:r>
          </w:p>
        </w:tc>
      </w:tr>
      <w:tr w14:paraId="7AFBFE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59" w:hRule="atLeast"/>
          <w:jc w:val="center"/>
        </w:trPr>
        <w:tc>
          <w:tcPr>
            <w:tcW w:w="1396" w:type="dxa"/>
            <w:noWrap w:val="0"/>
            <w:vAlign w:val="center"/>
          </w:tcPr>
          <w:p w14:paraId="7C63C8CF">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pacing w:val="-8"/>
                <w:szCs w:val="21"/>
              </w:rPr>
            </w:pPr>
            <w:r>
              <w:rPr>
                <w:rFonts w:hint="default" w:ascii="Times New Roman" w:hAnsi="Times New Roman" w:cs="Times New Roman"/>
                <w:color w:val="auto"/>
                <w:spacing w:val="-8"/>
                <w:szCs w:val="21"/>
              </w:rPr>
              <w:t>其他环境</w:t>
            </w:r>
          </w:p>
          <w:p w14:paraId="0CFAAA51">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pacing w:val="-8"/>
                <w:szCs w:val="21"/>
              </w:rPr>
            </w:pPr>
            <w:r>
              <w:rPr>
                <w:rFonts w:hint="default" w:ascii="Times New Roman" w:hAnsi="Times New Roman" w:cs="Times New Roman"/>
                <w:color w:val="auto"/>
                <w:spacing w:val="-8"/>
                <w:szCs w:val="21"/>
              </w:rPr>
              <w:t>管理要求</w:t>
            </w:r>
          </w:p>
        </w:tc>
        <w:tc>
          <w:tcPr>
            <w:tcW w:w="7620" w:type="dxa"/>
            <w:gridSpan w:val="4"/>
            <w:noWrap w:val="0"/>
            <w:vAlign w:val="center"/>
          </w:tcPr>
          <w:p w14:paraId="4FF60F1A">
            <w:pPr>
              <w:keepNext w:val="0"/>
              <w:keepLines w:val="0"/>
              <w:pageBreakBefore w:val="0"/>
              <w:widowControl w:val="0"/>
              <w:kinsoku/>
              <w:wordWrap/>
              <w:overflowPunct/>
              <w:topLinePunct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szCs w:val="21"/>
              </w:rPr>
            </w:pPr>
            <w:r>
              <w:rPr>
                <w:rFonts w:hint="default" w:ascii="Times New Roman" w:hAnsi="Times New Roman" w:cs="Times New Roman"/>
                <w:bCs/>
                <w:color w:val="auto"/>
                <w:kern w:val="0"/>
                <w:szCs w:val="21"/>
                <w:highlight w:val="none"/>
                <w:lang w:val="en-US" w:eastAsia="zh-CN"/>
              </w:rPr>
              <w:t>根据《关于做好环境影响评价制度与排污许可制衔接相关工作的通知》（环办环评[2017]84号），建设项目发生实际排污行为之前，排污单位应当按照国家环境保护相关法律法规以及排污许可证申请与核发技术规范要求申请排污许可证，不得无证排污或不按证排污</w:t>
            </w:r>
            <w:r>
              <w:rPr>
                <w:rFonts w:hint="eastAsia" w:ascii="Times New Roman" w:hAnsi="Times New Roman" w:cs="Times New Roman"/>
                <w:bCs/>
                <w:color w:val="auto"/>
                <w:kern w:val="0"/>
                <w:szCs w:val="21"/>
                <w:highlight w:val="none"/>
                <w:lang w:val="en-US" w:eastAsia="zh-CN"/>
              </w:rPr>
              <w:t>。</w:t>
            </w:r>
          </w:p>
        </w:tc>
      </w:tr>
    </w:tbl>
    <w:p w14:paraId="7B227B2C">
      <w:pPr>
        <w:pStyle w:val="26"/>
        <w:spacing w:before="0" w:beforeAutospacing="0" w:after="0" w:afterAutospacing="0" w:line="360" w:lineRule="auto"/>
        <w:jc w:val="center"/>
        <w:outlineLvl w:val="0"/>
        <w:rPr>
          <w:rFonts w:ascii="Times New Roman" w:hAnsi="Times New Roman"/>
          <w:snapToGrid w:val="0"/>
          <w:color w:val="auto"/>
          <w:sz w:val="30"/>
          <w:szCs w:val="30"/>
        </w:rPr>
      </w:pPr>
      <w:r>
        <w:rPr>
          <w:rFonts w:ascii="Times New Roman" w:hAnsi="Times New Roman"/>
          <w:snapToGrid w:val="0"/>
          <w:color w:val="auto"/>
        </w:rPr>
        <w:br w:type="page"/>
      </w:r>
      <w:bookmarkStart w:id="29" w:name="_Toc14908"/>
      <w:r>
        <w:rPr>
          <w:rFonts w:ascii="Times New Roman" w:hAnsi="Times New Roman"/>
          <w:b/>
          <w:snapToGrid w:val="0"/>
          <w:color w:val="auto"/>
          <w:sz w:val="30"/>
          <w:szCs w:val="30"/>
        </w:rPr>
        <w:t>六、结论</w:t>
      </w:r>
      <w:bookmarkEnd w:id="29"/>
    </w:p>
    <w:tbl>
      <w:tblPr>
        <w:tblStyle w:val="31"/>
        <w:tblW w:w="0" w:type="auto"/>
        <w:jc w:val="center"/>
        <w:tblBorders>
          <w:top w:val="single" w:color="auto" w:sz="4" w:space="0"/>
          <w:left w:val="single" w:color="auto" w:sz="8" w:space="0"/>
          <w:bottom w:val="single" w:color="auto" w:sz="8" w:space="0"/>
          <w:right w:val="single" w:color="auto" w:sz="8" w:space="0"/>
          <w:insideH w:val="none" w:color="auto" w:sz="0" w:space="0"/>
          <w:insideV w:val="none" w:color="auto" w:sz="0" w:space="0"/>
        </w:tblBorders>
        <w:tblLayout w:type="fixed"/>
        <w:tblCellMar>
          <w:top w:w="0" w:type="dxa"/>
          <w:left w:w="108" w:type="dxa"/>
          <w:bottom w:w="0" w:type="dxa"/>
          <w:right w:w="108" w:type="dxa"/>
        </w:tblCellMar>
      </w:tblPr>
      <w:tblGrid>
        <w:gridCol w:w="8865"/>
      </w:tblGrid>
      <w:tr w14:paraId="3D807E62">
        <w:tblPrEx>
          <w:tblBorders>
            <w:top w:val="single" w:color="auto" w:sz="4"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1991" w:hRule="atLeast"/>
          <w:jc w:val="center"/>
        </w:trPr>
        <w:tc>
          <w:tcPr>
            <w:tcW w:w="8865" w:type="dxa"/>
          </w:tcPr>
          <w:p w14:paraId="18E063E3">
            <w:pPr>
              <w:adjustRightInd w:val="0"/>
              <w:snapToGrid w:val="0"/>
              <w:spacing w:line="360" w:lineRule="auto"/>
              <w:ind w:firstLine="482" w:firstLineChars="200"/>
              <w:rPr>
                <w:b/>
                <w:color w:val="auto"/>
                <w:sz w:val="24"/>
              </w:rPr>
            </w:pPr>
            <w:r>
              <w:rPr>
                <w:b/>
                <w:color w:val="auto"/>
                <w:sz w:val="24"/>
              </w:rPr>
              <w:t>1.结论</w:t>
            </w:r>
          </w:p>
          <w:p w14:paraId="72953579">
            <w:pPr>
              <w:adjustRightInd w:val="0"/>
              <w:snapToGrid w:val="0"/>
              <w:spacing w:line="360" w:lineRule="auto"/>
              <w:ind w:firstLine="480" w:firstLineChars="200"/>
              <w:rPr>
                <w:color w:val="auto"/>
                <w:sz w:val="24"/>
              </w:rPr>
            </w:pPr>
            <w:r>
              <w:rPr>
                <w:color w:val="auto"/>
                <w:sz w:val="24"/>
              </w:rPr>
              <w:t>通过对建设项目的环境影响评价后认为：建设项目建设符合国家产业政策，项目选址于</w:t>
            </w:r>
            <w:r>
              <w:rPr>
                <w:rFonts w:hint="eastAsia" w:ascii="Times New Roman" w:hAnsi="Times New Roman" w:cs="Times New Roman"/>
                <w:color w:val="auto"/>
                <w:sz w:val="24"/>
              </w:rPr>
              <w:t>鸡西市鸡冠区梁家村六组</w:t>
            </w:r>
            <w:r>
              <w:rPr>
                <w:color w:val="auto"/>
                <w:sz w:val="24"/>
              </w:rPr>
              <w:t>，符合</w:t>
            </w:r>
            <w:r>
              <w:rPr>
                <w:rFonts w:hint="eastAsia"/>
                <w:color w:val="auto"/>
                <w:sz w:val="24"/>
                <w:lang w:val="en-US" w:eastAsia="zh-CN"/>
              </w:rPr>
              <w:t>当地</w:t>
            </w:r>
            <w:r>
              <w:rPr>
                <w:color w:val="auto"/>
                <w:sz w:val="24"/>
              </w:rPr>
              <w:t>用地规划要求；建设单位在认真落实本报告提出的各项环保措施与建议，对预期产生的主要污染物采取切实可行的污染治理措施，确保实现达标排放，最大限度减小对项目所在地环境质量影响的前提下，从环境保护角度论证，在拟建地址建设是可行的。</w:t>
            </w:r>
          </w:p>
          <w:p w14:paraId="3FDACB37">
            <w:pPr>
              <w:adjustRightInd w:val="0"/>
              <w:snapToGrid w:val="0"/>
              <w:spacing w:line="360" w:lineRule="auto"/>
              <w:ind w:firstLine="482" w:firstLineChars="200"/>
              <w:rPr>
                <w:b/>
                <w:color w:val="auto"/>
                <w:sz w:val="24"/>
              </w:rPr>
            </w:pPr>
          </w:p>
          <w:p w14:paraId="7E7C1155">
            <w:pPr>
              <w:adjustRightInd w:val="0"/>
              <w:snapToGrid w:val="0"/>
              <w:spacing w:line="360" w:lineRule="auto"/>
              <w:ind w:firstLine="482" w:firstLineChars="200"/>
              <w:rPr>
                <w:b/>
                <w:color w:val="auto"/>
                <w:sz w:val="24"/>
              </w:rPr>
            </w:pPr>
          </w:p>
          <w:p w14:paraId="4D45483F">
            <w:pPr>
              <w:adjustRightInd w:val="0"/>
              <w:snapToGrid w:val="0"/>
              <w:spacing w:line="360" w:lineRule="auto"/>
              <w:ind w:firstLine="482" w:firstLineChars="200"/>
              <w:rPr>
                <w:b/>
                <w:color w:val="auto"/>
                <w:sz w:val="24"/>
              </w:rPr>
            </w:pPr>
          </w:p>
          <w:p w14:paraId="4E69767F">
            <w:pPr>
              <w:adjustRightInd w:val="0"/>
              <w:snapToGrid w:val="0"/>
              <w:spacing w:line="360" w:lineRule="auto"/>
              <w:ind w:firstLine="482" w:firstLineChars="200"/>
              <w:rPr>
                <w:b/>
                <w:color w:val="auto"/>
                <w:sz w:val="24"/>
              </w:rPr>
            </w:pPr>
          </w:p>
          <w:p w14:paraId="101AC1B8">
            <w:pPr>
              <w:adjustRightInd w:val="0"/>
              <w:snapToGrid w:val="0"/>
              <w:spacing w:line="360" w:lineRule="auto"/>
              <w:ind w:firstLine="482" w:firstLineChars="200"/>
              <w:rPr>
                <w:b/>
                <w:color w:val="auto"/>
                <w:sz w:val="24"/>
              </w:rPr>
            </w:pPr>
          </w:p>
          <w:p w14:paraId="09B7B451">
            <w:pPr>
              <w:adjustRightInd w:val="0"/>
              <w:snapToGrid w:val="0"/>
              <w:spacing w:line="360" w:lineRule="auto"/>
              <w:ind w:firstLine="482" w:firstLineChars="200"/>
              <w:rPr>
                <w:b/>
                <w:color w:val="auto"/>
                <w:sz w:val="24"/>
              </w:rPr>
            </w:pPr>
          </w:p>
          <w:p w14:paraId="29EC5C70">
            <w:pPr>
              <w:adjustRightInd w:val="0"/>
              <w:snapToGrid w:val="0"/>
              <w:spacing w:line="360" w:lineRule="auto"/>
              <w:ind w:firstLine="482" w:firstLineChars="200"/>
              <w:rPr>
                <w:b/>
                <w:color w:val="auto"/>
                <w:sz w:val="24"/>
              </w:rPr>
            </w:pPr>
          </w:p>
          <w:p w14:paraId="77091548">
            <w:pPr>
              <w:adjustRightInd w:val="0"/>
              <w:snapToGrid w:val="0"/>
              <w:spacing w:line="360" w:lineRule="auto"/>
              <w:ind w:firstLine="482" w:firstLineChars="200"/>
              <w:rPr>
                <w:b/>
                <w:color w:val="auto"/>
                <w:sz w:val="24"/>
              </w:rPr>
            </w:pPr>
          </w:p>
          <w:p w14:paraId="1992DAFC">
            <w:pPr>
              <w:adjustRightInd w:val="0"/>
              <w:snapToGrid w:val="0"/>
              <w:spacing w:line="360" w:lineRule="auto"/>
              <w:ind w:firstLine="482" w:firstLineChars="200"/>
              <w:rPr>
                <w:b/>
                <w:color w:val="auto"/>
                <w:sz w:val="24"/>
              </w:rPr>
            </w:pPr>
          </w:p>
          <w:p w14:paraId="224BE914">
            <w:pPr>
              <w:adjustRightInd w:val="0"/>
              <w:snapToGrid w:val="0"/>
              <w:spacing w:line="360" w:lineRule="auto"/>
              <w:ind w:firstLine="482" w:firstLineChars="200"/>
              <w:rPr>
                <w:b/>
                <w:color w:val="auto"/>
                <w:sz w:val="24"/>
              </w:rPr>
            </w:pPr>
          </w:p>
          <w:p w14:paraId="7EDB7773">
            <w:pPr>
              <w:adjustRightInd w:val="0"/>
              <w:snapToGrid w:val="0"/>
              <w:spacing w:line="360" w:lineRule="auto"/>
              <w:ind w:firstLine="482" w:firstLineChars="200"/>
              <w:rPr>
                <w:b/>
                <w:color w:val="auto"/>
                <w:sz w:val="24"/>
              </w:rPr>
            </w:pPr>
          </w:p>
          <w:p w14:paraId="1B37AA3C">
            <w:pPr>
              <w:adjustRightInd w:val="0"/>
              <w:snapToGrid w:val="0"/>
              <w:spacing w:line="360" w:lineRule="auto"/>
              <w:ind w:firstLine="482" w:firstLineChars="200"/>
              <w:rPr>
                <w:b/>
                <w:color w:val="auto"/>
                <w:sz w:val="24"/>
              </w:rPr>
            </w:pPr>
          </w:p>
          <w:p w14:paraId="713DE87E">
            <w:pPr>
              <w:adjustRightInd w:val="0"/>
              <w:snapToGrid w:val="0"/>
              <w:spacing w:line="360" w:lineRule="auto"/>
              <w:ind w:firstLine="482" w:firstLineChars="200"/>
              <w:rPr>
                <w:b/>
                <w:color w:val="auto"/>
                <w:sz w:val="24"/>
              </w:rPr>
            </w:pPr>
          </w:p>
          <w:p w14:paraId="7C06FD75">
            <w:pPr>
              <w:adjustRightInd w:val="0"/>
              <w:snapToGrid w:val="0"/>
              <w:spacing w:line="360" w:lineRule="auto"/>
              <w:ind w:firstLine="482" w:firstLineChars="200"/>
              <w:rPr>
                <w:b/>
                <w:color w:val="auto"/>
                <w:sz w:val="24"/>
              </w:rPr>
            </w:pPr>
          </w:p>
          <w:p w14:paraId="03C128D5">
            <w:pPr>
              <w:adjustRightInd w:val="0"/>
              <w:snapToGrid w:val="0"/>
              <w:spacing w:line="360" w:lineRule="auto"/>
              <w:ind w:firstLine="480" w:firstLineChars="200"/>
              <w:rPr>
                <w:color w:val="auto"/>
                <w:sz w:val="24"/>
              </w:rPr>
            </w:pPr>
          </w:p>
        </w:tc>
      </w:tr>
    </w:tbl>
    <w:p w14:paraId="4B479319">
      <w:pPr>
        <w:rPr>
          <w:color w:val="auto"/>
        </w:rPr>
        <w:sectPr>
          <w:footerReference r:id="rId6" w:type="default"/>
          <w:pgSz w:w="11906" w:h="16838"/>
          <w:pgMar w:top="1701" w:right="1531" w:bottom="1701" w:left="1531" w:header="851" w:footer="964" w:gutter="0"/>
          <w:pgBorders>
            <w:top w:val="none" w:sz="0" w:space="0"/>
            <w:left w:val="none" w:sz="0" w:space="0"/>
            <w:bottom w:val="none" w:sz="0" w:space="0"/>
            <w:right w:val="none" w:sz="0" w:space="0"/>
          </w:pgBorders>
          <w:pgNumType w:fmt="decimal"/>
          <w:cols w:space="720" w:num="1"/>
          <w:docGrid w:linePitch="312" w:charSpace="0"/>
        </w:sectPr>
      </w:pPr>
    </w:p>
    <w:p w14:paraId="48C69491">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tLeast"/>
        <w:textAlignment w:val="auto"/>
        <w:outlineLvl w:val="0"/>
        <w:rPr>
          <w:rFonts w:ascii="Times New Roman" w:hAnsi="Times New Roman"/>
          <w:snapToGrid w:val="0"/>
          <w:color w:val="auto"/>
          <w:sz w:val="32"/>
          <w:szCs w:val="32"/>
        </w:rPr>
      </w:pPr>
      <w:bookmarkStart w:id="30" w:name="_Toc16002"/>
      <w:r>
        <w:rPr>
          <w:rFonts w:ascii="Times New Roman" w:hAnsi="Times New Roman"/>
          <w:snapToGrid w:val="0"/>
          <w:color w:val="auto"/>
          <w:sz w:val="32"/>
          <w:szCs w:val="32"/>
        </w:rPr>
        <w:t>附表</w:t>
      </w:r>
      <w:bookmarkEnd w:id="30"/>
    </w:p>
    <w:p w14:paraId="7C11EB9B">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snapToGrid w:val="0"/>
          <w:color w:val="auto"/>
          <w:sz w:val="32"/>
          <w:szCs w:val="32"/>
        </w:rPr>
      </w:pPr>
      <w:bookmarkStart w:id="31" w:name="_Toc6161"/>
      <w:r>
        <w:rPr>
          <w:b/>
          <w:bCs/>
          <w:snapToGrid w:val="0"/>
          <w:color w:val="auto"/>
          <w:sz w:val="32"/>
          <w:szCs w:val="32"/>
        </w:rPr>
        <w:t>建设项目污染物排放量汇总表</w:t>
      </w:r>
      <w:bookmarkEnd w:id="31"/>
    </w:p>
    <w:tbl>
      <w:tblPr>
        <w:tblStyle w:val="31"/>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1266"/>
        <w:gridCol w:w="1656"/>
        <w:gridCol w:w="1656"/>
        <w:gridCol w:w="1237"/>
        <w:gridCol w:w="1656"/>
        <w:gridCol w:w="1518"/>
        <w:gridCol w:w="1713"/>
        <w:gridCol w:w="1737"/>
        <w:gridCol w:w="1053"/>
      </w:tblGrid>
      <w:tr w14:paraId="0B90A4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469" w:type="pct"/>
            <w:tcBorders>
              <w:tl2br w:val="single" w:color="auto" w:sz="4" w:space="0"/>
            </w:tcBorders>
            <w:tcMar>
              <w:left w:w="28" w:type="dxa"/>
              <w:right w:w="28" w:type="dxa"/>
            </w:tcMar>
            <w:vAlign w:val="center"/>
          </w:tcPr>
          <w:p w14:paraId="647519F2">
            <w:pPr>
              <w:pStyle w:val="57"/>
              <w:spacing w:beforeLines="0" w:afterLines="0" w:line="240" w:lineRule="auto"/>
              <w:jc w:val="right"/>
              <w:rPr>
                <w:rFonts w:ascii="Times New Roman" w:cs="宋体"/>
                <w:snapToGrid w:val="0"/>
                <w:color w:val="auto"/>
                <w:spacing w:val="-6"/>
                <w:kern w:val="21"/>
                <w:szCs w:val="21"/>
              </w:rPr>
            </w:pPr>
            <w:r>
              <w:rPr>
                <w:rFonts w:hint="eastAsia" w:ascii="Times New Roman" w:cs="宋体"/>
                <w:snapToGrid w:val="0"/>
                <w:color w:val="auto"/>
                <w:spacing w:val="-6"/>
                <w:kern w:val="21"/>
                <w:szCs w:val="21"/>
              </w:rPr>
              <w:t>项目</w:t>
            </w:r>
          </w:p>
          <w:p w14:paraId="083A72FC">
            <w:pPr>
              <w:pStyle w:val="57"/>
              <w:spacing w:beforeLines="0" w:afterLines="0" w:line="240" w:lineRule="auto"/>
              <w:jc w:val="left"/>
              <w:rPr>
                <w:rFonts w:ascii="Times New Roman" w:cs="宋体"/>
                <w:snapToGrid w:val="0"/>
                <w:color w:val="auto"/>
                <w:spacing w:val="-6"/>
                <w:kern w:val="21"/>
                <w:szCs w:val="21"/>
              </w:rPr>
            </w:pPr>
            <w:r>
              <w:rPr>
                <w:rFonts w:hint="eastAsia" w:ascii="Times New Roman" w:cs="宋体"/>
                <w:snapToGrid w:val="0"/>
                <w:color w:val="auto"/>
                <w:spacing w:val="-6"/>
                <w:kern w:val="21"/>
                <w:szCs w:val="21"/>
              </w:rPr>
              <w:t>分类</w:t>
            </w:r>
          </w:p>
        </w:tc>
        <w:tc>
          <w:tcPr>
            <w:tcW w:w="613" w:type="pct"/>
            <w:tcMar>
              <w:left w:w="28" w:type="dxa"/>
              <w:right w:w="28" w:type="dxa"/>
            </w:tcMar>
            <w:vAlign w:val="center"/>
          </w:tcPr>
          <w:p w14:paraId="2C9E3EF4">
            <w:pPr>
              <w:pStyle w:val="57"/>
              <w:spacing w:beforeLines="0" w:afterLines="0" w:line="240" w:lineRule="auto"/>
              <w:rPr>
                <w:rFonts w:ascii="Times New Roman" w:cs="宋体"/>
                <w:snapToGrid w:val="0"/>
                <w:color w:val="auto"/>
                <w:spacing w:val="-6"/>
                <w:kern w:val="21"/>
                <w:szCs w:val="21"/>
              </w:rPr>
            </w:pPr>
            <w:r>
              <w:rPr>
                <w:rFonts w:hint="eastAsia" w:ascii="Times New Roman" w:cs="宋体"/>
                <w:snapToGrid w:val="0"/>
                <w:color w:val="auto"/>
                <w:spacing w:val="-6"/>
                <w:kern w:val="21"/>
                <w:szCs w:val="21"/>
              </w:rPr>
              <w:t>污染物名称</w:t>
            </w:r>
          </w:p>
        </w:tc>
        <w:tc>
          <w:tcPr>
            <w:tcW w:w="613" w:type="pct"/>
            <w:tcMar>
              <w:left w:w="28" w:type="dxa"/>
              <w:right w:w="28" w:type="dxa"/>
            </w:tcMar>
            <w:vAlign w:val="center"/>
          </w:tcPr>
          <w:p w14:paraId="0569DE16">
            <w:pPr>
              <w:pStyle w:val="57"/>
              <w:spacing w:beforeLines="0" w:afterLines="0" w:line="240" w:lineRule="auto"/>
              <w:rPr>
                <w:rFonts w:ascii="Times New Roman" w:cs="宋体"/>
                <w:snapToGrid w:val="0"/>
                <w:color w:val="auto"/>
                <w:spacing w:val="-6"/>
                <w:kern w:val="21"/>
                <w:szCs w:val="21"/>
              </w:rPr>
            </w:pPr>
            <w:r>
              <w:rPr>
                <w:rFonts w:hint="eastAsia" w:ascii="Times New Roman" w:cs="宋体"/>
                <w:snapToGrid w:val="0"/>
                <w:color w:val="auto"/>
                <w:spacing w:val="-6"/>
                <w:kern w:val="21"/>
                <w:szCs w:val="21"/>
              </w:rPr>
              <w:t>现有工程</w:t>
            </w:r>
          </w:p>
          <w:p w14:paraId="7AC0F128">
            <w:pPr>
              <w:pStyle w:val="57"/>
              <w:spacing w:beforeLines="0" w:afterLines="0" w:line="240" w:lineRule="auto"/>
              <w:rPr>
                <w:rFonts w:ascii="Times New Roman" w:cs="宋体"/>
                <w:snapToGrid w:val="0"/>
                <w:color w:val="auto"/>
                <w:spacing w:val="-6"/>
                <w:kern w:val="21"/>
                <w:szCs w:val="21"/>
              </w:rPr>
            </w:pPr>
            <w:r>
              <w:rPr>
                <w:rFonts w:hint="eastAsia" w:ascii="Times New Roman" w:cs="宋体"/>
                <w:snapToGrid w:val="0"/>
                <w:color w:val="auto"/>
                <w:spacing w:val="-6"/>
                <w:kern w:val="21"/>
                <w:szCs w:val="21"/>
              </w:rPr>
              <w:t>排放量（固体废物产生量）</w:t>
            </w:r>
            <w:r>
              <w:rPr>
                <w:rFonts w:hint="eastAsia" w:ascii="Times New Roman" w:cs="宋体"/>
                <w:snapToGrid w:val="0"/>
                <w:color w:val="auto"/>
                <w:spacing w:val="-6"/>
                <w:kern w:val="21"/>
                <w:szCs w:val="21"/>
              </w:rPr>
              <w:fldChar w:fldCharType="begin"/>
            </w:r>
            <w:r>
              <w:rPr>
                <w:rFonts w:hint="eastAsia" w:ascii="Times New Roman" w:cs="宋体"/>
                <w:snapToGrid w:val="0"/>
                <w:color w:val="auto"/>
                <w:spacing w:val="-6"/>
                <w:kern w:val="21"/>
                <w:szCs w:val="21"/>
              </w:rPr>
              <w:instrText xml:space="preserve"> = 1 \* GB3 \* MERGEFORMAT </w:instrText>
            </w:r>
            <w:r>
              <w:rPr>
                <w:rFonts w:hint="eastAsia" w:ascii="Times New Roman" w:cs="宋体"/>
                <w:snapToGrid w:val="0"/>
                <w:color w:val="auto"/>
                <w:spacing w:val="-6"/>
                <w:kern w:val="21"/>
                <w:szCs w:val="21"/>
              </w:rPr>
              <w:fldChar w:fldCharType="separate"/>
            </w:r>
            <w:r>
              <w:rPr>
                <w:rFonts w:hint="eastAsia" w:ascii="Times New Roman" w:cs="宋体"/>
                <w:color w:val="auto"/>
                <w:kern w:val="2"/>
                <w:szCs w:val="21"/>
              </w:rPr>
              <w:t>①</w:t>
            </w:r>
            <w:r>
              <w:rPr>
                <w:rFonts w:hint="eastAsia" w:ascii="Times New Roman" w:cs="宋体"/>
                <w:snapToGrid w:val="0"/>
                <w:color w:val="auto"/>
                <w:spacing w:val="-6"/>
                <w:kern w:val="21"/>
                <w:szCs w:val="21"/>
              </w:rPr>
              <w:fldChar w:fldCharType="end"/>
            </w:r>
          </w:p>
        </w:tc>
        <w:tc>
          <w:tcPr>
            <w:tcW w:w="458" w:type="pct"/>
            <w:tcMar>
              <w:left w:w="28" w:type="dxa"/>
              <w:right w:w="28" w:type="dxa"/>
            </w:tcMar>
            <w:vAlign w:val="center"/>
          </w:tcPr>
          <w:p w14:paraId="7D33C2B5">
            <w:pPr>
              <w:pStyle w:val="57"/>
              <w:spacing w:beforeLines="0" w:afterLines="0" w:line="240" w:lineRule="auto"/>
              <w:rPr>
                <w:rFonts w:ascii="Times New Roman" w:cs="宋体"/>
                <w:snapToGrid w:val="0"/>
                <w:color w:val="auto"/>
                <w:spacing w:val="-6"/>
                <w:kern w:val="21"/>
                <w:szCs w:val="21"/>
              </w:rPr>
            </w:pPr>
            <w:r>
              <w:rPr>
                <w:rFonts w:hint="eastAsia" w:ascii="Times New Roman" w:cs="宋体"/>
                <w:snapToGrid w:val="0"/>
                <w:color w:val="auto"/>
                <w:spacing w:val="-6"/>
                <w:kern w:val="21"/>
                <w:szCs w:val="21"/>
              </w:rPr>
              <w:t>现有工程</w:t>
            </w:r>
          </w:p>
          <w:p w14:paraId="0BAF95BB">
            <w:pPr>
              <w:pStyle w:val="57"/>
              <w:spacing w:beforeLines="0" w:afterLines="0" w:line="240" w:lineRule="auto"/>
              <w:rPr>
                <w:rFonts w:ascii="Times New Roman" w:cs="宋体"/>
                <w:snapToGrid w:val="0"/>
                <w:color w:val="auto"/>
                <w:spacing w:val="-6"/>
                <w:kern w:val="21"/>
                <w:szCs w:val="21"/>
              </w:rPr>
            </w:pPr>
            <w:r>
              <w:rPr>
                <w:rFonts w:hint="eastAsia" w:ascii="Times New Roman" w:cs="宋体"/>
                <w:snapToGrid w:val="0"/>
                <w:color w:val="auto"/>
                <w:spacing w:val="-6"/>
                <w:kern w:val="21"/>
                <w:szCs w:val="21"/>
              </w:rPr>
              <w:t>许可排放量</w:t>
            </w:r>
          </w:p>
          <w:p w14:paraId="3464661B">
            <w:pPr>
              <w:pStyle w:val="57"/>
              <w:spacing w:beforeLines="0" w:afterLines="0" w:line="240" w:lineRule="auto"/>
              <w:rPr>
                <w:rFonts w:ascii="Times New Roman" w:cs="宋体"/>
                <w:snapToGrid w:val="0"/>
                <w:color w:val="auto"/>
                <w:spacing w:val="-6"/>
                <w:kern w:val="21"/>
                <w:szCs w:val="21"/>
              </w:rPr>
            </w:pPr>
            <w:r>
              <w:rPr>
                <w:rFonts w:hint="eastAsia" w:ascii="Times New Roman" w:cs="宋体"/>
                <w:snapToGrid w:val="0"/>
                <w:color w:val="auto"/>
                <w:spacing w:val="-6"/>
                <w:kern w:val="21"/>
                <w:szCs w:val="21"/>
              </w:rPr>
              <w:fldChar w:fldCharType="begin"/>
            </w:r>
            <w:r>
              <w:rPr>
                <w:rFonts w:hint="eastAsia" w:ascii="Times New Roman" w:cs="宋体"/>
                <w:snapToGrid w:val="0"/>
                <w:color w:val="auto"/>
                <w:spacing w:val="-6"/>
                <w:kern w:val="21"/>
                <w:szCs w:val="21"/>
              </w:rPr>
              <w:instrText xml:space="preserve"> = 2 \* GB3 \* MERGEFORMAT </w:instrText>
            </w:r>
            <w:r>
              <w:rPr>
                <w:rFonts w:hint="eastAsia" w:ascii="Times New Roman" w:cs="宋体"/>
                <w:snapToGrid w:val="0"/>
                <w:color w:val="auto"/>
                <w:spacing w:val="-6"/>
                <w:kern w:val="21"/>
                <w:szCs w:val="21"/>
              </w:rPr>
              <w:fldChar w:fldCharType="separate"/>
            </w:r>
            <w:r>
              <w:rPr>
                <w:rFonts w:hint="eastAsia" w:ascii="Times New Roman" w:cs="宋体"/>
                <w:snapToGrid w:val="0"/>
                <w:color w:val="auto"/>
                <w:spacing w:val="-6"/>
                <w:kern w:val="21"/>
                <w:szCs w:val="21"/>
              </w:rPr>
              <w:t>②</w:t>
            </w:r>
            <w:r>
              <w:rPr>
                <w:rFonts w:hint="eastAsia" w:ascii="Times New Roman" w:cs="宋体"/>
                <w:snapToGrid w:val="0"/>
                <w:color w:val="auto"/>
                <w:spacing w:val="-6"/>
                <w:kern w:val="21"/>
                <w:szCs w:val="21"/>
              </w:rPr>
              <w:fldChar w:fldCharType="end"/>
            </w:r>
          </w:p>
        </w:tc>
        <w:tc>
          <w:tcPr>
            <w:tcW w:w="613" w:type="pct"/>
            <w:tcMar>
              <w:left w:w="28" w:type="dxa"/>
              <w:right w:w="28" w:type="dxa"/>
            </w:tcMar>
            <w:vAlign w:val="center"/>
          </w:tcPr>
          <w:p w14:paraId="634A725F">
            <w:pPr>
              <w:pStyle w:val="57"/>
              <w:spacing w:beforeLines="0" w:afterLines="0" w:line="240" w:lineRule="auto"/>
              <w:rPr>
                <w:rFonts w:ascii="Times New Roman" w:cs="宋体"/>
                <w:snapToGrid w:val="0"/>
                <w:color w:val="auto"/>
                <w:spacing w:val="-6"/>
                <w:kern w:val="21"/>
                <w:szCs w:val="21"/>
              </w:rPr>
            </w:pPr>
            <w:r>
              <w:rPr>
                <w:rFonts w:hint="eastAsia" w:ascii="Times New Roman" w:cs="宋体"/>
                <w:snapToGrid w:val="0"/>
                <w:color w:val="auto"/>
                <w:spacing w:val="-6"/>
                <w:kern w:val="21"/>
                <w:szCs w:val="21"/>
              </w:rPr>
              <w:t>在建工程</w:t>
            </w:r>
          </w:p>
          <w:p w14:paraId="3BBF014A">
            <w:pPr>
              <w:pStyle w:val="57"/>
              <w:spacing w:beforeLines="0" w:afterLines="0" w:line="240" w:lineRule="auto"/>
              <w:rPr>
                <w:rFonts w:ascii="Times New Roman" w:cs="宋体"/>
                <w:snapToGrid w:val="0"/>
                <w:color w:val="auto"/>
                <w:spacing w:val="-6"/>
                <w:kern w:val="21"/>
                <w:szCs w:val="21"/>
              </w:rPr>
            </w:pPr>
            <w:r>
              <w:rPr>
                <w:rFonts w:hint="eastAsia" w:ascii="Times New Roman" w:cs="宋体"/>
                <w:snapToGrid w:val="0"/>
                <w:color w:val="auto"/>
                <w:spacing w:val="-6"/>
                <w:kern w:val="21"/>
                <w:szCs w:val="21"/>
              </w:rPr>
              <w:t>排放量（固体废物产生量）</w:t>
            </w:r>
            <w:r>
              <w:rPr>
                <w:rFonts w:hint="eastAsia" w:ascii="Times New Roman" w:cs="宋体"/>
                <w:snapToGrid w:val="0"/>
                <w:color w:val="auto"/>
                <w:spacing w:val="-6"/>
                <w:kern w:val="21"/>
                <w:szCs w:val="21"/>
              </w:rPr>
              <w:fldChar w:fldCharType="begin"/>
            </w:r>
            <w:r>
              <w:rPr>
                <w:rFonts w:hint="eastAsia" w:ascii="Times New Roman" w:cs="宋体"/>
                <w:snapToGrid w:val="0"/>
                <w:color w:val="auto"/>
                <w:spacing w:val="-6"/>
                <w:kern w:val="21"/>
                <w:szCs w:val="21"/>
              </w:rPr>
              <w:instrText xml:space="preserve"> = 3 \* GB3 \* MERGEFORMAT </w:instrText>
            </w:r>
            <w:r>
              <w:rPr>
                <w:rFonts w:hint="eastAsia" w:ascii="Times New Roman" w:cs="宋体"/>
                <w:snapToGrid w:val="0"/>
                <w:color w:val="auto"/>
                <w:spacing w:val="-6"/>
                <w:kern w:val="21"/>
                <w:szCs w:val="21"/>
              </w:rPr>
              <w:fldChar w:fldCharType="separate"/>
            </w:r>
            <w:r>
              <w:rPr>
                <w:rFonts w:hint="eastAsia" w:ascii="Times New Roman" w:cs="宋体"/>
                <w:color w:val="auto"/>
                <w:kern w:val="2"/>
                <w:szCs w:val="21"/>
              </w:rPr>
              <w:t>③</w:t>
            </w:r>
            <w:r>
              <w:rPr>
                <w:rFonts w:hint="eastAsia" w:ascii="Times New Roman" w:cs="宋体"/>
                <w:snapToGrid w:val="0"/>
                <w:color w:val="auto"/>
                <w:spacing w:val="-6"/>
                <w:kern w:val="21"/>
                <w:szCs w:val="21"/>
              </w:rPr>
              <w:fldChar w:fldCharType="end"/>
            </w:r>
          </w:p>
        </w:tc>
        <w:tc>
          <w:tcPr>
            <w:tcW w:w="562" w:type="pct"/>
            <w:tcMar>
              <w:left w:w="28" w:type="dxa"/>
              <w:right w:w="28" w:type="dxa"/>
            </w:tcMar>
            <w:vAlign w:val="center"/>
          </w:tcPr>
          <w:p w14:paraId="3B30D0E1">
            <w:pPr>
              <w:pStyle w:val="57"/>
              <w:spacing w:beforeLines="0" w:afterLines="0" w:line="240" w:lineRule="auto"/>
              <w:rPr>
                <w:rFonts w:ascii="Times New Roman" w:cs="宋体"/>
                <w:snapToGrid w:val="0"/>
                <w:color w:val="auto"/>
                <w:spacing w:val="-6"/>
                <w:kern w:val="21"/>
                <w:szCs w:val="21"/>
              </w:rPr>
            </w:pPr>
            <w:r>
              <w:rPr>
                <w:rFonts w:hint="eastAsia" w:ascii="Times New Roman" w:cs="宋体"/>
                <w:snapToGrid w:val="0"/>
                <w:color w:val="auto"/>
                <w:spacing w:val="-6"/>
                <w:kern w:val="21"/>
                <w:szCs w:val="21"/>
              </w:rPr>
              <w:t>本项目</w:t>
            </w:r>
          </w:p>
          <w:p w14:paraId="7449DF6C">
            <w:pPr>
              <w:pStyle w:val="57"/>
              <w:spacing w:beforeLines="0" w:afterLines="0" w:line="240" w:lineRule="auto"/>
              <w:rPr>
                <w:rFonts w:ascii="Times New Roman" w:cs="宋体"/>
                <w:snapToGrid w:val="0"/>
                <w:color w:val="auto"/>
                <w:spacing w:val="-6"/>
                <w:kern w:val="21"/>
                <w:szCs w:val="21"/>
              </w:rPr>
            </w:pPr>
            <w:r>
              <w:rPr>
                <w:rFonts w:hint="eastAsia" w:ascii="Times New Roman" w:cs="宋体"/>
                <w:snapToGrid w:val="0"/>
                <w:color w:val="auto"/>
                <w:spacing w:val="-6"/>
                <w:kern w:val="21"/>
                <w:szCs w:val="21"/>
              </w:rPr>
              <w:t>排放量（固体废物产生量）</w:t>
            </w:r>
            <w:r>
              <w:rPr>
                <w:rFonts w:hint="eastAsia" w:ascii="Times New Roman" w:cs="宋体"/>
                <w:snapToGrid w:val="0"/>
                <w:color w:val="auto"/>
                <w:spacing w:val="-6"/>
                <w:kern w:val="21"/>
                <w:szCs w:val="21"/>
              </w:rPr>
              <w:fldChar w:fldCharType="begin"/>
            </w:r>
            <w:r>
              <w:rPr>
                <w:rFonts w:hint="eastAsia" w:ascii="Times New Roman" w:cs="宋体"/>
                <w:snapToGrid w:val="0"/>
                <w:color w:val="auto"/>
                <w:spacing w:val="-6"/>
                <w:kern w:val="21"/>
                <w:szCs w:val="21"/>
              </w:rPr>
              <w:instrText xml:space="preserve"> = 4 \* GB3 \* MERGEFORMAT </w:instrText>
            </w:r>
            <w:r>
              <w:rPr>
                <w:rFonts w:hint="eastAsia" w:ascii="Times New Roman" w:cs="宋体"/>
                <w:snapToGrid w:val="0"/>
                <w:color w:val="auto"/>
                <w:spacing w:val="-6"/>
                <w:kern w:val="21"/>
                <w:szCs w:val="21"/>
              </w:rPr>
              <w:fldChar w:fldCharType="separate"/>
            </w:r>
            <w:r>
              <w:rPr>
                <w:rFonts w:hint="eastAsia" w:ascii="Times New Roman" w:cs="宋体"/>
                <w:color w:val="auto"/>
                <w:kern w:val="2"/>
                <w:szCs w:val="21"/>
              </w:rPr>
              <w:t>④</w:t>
            </w:r>
            <w:r>
              <w:rPr>
                <w:rFonts w:hint="eastAsia" w:ascii="Times New Roman" w:cs="宋体"/>
                <w:snapToGrid w:val="0"/>
                <w:color w:val="auto"/>
                <w:spacing w:val="-6"/>
                <w:kern w:val="21"/>
                <w:szCs w:val="21"/>
              </w:rPr>
              <w:fldChar w:fldCharType="end"/>
            </w:r>
          </w:p>
        </w:tc>
        <w:tc>
          <w:tcPr>
            <w:tcW w:w="634" w:type="pct"/>
            <w:tcMar>
              <w:left w:w="28" w:type="dxa"/>
              <w:right w:w="28" w:type="dxa"/>
            </w:tcMar>
            <w:vAlign w:val="center"/>
          </w:tcPr>
          <w:p w14:paraId="7DADACBF">
            <w:pPr>
              <w:pStyle w:val="57"/>
              <w:spacing w:beforeLines="0" w:afterLines="0" w:line="240" w:lineRule="auto"/>
              <w:rPr>
                <w:rFonts w:ascii="Times New Roman" w:cs="宋体"/>
                <w:snapToGrid w:val="0"/>
                <w:color w:val="auto"/>
                <w:spacing w:val="-16"/>
                <w:kern w:val="21"/>
                <w:szCs w:val="21"/>
              </w:rPr>
            </w:pPr>
            <w:r>
              <w:rPr>
                <w:rFonts w:hint="eastAsia" w:ascii="Times New Roman" w:cs="宋体"/>
                <w:snapToGrid w:val="0"/>
                <w:color w:val="auto"/>
                <w:spacing w:val="-16"/>
                <w:kern w:val="21"/>
                <w:szCs w:val="21"/>
              </w:rPr>
              <w:t>以新带老削减量</w:t>
            </w:r>
          </w:p>
          <w:p w14:paraId="67B0D050">
            <w:pPr>
              <w:pStyle w:val="57"/>
              <w:spacing w:beforeLines="0" w:afterLines="0" w:line="240" w:lineRule="auto"/>
              <w:rPr>
                <w:rFonts w:ascii="Times New Roman" w:cs="宋体"/>
                <w:snapToGrid w:val="0"/>
                <w:color w:val="auto"/>
                <w:spacing w:val="-16"/>
                <w:kern w:val="21"/>
                <w:szCs w:val="21"/>
              </w:rPr>
            </w:pPr>
            <w:r>
              <w:rPr>
                <w:rFonts w:hint="eastAsia" w:ascii="Times New Roman" w:cs="宋体"/>
                <w:snapToGrid w:val="0"/>
                <w:color w:val="auto"/>
                <w:spacing w:val="-16"/>
                <w:kern w:val="21"/>
                <w:szCs w:val="21"/>
              </w:rPr>
              <w:t>（新建项目不填）</w:t>
            </w:r>
            <w:r>
              <w:rPr>
                <w:rFonts w:hint="eastAsia" w:ascii="Times New Roman" w:cs="宋体"/>
                <w:snapToGrid w:val="0"/>
                <w:color w:val="auto"/>
                <w:spacing w:val="-16"/>
                <w:kern w:val="21"/>
                <w:szCs w:val="21"/>
              </w:rPr>
              <w:fldChar w:fldCharType="begin"/>
            </w:r>
            <w:r>
              <w:rPr>
                <w:rFonts w:hint="eastAsia" w:ascii="Times New Roman" w:cs="宋体"/>
                <w:snapToGrid w:val="0"/>
                <w:color w:val="auto"/>
                <w:spacing w:val="-16"/>
                <w:kern w:val="21"/>
                <w:szCs w:val="21"/>
              </w:rPr>
              <w:instrText xml:space="preserve"> = 5 \* GB3 \* MERGEFORMAT </w:instrText>
            </w:r>
            <w:r>
              <w:rPr>
                <w:rFonts w:hint="eastAsia" w:ascii="Times New Roman" w:cs="宋体"/>
                <w:snapToGrid w:val="0"/>
                <w:color w:val="auto"/>
                <w:spacing w:val="-16"/>
                <w:kern w:val="21"/>
                <w:szCs w:val="21"/>
              </w:rPr>
              <w:fldChar w:fldCharType="separate"/>
            </w:r>
            <w:r>
              <w:rPr>
                <w:rFonts w:hint="eastAsia" w:ascii="Times New Roman" w:cs="宋体"/>
                <w:color w:val="auto"/>
                <w:kern w:val="2"/>
                <w:szCs w:val="21"/>
              </w:rPr>
              <w:t>⑤</w:t>
            </w:r>
            <w:r>
              <w:rPr>
                <w:rFonts w:hint="eastAsia" w:ascii="Times New Roman" w:cs="宋体"/>
                <w:snapToGrid w:val="0"/>
                <w:color w:val="auto"/>
                <w:spacing w:val="-16"/>
                <w:kern w:val="21"/>
                <w:szCs w:val="21"/>
              </w:rPr>
              <w:fldChar w:fldCharType="end"/>
            </w:r>
          </w:p>
        </w:tc>
        <w:tc>
          <w:tcPr>
            <w:tcW w:w="643" w:type="pct"/>
            <w:tcMar>
              <w:left w:w="28" w:type="dxa"/>
              <w:right w:w="28" w:type="dxa"/>
            </w:tcMar>
            <w:vAlign w:val="center"/>
          </w:tcPr>
          <w:p w14:paraId="5956DA11">
            <w:pPr>
              <w:pStyle w:val="57"/>
              <w:spacing w:beforeLines="0" w:afterLines="0" w:line="240" w:lineRule="auto"/>
              <w:rPr>
                <w:rFonts w:ascii="Times New Roman" w:cs="宋体"/>
                <w:snapToGrid w:val="0"/>
                <w:color w:val="auto"/>
                <w:spacing w:val="-16"/>
                <w:kern w:val="21"/>
                <w:szCs w:val="21"/>
              </w:rPr>
            </w:pPr>
            <w:r>
              <w:rPr>
                <w:rFonts w:hint="eastAsia" w:ascii="Times New Roman" w:cs="宋体"/>
                <w:snapToGrid w:val="0"/>
                <w:color w:val="auto"/>
                <w:spacing w:val="-16"/>
                <w:kern w:val="21"/>
                <w:szCs w:val="21"/>
              </w:rPr>
              <w:t>本项目建成后全厂排放量（固体废物产生量）⑥</w:t>
            </w:r>
          </w:p>
        </w:tc>
        <w:tc>
          <w:tcPr>
            <w:tcW w:w="390" w:type="pct"/>
            <w:tcMar>
              <w:left w:w="28" w:type="dxa"/>
              <w:right w:w="28" w:type="dxa"/>
            </w:tcMar>
            <w:vAlign w:val="center"/>
          </w:tcPr>
          <w:p w14:paraId="2176F1E3">
            <w:pPr>
              <w:pStyle w:val="57"/>
              <w:spacing w:beforeLines="0" w:afterLines="0" w:line="240" w:lineRule="auto"/>
              <w:rPr>
                <w:rFonts w:ascii="Times New Roman" w:cs="宋体"/>
                <w:snapToGrid w:val="0"/>
                <w:color w:val="auto"/>
                <w:spacing w:val="-6"/>
                <w:kern w:val="21"/>
                <w:szCs w:val="21"/>
              </w:rPr>
            </w:pPr>
            <w:r>
              <w:rPr>
                <w:rFonts w:hint="eastAsia" w:ascii="Times New Roman" w:cs="宋体"/>
                <w:snapToGrid w:val="0"/>
                <w:color w:val="auto"/>
                <w:spacing w:val="-6"/>
                <w:kern w:val="21"/>
                <w:szCs w:val="21"/>
              </w:rPr>
              <w:t>变化量</w:t>
            </w:r>
          </w:p>
          <w:p w14:paraId="0C31AED9">
            <w:pPr>
              <w:pStyle w:val="57"/>
              <w:spacing w:beforeLines="0" w:afterLines="0" w:line="240" w:lineRule="auto"/>
              <w:rPr>
                <w:rFonts w:ascii="Times New Roman" w:cs="宋体"/>
                <w:snapToGrid w:val="0"/>
                <w:color w:val="auto"/>
                <w:spacing w:val="-6"/>
                <w:kern w:val="21"/>
                <w:szCs w:val="21"/>
              </w:rPr>
            </w:pPr>
            <w:r>
              <w:rPr>
                <w:rFonts w:hint="eastAsia" w:ascii="Times New Roman" w:cs="宋体"/>
                <w:snapToGrid w:val="0"/>
                <w:color w:val="auto"/>
                <w:spacing w:val="-6"/>
                <w:kern w:val="21"/>
                <w:szCs w:val="21"/>
              </w:rPr>
              <w:fldChar w:fldCharType="begin"/>
            </w:r>
            <w:r>
              <w:rPr>
                <w:rFonts w:hint="eastAsia" w:ascii="Times New Roman" w:cs="宋体"/>
                <w:snapToGrid w:val="0"/>
                <w:color w:val="auto"/>
                <w:spacing w:val="-6"/>
                <w:kern w:val="21"/>
                <w:szCs w:val="21"/>
              </w:rPr>
              <w:instrText xml:space="preserve"> = 7 \* GB3 \* MERGEFORMAT </w:instrText>
            </w:r>
            <w:r>
              <w:rPr>
                <w:rFonts w:hint="eastAsia" w:ascii="Times New Roman" w:cs="宋体"/>
                <w:snapToGrid w:val="0"/>
                <w:color w:val="auto"/>
                <w:spacing w:val="-6"/>
                <w:kern w:val="21"/>
                <w:szCs w:val="21"/>
              </w:rPr>
              <w:fldChar w:fldCharType="separate"/>
            </w:r>
            <w:r>
              <w:rPr>
                <w:rFonts w:hint="eastAsia" w:ascii="Times New Roman" w:cs="宋体"/>
                <w:color w:val="auto"/>
                <w:kern w:val="2"/>
                <w:szCs w:val="21"/>
              </w:rPr>
              <w:t>⑦</w:t>
            </w:r>
            <w:r>
              <w:rPr>
                <w:rFonts w:hint="eastAsia" w:ascii="Times New Roman" w:cs="宋体"/>
                <w:snapToGrid w:val="0"/>
                <w:color w:val="auto"/>
                <w:spacing w:val="-6"/>
                <w:kern w:val="21"/>
                <w:szCs w:val="21"/>
              </w:rPr>
              <w:fldChar w:fldCharType="end"/>
            </w:r>
          </w:p>
        </w:tc>
      </w:tr>
      <w:tr w14:paraId="6A3FAF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469" w:type="pct"/>
            <w:vMerge w:val="restart"/>
            <w:vAlign w:val="center"/>
          </w:tcPr>
          <w:p w14:paraId="295D7F2E">
            <w:pPr>
              <w:pStyle w:val="57"/>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废气</w:t>
            </w:r>
          </w:p>
        </w:tc>
        <w:tc>
          <w:tcPr>
            <w:tcW w:w="613" w:type="pct"/>
            <w:vAlign w:val="center"/>
          </w:tcPr>
          <w:p w14:paraId="6E2D9B4D">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颗粒物</w:t>
            </w:r>
          </w:p>
        </w:tc>
        <w:tc>
          <w:tcPr>
            <w:tcW w:w="613" w:type="pct"/>
            <w:vAlign w:val="center"/>
          </w:tcPr>
          <w:p w14:paraId="1F514704">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458" w:type="pct"/>
            <w:vAlign w:val="center"/>
          </w:tcPr>
          <w:p w14:paraId="722E5A2F">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613" w:type="pct"/>
            <w:vAlign w:val="center"/>
          </w:tcPr>
          <w:p w14:paraId="6A99D4A1">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562" w:type="pct"/>
            <w:vAlign w:val="center"/>
          </w:tcPr>
          <w:p w14:paraId="45B795E2">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jc w:val="center"/>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0.172t/a</w:t>
            </w:r>
          </w:p>
        </w:tc>
        <w:tc>
          <w:tcPr>
            <w:tcW w:w="634" w:type="pct"/>
            <w:vAlign w:val="center"/>
          </w:tcPr>
          <w:p w14:paraId="1782568F">
            <w:pPr>
              <w:pStyle w:val="57"/>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w:t>
            </w:r>
          </w:p>
        </w:tc>
        <w:tc>
          <w:tcPr>
            <w:tcW w:w="643" w:type="pct"/>
            <w:vAlign w:val="center"/>
          </w:tcPr>
          <w:p w14:paraId="5CA1C906">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jc w:val="center"/>
              <w:rPr>
                <w:rFonts w:hint="eastAsia" w:ascii="Times New Roman" w:hAnsi="Times New Roman" w:eastAsia="宋体" w:cs="宋体"/>
                <w:snapToGrid w:val="0"/>
                <w:color w:val="auto"/>
                <w:kern w:val="21"/>
                <w:sz w:val="21"/>
                <w:szCs w:val="21"/>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0.17t/a</w:t>
            </w:r>
          </w:p>
        </w:tc>
        <w:tc>
          <w:tcPr>
            <w:tcW w:w="390" w:type="pct"/>
            <w:vAlign w:val="center"/>
          </w:tcPr>
          <w:p w14:paraId="54D49B48">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jc w:val="center"/>
              <w:rPr>
                <w:rFonts w:hint="eastAsia" w:ascii="Times New Roman" w:hAnsi="Times New Roman" w:eastAsia="宋体" w:cs="宋体"/>
                <w:snapToGrid w:val="0"/>
                <w:color w:val="auto"/>
                <w:kern w:val="21"/>
                <w:sz w:val="21"/>
                <w:szCs w:val="21"/>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0.17t/a</w:t>
            </w:r>
          </w:p>
        </w:tc>
      </w:tr>
      <w:tr w14:paraId="694110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469" w:type="pct"/>
            <w:vMerge w:val="continue"/>
            <w:vAlign w:val="center"/>
          </w:tcPr>
          <w:p w14:paraId="33623511">
            <w:pPr>
              <w:pStyle w:val="57"/>
              <w:spacing w:beforeLines="0" w:afterLines="0" w:line="240" w:lineRule="auto"/>
              <w:rPr>
                <w:rFonts w:ascii="Times New Roman" w:cs="宋体"/>
                <w:snapToGrid w:val="0"/>
                <w:color w:val="auto"/>
                <w:kern w:val="21"/>
                <w:szCs w:val="21"/>
              </w:rPr>
            </w:pPr>
          </w:p>
        </w:tc>
        <w:tc>
          <w:tcPr>
            <w:tcW w:w="613" w:type="pct"/>
            <w:vAlign w:val="center"/>
          </w:tcPr>
          <w:p w14:paraId="46C0AE91">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SO</w:t>
            </w:r>
            <w:r>
              <w:rPr>
                <w:rFonts w:hint="default" w:ascii="Times New Roman" w:hAnsi="Times New Roman" w:eastAsia="宋体" w:cs="Times New Roman"/>
                <w:b w:val="0"/>
                <w:bCs w:val="0"/>
                <w:color w:val="auto"/>
                <w:kern w:val="0"/>
                <w:sz w:val="21"/>
                <w:szCs w:val="21"/>
                <w:highlight w:val="none"/>
                <w:vertAlign w:val="subscript"/>
                <w:lang w:val="en-US" w:eastAsia="zh-CN" w:bidi="ar-SA"/>
              </w:rPr>
              <w:t>2</w:t>
            </w:r>
          </w:p>
        </w:tc>
        <w:tc>
          <w:tcPr>
            <w:tcW w:w="613" w:type="pct"/>
            <w:vAlign w:val="center"/>
          </w:tcPr>
          <w:p w14:paraId="5B2A577D">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458" w:type="pct"/>
            <w:vAlign w:val="center"/>
          </w:tcPr>
          <w:p w14:paraId="1CB100E0">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613" w:type="pct"/>
            <w:vAlign w:val="center"/>
          </w:tcPr>
          <w:p w14:paraId="216D4444">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562" w:type="pct"/>
            <w:vAlign w:val="center"/>
          </w:tcPr>
          <w:p w14:paraId="6F531201">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jc w:val="center"/>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0.285t/a</w:t>
            </w:r>
          </w:p>
        </w:tc>
        <w:tc>
          <w:tcPr>
            <w:tcW w:w="634" w:type="pct"/>
            <w:vAlign w:val="center"/>
          </w:tcPr>
          <w:p w14:paraId="6EAEBF31">
            <w:pPr>
              <w:pStyle w:val="57"/>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w:t>
            </w:r>
          </w:p>
        </w:tc>
        <w:tc>
          <w:tcPr>
            <w:tcW w:w="643" w:type="pct"/>
            <w:vAlign w:val="center"/>
          </w:tcPr>
          <w:p w14:paraId="712A0A5C">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jc w:val="center"/>
              <w:rPr>
                <w:rFonts w:hint="eastAsia" w:ascii="Times New Roman" w:hAnsi="Times New Roman" w:eastAsia="宋体" w:cs="宋体"/>
                <w:snapToGrid w:val="0"/>
                <w:color w:val="auto"/>
                <w:kern w:val="21"/>
                <w:sz w:val="21"/>
                <w:szCs w:val="21"/>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0.285t/a</w:t>
            </w:r>
          </w:p>
        </w:tc>
        <w:tc>
          <w:tcPr>
            <w:tcW w:w="390" w:type="pct"/>
            <w:vAlign w:val="center"/>
          </w:tcPr>
          <w:p w14:paraId="0B574DEA">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jc w:val="center"/>
              <w:rPr>
                <w:rFonts w:hint="eastAsia" w:ascii="Times New Roman" w:hAnsi="Times New Roman" w:eastAsia="宋体" w:cs="宋体"/>
                <w:snapToGrid w:val="0"/>
                <w:color w:val="auto"/>
                <w:kern w:val="21"/>
                <w:sz w:val="21"/>
                <w:szCs w:val="21"/>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0.285t/a</w:t>
            </w:r>
          </w:p>
        </w:tc>
      </w:tr>
      <w:tr w14:paraId="7EE187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469" w:type="pct"/>
            <w:vMerge w:val="continue"/>
            <w:vAlign w:val="center"/>
          </w:tcPr>
          <w:p w14:paraId="3CAE4339">
            <w:pPr>
              <w:pStyle w:val="57"/>
              <w:spacing w:beforeLines="0" w:afterLines="0" w:line="240" w:lineRule="auto"/>
              <w:rPr>
                <w:rFonts w:ascii="Times New Roman" w:cs="宋体"/>
                <w:snapToGrid w:val="0"/>
                <w:color w:val="auto"/>
                <w:kern w:val="21"/>
                <w:szCs w:val="21"/>
              </w:rPr>
            </w:pPr>
          </w:p>
        </w:tc>
        <w:tc>
          <w:tcPr>
            <w:tcW w:w="613" w:type="pct"/>
            <w:vAlign w:val="center"/>
          </w:tcPr>
          <w:p w14:paraId="70E5FB0A">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NO</w:t>
            </w:r>
            <w:r>
              <w:rPr>
                <w:rFonts w:hint="default" w:ascii="Times New Roman" w:hAnsi="Times New Roman" w:eastAsia="宋体" w:cs="Times New Roman"/>
                <w:b w:val="0"/>
                <w:bCs w:val="0"/>
                <w:color w:val="auto"/>
                <w:kern w:val="0"/>
                <w:sz w:val="21"/>
                <w:szCs w:val="21"/>
                <w:highlight w:val="none"/>
                <w:vertAlign w:val="subscript"/>
                <w:lang w:val="en-US" w:eastAsia="zh-CN" w:bidi="ar-SA"/>
              </w:rPr>
              <w:t>X</w:t>
            </w:r>
          </w:p>
        </w:tc>
        <w:tc>
          <w:tcPr>
            <w:tcW w:w="613" w:type="pct"/>
            <w:vAlign w:val="center"/>
          </w:tcPr>
          <w:p w14:paraId="6592EA17">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458" w:type="pct"/>
            <w:vAlign w:val="center"/>
          </w:tcPr>
          <w:p w14:paraId="2B7C2741">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613" w:type="pct"/>
            <w:vAlign w:val="center"/>
          </w:tcPr>
          <w:p w14:paraId="04F0496C">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562" w:type="pct"/>
            <w:vAlign w:val="center"/>
          </w:tcPr>
          <w:p w14:paraId="4ED806BA">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jc w:val="center"/>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0.474t/a</w:t>
            </w:r>
          </w:p>
        </w:tc>
        <w:tc>
          <w:tcPr>
            <w:tcW w:w="634" w:type="pct"/>
            <w:vAlign w:val="center"/>
          </w:tcPr>
          <w:p w14:paraId="03B984B9">
            <w:pPr>
              <w:spacing w:beforeLines="0" w:afterLines="0" w:line="240" w:lineRule="auto"/>
              <w:jc w:val="center"/>
              <w:rPr>
                <w:rFonts w:hint="eastAsia" w:ascii="Times New Roman" w:cs="宋体"/>
                <w:snapToGrid w:val="0"/>
                <w:color w:val="auto"/>
                <w:kern w:val="21"/>
                <w:szCs w:val="21"/>
              </w:rPr>
            </w:pPr>
            <w:r>
              <w:rPr>
                <w:rFonts w:hint="eastAsia" w:ascii="Times New Roman" w:cs="宋体"/>
                <w:snapToGrid w:val="0"/>
                <w:color w:val="auto"/>
                <w:kern w:val="21"/>
                <w:szCs w:val="21"/>
              </w:rPr>
              <w:t>/</w:t>
            </w:r>
          </w:p>
        </w:tc>
        <w:tc>
          <w:tcPr>
            <w:tcW w:w="643" w:type="pct"/>
            <w:vAlign w:val="center"/>
          </w:tcPr>
          <w:p w14:paraId="3501F8EB">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jc w:val="center"/>
              <w:rPr>
                <w:rFonts w:hint="eastAsia"/>
                <w:b w:val="0"/>
                <w:bCs w:val="0"/>
                <w:color w:val="auto"/>
                <w:szCs w:val="21"/>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bidi="ar-SA"/>
              </w:rPr>
              <w:t>0.915t/a</w:t>
            </w:r>
          </w:p>
        </w:tc>
        <w:tc>
          <w:tcPr>
            <w:tcW w:w="390" w:type="pct"/>
            <w:vAlign w:val="center"/>
          </w:tcPr>
          <w:p w14:paraId="423BB831">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jc w:val="center"/>
              <w:rPr>
                <w:rFonts w:hint="eastAsia"/>
                <w:b w:val="0"/>
                <w:bCs w:val="0"/>
                <w:color w:val="auto"/>
                <w:szCs w:val="21"/>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bidi="ar-SA"/>
              </w:rPr>
              <w:t>0.915t/a</w:t>
            </w:r>
          </w:p>
        </w:tc>
      </w:tr>
      <w:tr w14:paraId="6FAF8D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469" w:type="pct"/>
            <w:vMerge w:val="continue"/>
            <w:vAlign w:val="center"/>
          </w:tcPr>
          <w:p w14:paraId="65BE9326">
            <w:pPr>
              <w:pStyle w:val="57"/>
              <w:spacing w:beforeLines="0" w:afterLines="0" w:line="240" w:lineRule="auto"/>
              <w:rPr>
                <w:rFonts w:ascii="Times New Roman" w:cs="宋体"/>
                <w:snapToGrid w:val="0"/>
                <w:color w:val="auto"/>
                <w:kern w:val="21"/>
                <w:szCs w:val="21"/>
              </w:rPr>
            </w:pPr>
          </w:p>
        </w:tc>
        <w:tc>
          <w:tcPr>
            <w:tcW w:w="613" w:type="pct"/>
            <w:vAlign w:val="center"/>
          </w:tcPr>
          <w:p w14:paraId="179D546F">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非甲烷总烃</w:t>
            </w:r>
          </w:p>
        </w:tc>
        <w:tc>
          <w:tcPr>
            <w:tcW w:w="613" w:type="pct"/>
            <w:vAlign w:val="center"/>
          </w:tcPr>
          <w:p w14:paraId="72964F96">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458" w:type="pct"/>
            <w:vAlign w:val="center"/>
          </w:tcPr>
          <w:p w14:paraId="180EA109">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613" w:type="pct"/>
            <w:vAlign w:val="center"/>
          </w:tcPr>
          <w:p w14:paraId="70BF8FFE">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562" w:type="pct"/>
            <w:vAlign w:val="center"/>
          </w:tcPr>
          <w:p w14:paraId="7F2F46B4">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0.011t/a</w:t>
            </w:r>
          </w:p>
        </w:tc>
        <w:tc>
          <w:tcPr>
            <w:tcW w:w="634" w:type="pct"/>
            <w:vAlign w:val="center"/>
          </w:tcPr>
          <w:p w14:paraId="0E970D54">
            <w:pPr>
              <w:spacing w:beforeLines="0" w:afterLines="0" w:line="240" w:lineRule="auto"/>
              <w:jc w:val="center"/>
              <w:rPr>
                <w:rFonts w:hint="eastAsia" w:ascii="Times New Roman" w:cs="宋体"/>
                <w:snapToGrid w:val="0"/>
                <w:color w:val="auto"/>
                <w:kern w:val="21"/>
                <w:szCs w:val="21"/>
              </w:rPr>
            </w:pPr>
            <w:r>
              <w:rPr>
                <w:rFonts w:hint="eastAsia" w:ascii="Times New Roman" w:cs="宋体"/>
                <w:snapToGrid w:val="0"/>
                <w:color w:val="auto"/>
                <w:kern w:val="21"/>
                <w:szCs w:val="21"/>
              </w:rPr>
              <w:t>/</w:t>
            </w:r>
          </w:p>
        </w:tc>
        <w:tc>
          <w:tcPr>
            <w:tcW w:w="643" w:type="pct"/>
            <w:vAlign w:val="center"/>
          </w:tcPr>
          <w:p w14:paraId="7764E64A">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b w:val="0"/>
                <w:bCs w:val="0"/>
                <w:color w:val="auto"/>
                <w:szCs w:val="21"/>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bidi="ar-SA"/>
              </w:rPr>
              <w:t>0.011t/a</w:t>
            </w:r>
          </w:p>
        </w:tc>
        <w:tc>
          <w:tcPr>
            <w:tcW w:w="390" w:type="pct"/>
            <w:vAlign w:val="center"/>
          </w:tcPr>
          <w:p w14:paraId="68E4F736">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b w:val="0"/>
                <w:bCs w:val="0"/>
                <w:color w:val="auto"/>
                <w:szCs w:val="21"/>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bidi="ar-SA"/>
              </w:rPr>
              <w:t>0.011t/a</w:t>
            </w:r>
          </w:p>
        </w:tc>
      </w:tr>
      <w:tr w14:paraId="6884C8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469" w:type="pct"/>
            <w:vMerge w:val="continue"/>
            <w:vAlign w:val="center"/>
          </w:tcPr>
          <w:p w14:paraId="10068F9E">
            <w:pPr>
              <w:pStyle w:val="57"/>
              <w:spacing w:beforeLines="0" w:afterLines="0" w:line="240" w:lineRule="auto"/>
              <w:rPr>
                <w:rFonts w:ascii="Times New Roman" w:cs="宋体"/>
                <w:snapToGrid w:val="0"/>
                <w:color w:val="auto"/>
                <w:kern w:val="21"/>
                <w:szCs w:val="21"/>
              </w:rPr>
            </w:pPr>
          </w:p>
        </w:tc>
        <w:tc>
          <w:tcPr>
            <w:tcW w:w="613" w:type="pct"/>
            <w:vAlign w:val="center"/>
          </w:tcPr>
          <w:p w14:paraId="32C03636">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工业粉尘</w:t>
            </w:r>
          </w:p>
        </w:tc>
        <w:tc>
          <w:tcPr>
            <w:tcW w:w="613" w:type="pct"/>
            <w:vAlign w:val="center"/>
          </w:tcPr>
          <w:p w14:paraId="1C18F820">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458" w:type="pct"/>
            <w:vAlign w:val="center"/>
          </w:tcPr>
          <w:p w14:paraId="59018F04">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613" w:type="pct"/>
            <w:vAlign w:val="center"/>
          </w:tcPr>
          <w:p w14:paraId="13B30FE1">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562" w:type="pct"/>
            <w:vAlign w:val="center"/>
          </w:tcPr>
          <w:p w14:paraId="03E5F6AC">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0.0163t/a</w:t>
            </w:r>
          </w:p>
        </w:tc>
        <w:tc>
          <w:tcPr>
            <w:tcW w:w="634" w:type="pct"/>
            <w:vAlign w:val="center"/>
          </w:tcPr>
          <w:p w14:paraId="540513D2">
            <w:pPr>
              <w:spacing w:beforeLines="0" w:afterLines="0" w:line="240" w:lineRule="auto"/>
              <w:jc w:val="center"/>
              <w:rPr>
                <w:rFonts w:hint="eastAsia" w:ascii="Times New Roman" w:cs="宋体"/>
                <w:snapToGrid w:val="0"/>
                <w:color w:val="auto"/>
                <w:kern w:val="21"/>
                <w:szCs w:val="21"/>
              </w:rPr>
            </w:pPr>
            <w:r>
              <w:rPr>
                <w:rFonts w:hint="eastAsia" w:ascii="Times New Roman" w:cs="宋体"/>
                <w:snapToGrid w:val="0"/>
                <w:color w:val="auto"/>
                <w:kern w:val="21"/>
                <w:szCs w:val="21"/>
              </w:rPr>
              <w:t>/</w:t>
            </w:r>
          </w:p>
        </w:tc>
        <w:tc>
          <w:tcPr>
            <w:tcW w:w="643" w:type="pct"/>
            <w:vAlign w:val="center"/>
          </w:tcPr>
          <w:p w14:paraId="404523EF">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b w:val="0"/>
                <w:bCs w:val="0"/>
                <w:color w:val="auto"/>
                <w:szCs w:val="21"/>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bidi="ar-SA"/>
              </w:rPr>
              <w:t>0.0163t/a</w:t>
            </w:r>
          </w:p>
        </w:tc>
        <w:tc>
          <w:tcPr>
            <w:tcW w:w="390" w:type="pct"/>
            <w:vAlign w:val="center"/>
          </w:tcPr>
          <w:p w14:paraId="08E1362D">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b w:val="0"/>
                <w:bCs w:val="0"/>
                <w:color w:val="auto"/>
                <w:szCs w:val="21"/>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bidi="ar-SA"/>
              </w:rPr>
              <w:t>0.0163t/a</w:t>
            </w:r>
          </w:p>
        </w:tc>
      </w:tr>
      <w:tr w14:paraId="31AB25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469" w:type="pct"/>
            <w:vMerge w:val="restart"/>
            <w:vAlign w:val="center"/>
          </w:tcPr>
          <w:p w14:paraId="512D8986">
            <w:pPr>
              <w:pStyle w:val="57"/>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废水</w:t>
            </w:r>
          </w:p>
        </w:tc>
        <w:tc>
          <w:tcPr>
            <w:tcW w:w="613" w:type="pct"/>
            <w:vAlign w:val="center"/>
          </w:tcPr>
          <w:p w14:paraId="20CCC0F4">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COD</w:t>
            </w:r>
          </w:p>
        </w:tc>
        <w:tc>
          <w:tcPr>
            <w:tcW w:w="613" w:type="pct"/>
            <w:vAlign w:val="center"/>
          </w:tcPr>
          <w:p w14:paraId="35CBBC48">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458" w:type="pct"/>
            <w:vAlign w:val="center"/>
          </w:tcPr>
          <w:p w14:paraId="3BAC6DD5">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613" w:type="pct"/>
            <w:vAlign w:val="center"/>
          </w:tcPr>
          <w:p w14:paraId="4C1FACA9">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562" w:type="pct"/>
            <w:vAlign w:val="center"/>
          </w:tcPr>
          <w:p w14:paraId="493F5D73">
            <w:pPr>
              <w:pStyle w:val="136"/>
              <w:spacing w:line="240" w:lineRule="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0.297t/a</w:t>
            </w:r>
          </w:p>
        </w:tc>
        <w:tc>
          <w:tcPr>
            <w:tcW w:w="634" w:type="pct"/>
            <w:vAlign w:val="center"/>
          </w:tcPr>
          <w:p w14:paraId="59D34225">
            <w:pPr>
              <w:spacing w:beforeLines="0" w:afterLines="0" w:line="240" w:lineRule="auto"/>
              <w:jc w:val="center"/>
              <w:rPr>
                <w:rFonts w:ascii="Times New Roman" w:cs="宋体"/>
                <w:snapToGrid w:val="0"/>
                <w:color w:val="auto"/>
                <w:kern w:val="21"/>
                <w:szCs w:val="21"/>
              </w:rPr>
            </w:pPr>
            <w:r>
              <w:rPr>
                <w:rFonts w:hint="eastAsia" w:ascii="Times New Roman" w:cs="宋体"/>
                <w:snapToGrid w:val="0"/>
                <w:color w:val="auto"/>
                <w:kern w:val="21"/>
                <w:szCs w:val="21"/>
              </w:rPr>
              <w:t>/</w:t>
            </w:r>
          </w:p>
        </w:tc>
        <w:tc>
          <w:tcPr>
            <w:tcW w:w="643" w:type="pct"/>
            <w:vAlign w:val="center"/>
          </w:tcPr>
          <w:p w14:paraId="09A14579">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0.267t/a</w:t>
            </w:r>
          </w:p>
        </w:tc>
        <w:tc>
          <w:tcPr>
            <w:tcW w:w="390" w:type="pct"/>
            <w:vAlign w:val="center"/>
          </w:tcPr>
          <w:p w14:paraId="56F0C9EE">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0.267t/a</w:t>
            </w:r>
          </w:p>
        </w:tc>
      </w:tr>
      <w:tr w14:paraId="3C747D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469" w:type="pct"/>
            <w:vMerge w:val="continue"/>
            <w:vAlign w:val="center"/>
          </w:tcPr>
          <w:p w14:paraId="24FAA05C">
            <w:pPr>
              <w:pStyle w:val="57"/>
              <w:spacing w:beforeLines="0" w:afterLines="0" w:line="240" w:lineRule="auto"/>
              <w:rPr>
                <w:rFonts w:ascii="Times New Roman" w:cs="宋体"/>
                <w:snapToGrid w:val="0"/>
                <w:color w:val="auto"/>
                <w:kern w:val="21"/>
                <w:szCs w:val="21"/>
              </w:rPr>
            </w:pPr>
          </w:p>
        </w:tc>
        <w:tc>
          <w:tcPr>
            <w:tcW w:w="613" w:type="pct"/>
            <w:vAlign w:val="center"/>
          </w:tcPr>
          <w:p w14:paraId="09694054">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氨氮</w:t>
            </w:r>
          </w:p>
        </w:tc>
        <w:tc>
          <w:tcPr>
            <w:tcW w:w="613" w:type="pct"/>
            <w:vAlign w:val="center"/>
          </w:tcPr>
          <w:p w14:paraId="39C713D3">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458" w:type="pct"/>
            <w:vAlign w:val="center"/>
          </w:tcPr>
          <w:p w14:paraId="453322D8">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613" w:type="pct"/>
            <w:vAlign w:val="center"/>
          </w:tcPr>
          <w:p w14:paraId="0BE97A66">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562" w:type="pct"/>
            <w:vAlign w:val="center"/>
          </w:tcPr>
          <w:p w14:paraId="71AEE53D">
            <w:pPr>
              <w:pStyle w:val="136"/>
              <w:spacing w:line="240" w:lineRule="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0.056t/a</w:t>
            </w:r>
          </w:p>
        </w:tc>
        <w:tc>
          <w:tcPr>
            <w:tcW w:w="634" w:type="pct"/>
            <w:vAlign w:val="center"/>
          </w:tcPr>
          <w:p w14:paraId="24BA39D0">
            <w:pPr>
              <w:spacing w:beforeLines="0" w:afterLines="0" w:line="240" w:lineRule="auto"/>
              <w:jc w:val="center"/>
              <w:rPr>
                <w:rFonts w:ascii="Times New Roman" w:cs="宋体"/>
                <w:snapToGrid w:val="0"/>
                <w:color w:val="auto"/>
                <w:kern w:val="21"/>
                <w:szCs w:val="21"/>
              </w:rPr>
            </w:pPr>
            <w:r>
              <w:rPr>
                <w:rFonts w:hint="eastAsia" w:ascii="Times New Roman" w:cs="宋体"/>
                <w:snapToGrid w:val="0"/>
                <w:color w:val="auto"/>
                <w:kern w:val="21"/>
                <w:szCs w:val="21"/>
              </w:rPr>
              <w:t>/</w:t>
            </w:r>
          </w:p>
        </w:tc>
        <w:tc>
          <w:tcPr>
            <w:tcW w:w="643" w:type="pct"/>
            <w:vAlign w:val="center"/>
          </w:tcPr>
          <w:p w14:paraId="62036A38">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0.053t/a</w:t>
            </w:r>
          </w:p>
        </w:tc>
        <w:tc>
          <w:tcPr>
            <w:tcW w:w="390" w:type="pct"/>
            <w:vAlign w:val="center"/>
          </w:tcPr>
          <w:p w14:paraId="4076FB8F">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0.053t/a</w:t>
            </w:r>
          </w:p>
        </w:tc>
      </w:tr>
      <w:tr w14:paraId="5436A0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469" w:type="pct"/>
            <w:vMerge w:val="continue"/>
            <w:vAlign w:val="center"/>
          </w:tcPr>
          <w:p w14:paraId="3B7B4F0A">
            <w:pPr>
              <w:pStyle w:val="57"/>
              <w:spacing w:beforeLines="0" w:afterLines="0" w:line="240" w:lineRule="auto"/>
              <w:rPr>
                <w:rFonts w:ascii="Times New Roman" w:cs="宋体"/>
                <w:snapToGrid w:val="0"/>
                <w:color w:val="auto"/>
                <w:kern w:val="21"/>
                <w:szCs w:val="21"/>
              </w:rPr>
            </w:pPr>
          </w:p>
        </w:tc>
        <w:tc>
          <w:tcPr>
            <w:tcW w:w="613" w:type="pct"/>
            <w:vAlign w:val="center"/>
          </w:tcPr>
          <w:p w14:paraId="0CC515EB">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SS</w:t>
            </w:r>
          </w:p>
        </w:tc>
        <w:tc>
          <w:tcPr>
            <w:tcW w:w="613" w:type="pct"/>
            <w:vAlign w:val="center"/>
          </w:tcPr>
          <w:p w14:paraId="010C7FCE">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458" w:type="pct"/>
            <w:vAlign w:val="center"/>
          </w:tcPr>
          <w:p w14:paraId="22826C0B">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613" w:type="pct"/>
            <w:vAlign w:val="center"/>
          </w:tcPr>
          <w:p w14:paraId="24031B2C">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562" w:type="pct"/>
            <w:vAlign w:val="center"/>
          </w:tcPr>
          <w:p w14:paraId="294EFA61">
            <w:pPr>
              <w:pStyle w:val="136"/>
              <w:spacing w:line="240" w:lineRule="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0.457t/a</w:t>
            </w:r>
          </w:p>
        </w:tc>
        <w:tc>
          <w:tcPr>
            <w:tcW w:w="634" w:type="pct"/>
            <w:vAlign w:val="center"/>
          </w:tcPr>
          <w:p w14:paraId="06D78E59">
            <w:pPr>
              <w:spacing w:beforeLines="0" w:afterLines="0" w:line="240" w:lineRule="auto"/>
              <w:jc w:val="center"/>
              <w:rPr>
                <w:rFonts w:hint="eastAsia" w:ascii="Times New Roman" w:cs="宋体"/>
                <w:snapToGrid w:val="0"/>
                <w:color w:val="auto"/>
                <w:kern w:val="21"/>
                <w:szCs w:val="21"/>
              </w:rPr>
            </w:pPr>
            <w:r>
              <w:rPr>
                <w:rFonts w:hint="eastAsia" w:ascii="Times New Roman" w:cs="宋体"/>
                <w:snapToGrid w:val="0"/>
                <w:color w:val="auto"/>
                <w:kern w:val="21"/>
                <w:szCs w:val="21"/>
              </w:rPr>
              <w:t>/</w:t>
            </w:r>
          </w:p>
        </w:tc>
        <w:tc>
          <w:tcPr>
            <w:tcW w:w="643" w:type="pct"/>
            <w:vAlign w:val="center"/>
          </w:tcPr>
          <w:p w14:paraId="75EC143E">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0.396t/a</w:t>
            </w:r>
          </w:p>
        </w:tc>
        <w:tc>
          <w:tcPr>
            <w:tcW w:w="390" w:type="pct"/>
            <w:vAlign w:val="center"/>
          </w:tcPr>
          <w:p w14:paraId="6EED7DA6">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0.396t/a</w:t>
            </w:r>
          </w:p>
        </w:tc>
      </w:tr>
      <w:tr w14:paraId="2AF4D7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469" w:type="pct"/>
            <w:vMerge w:val="continue"/>
            <w:vAlign w:val="center"/>
          </w:tcPr>
          <w:p w14:paraId="0FE5DFE8">
            <w:pPr>
              <w:pStyle w:val="57"/>
              <w:spacing w:beforeLines="0" w:afterLines="0" w:line="240" w:lineRule="auto"/>
              <w:rPr>
                <w:rFonts w:ascii="Times New Roman" w:cs="宋体"/>
                <w:snapToGrid w:val="0"/>
                <w:color w:val="auto"/>
                <w:kern w:val="21"/>
                <w:szCs w:val="21"/>
              </w:rPr>
            </w:pPr>
          </w:p>
        </w:tc>
        <w:tc>
          <w:tcPr>
            <w:tcW w:w="613" w:type="pct"/>
            <w:vAlign w:val="center"/>
          </w:tcPr>
          <w:p w14:paraId="2F48EAC0">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BOD</w:t>
            </w:r>
            <w:r>
              <w:rPr>
                <w:rFonts w:hint="eastAsia" w:ascii="Times New Roman" w:hAnsi="Times New Roman" w:eastAsia="宋体" w:cs="Times New Roman"/>
                <w:b w:val="0"/>
                <w:bCs w:val="0"/>
                <w:color w:val="auto"/>
                <w:kern w:val="0"/>
                <w:sz w:val="21"/>
                <w:szCs w:val="21"/>
                <w:highlight w:val="none"/>
                <w:vertAlign w:val="subscript"/>
                <w:lang w:val="en-US" w:eastAsia="zh-CN" w:bidi="ar-SA"/>
              </w:rPr>
              <w:t>5</w:t>
            </w:r>
          </w:p>
        </w:tc>
        <w:tc>
          <w:tcPr>
            <w:tcW w:w="613" w:type="pct"/>
            <w:vAlign w:val="center"/>
          </w:tcPr>
          <w:p w14:paraId="1A90C9C5">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458" w:type="pct"/>
            <w:vAlign w:val="center"/>
          </w:tcPr>
          <w:p w14:paraId="7C96252A">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613" w:type="pct"/>
            <w:vAlign w:val="center"/>
          </w:tcPr>
          <w:p w14:paraId="28AAD5C2">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562" w:type="pct"/>
            <w:vAlign w:val="center"/>
          </w:tcPr>
          <w:p w14:paraId="243747E4">
            <w:pPr>
              <w:pStyle w:val="136"/>
              <w:spacing w:line="240" w:lineRule="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0.053t/a</w:t>
            </w:r>
          </w:p>
        </w:tc>
        <w:tc>
          <w:tcPr>
            <w:tcW w:w="634" w:type="pct"/>
            <w:vAlign w:val="center"/>
          </w:tcPr>
          <w:p w14:paraId="18F8F3FF">
            <w:pPr>
              <w:spacing w:beforeLines="0" w:afterLines="0" w:line="240" w:lineRule="auto"/>
              <w:jc w:val="center"/>
              <w:rPr>
                <w:rFonts w:hint="eastAsia" w:ascii="Times New Roman" w:cs="宋体"/>
                <w:snapToGrid w:val="0"/>
                <w:color w:val="auto"/>
                <w:kern w:val="21"/>
                <w:szCs w:val="21"/>
              </w:rPr>
            </w:pPr>
            <w:r>
              <w:rPr>
                <w:rFonts w:hint="eastAsia" w:ascii="Times New Roman" w:cs="宋体"/>
                <w:snapToGrid w:val="0"/>
                <w:color w:val="auto"/>
                <w:kern w:val="21"/>
                <w:szCs w:val="21"/>
              </w:rPr>
              <w:t>/</w:t>
            </w:r>
          </w:p>
        </w:tc>
        <w:tc>
          <w:tcPr>
            <w:tcW w:w="643" w:type="pct"/>
            <w:vAlign w:val="center"/>
          </w:tcPr>
          <w:p w14:paraId="1E04C9A8">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0.048t/a</w:t>
            </w:r>
          </w:p>
        </w:tc>
        <w:tc>
          <w:tcPr>
            <w:tcW w:w="390" w:type="pct"/>
            <w:vAlign w:val="center"/>
          </w:tcPr>
          <w:p w14:paraId="459352FF">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0.048t/a</w:t>
            </w:r>
          </w:p>
        </w:tc>
      </w:tr>
      <w:tr w14:paraId="679640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469" w:type="pct"/>
            <w:vMerge w:val="continue"/>
            <w:vAlign w:val="center"/>
          </w:tcPr>
          <w:p w14:paraId="41BDC6AF">
            <w:pPr>
              <w:pStyle w:val="57"/>
              <w:spacing w:beforeLines="0" w:afterLines="0" w:line="240" w:lineRule="auto"/>
              <w:rPr>
                <w:rFonts w:ascii="Times New Roman" w:cs="宋体"/>
                <w:snapToGrid w:val="0"/>
                <w:color w:val="auto"/>
                <w:kern w:val="21"/>
                <w:szCs w:val="21"/>
              </w:rPr>
            </w:pPr>
          </w:p>
        </w:tc>
        <w:tc>
          <w:tcPr>
            <w:tcW w:w="613" w:type="pct"/>
            <w:vAlign w:val="center"/>
          </w:tcPr>
          <w:p w14:paraId="6F0CD435">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石油类</w:t>
            </w:r>
          </w:p>
        </w:tc>
        <w:tc>
          <w:tcPr>
            <w:tcW w:w="613" w:type="pct"/>
            <w:vAlign w:val="center"/>
          </w:tcPr>
          <w:p w14:paraId="143E4B8F">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458" w:type="pct"/>
            <w:vAlign w:val="center"/>
          </w:tcPr>
          <w:p w14:paraId="68D99F7F">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613" w:type="pct"/>
            <w:vAlign w:val="center"/>
          </w:tcPr>
          <w:p w14:paraId="3E00BBE8">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562" w:type="pct"/>
            <w:vAlign w:val="center"/>
          </w:tcPr>
          <w:p w14:paraId="2ED55D1A">
            <w:pPr>
              <w:pStyle w:val="136"/>
              <w:spacing w:line="240" w:lineRule="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0.014t/a</w:t>
            </w:r>
          </w:p>
        </w:tc>
        <w:tc>
          <w:tcPr>
            <w:tcW w:w="634" w:type="pct"/>
            <w:vAlign w:val="center"/>
          </w:tcPr>
          <w:p w14:paraId="0D749708">
            <w:pPr>
              <w:spacing w:beforeLines="0" w:afterLines="0" w:line="240" w:lineRule="auto"/>
              <w:jc w:val="center"/>
              <w:rPr>
                <w:rFonts w:hint="eastAsia" w:ascii="Times New Roman" w:cs="宋体"/>
                <w:snapToGrid w:val="0"/>
                <w:color w:val="auto"/>
                <w:kern w:val="21"/>
                <w:szCs w:val="21"/>
              </w:rPr>
            </w:pPr>
            <w:r>
              <w:rPr>
                <w:rFonts w:hint="eastAsia" w:ascii="Times New Roman" w:cs="宋体"/>
                <w:snapToGrid w:val="0"/>
                <w:color w:val="auto"/>
                <w:kern w:val="21"/>
                <w:szCs w:val="21"/>
              </w:rPr>
              <w:t>/</w:t>
            </w:r>
          </w:p>
        </w:tc>
        <w:tc>
          <w:tcPr>
            <w:tcW w:w="643" w:type="pct"/>
            <w:vAlign w:val="center"/>
          </w:tcPr>
          <w:p w14:paraId="605A2B7A">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0.036t/a</w:t>
            </w:r>
          </w:p>
        </w:tc>
        <w:tc>
          <w:tcPr>
            <w:tcW w:w="390" w:type="pct"/>
            <w:vAlign w:val="center"/>
          </w:tcPr>
          <w:p w14:paraId="4023A9E1">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0.036t/a</w:t>
            </w:r>
          </w:p>
        </w:tc>
      </w:tr>
      <w:tr w14:paraId="5C23FC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469" w:type="pct"/>
            <w:vMerge w:val="restart"/>
            <w:vAlign w:val="center"/>
          </w:tcPr>
          <w:p w14:paraId="78678A4A">
            <w:pPr>
              <w:pStyle w:val="57"/>
              <w:spacing w:beforeLines="0" w:afterLines="0" w:line="240" w:lineRule="auto"/>
              <w:rPr>
                <w:rFonts w:hint="default" w:ascii="Times New Roman" w:eastAsia="宋体" w:cs="宋体"/>
                <w:snapToGrid w:val="0"/>
                <w:color w:val="auto"/>
                <w:kern w:val="21"/>
                <w:szCs w:val="21"/>
                <w:lang w:val="en-US" w:eastAsia="zh-CN"/>
              </w:rPr>
            </w:pPr>
            <w:r>
              <w:rPr>
                <w:rFonts w:hint="eastAsia" w:ascii="Times New Roman" w:cs="宋体"/>
                <w:snapToGrid w:val="0"/>
                <w:color w:val="auto"/>
                <w:kern w:val="21"/>
                <w:szCs w:val="21"/>
                <w:lang w:val="en-US" w:eastAsia="zh-CN"/>
              </w:rPr>
              <w:t>危险废物</w:t>
            </w:r>
          </w:p>
        </w:tc>
        <w:tc>
          <w:tcPr>
            <w:tcW w:w="613" w:type="pct"/>
            <w:vAlign w:val="center"/>
          </w:tcPr>
          <w:p w14:paraId="34CF9241">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废铅酸蓄电池</w:t>
            </w:r>
          </w:p>
        </w:tc>
        <w:tc>
          <w:tcPr>
            <w:tcW w:w="613" w:type="pct"/>
            <w:vAlign w:val="center"/>
          </w:tcPr>
          <w:p w14:paraId="713FA528">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458" w:type="pct"/>
            <w:vAlign w:val="center"/>
          </w:tcPr>
          <w:p w14:paraId="765E85EA">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613" w:type="pct"/>
            <w:vAlign w:val="center"/>
          </w:tcPr>
          <w:p w14:paraId="4D2D5CAA">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562" w:type="pct"/>
            <w:vAlign w:val="center"/>
          </w:tcPr>
          <w:p w14:paraId="65B5B9AA">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46.599t/a</w:t>
            </w:r>
          </w:p>
        </w:tc>
        <w:tc>
          <w:tcPr>
            <w:tcW w:w="634" w:type="pct"/>
            <w:vAlign w:val="center"/>
          </w:tcPr>
          <w:p w14:paraId="42397F51">
            <w:pPr>
              <w:spacing w:beforeLines="0" w:afterLines="0" w:line="240" w:lineRule="auto"/>
              <w:jc w:val="center"/>
              <w:rPr>
                <w:rFonts w:cs="宋体"/>
                <w:color w:val="auto"/>
                <w:kern w:val="0"/>
                <w:szCs w:val="21"/>
              </w:rPr>
            </w:pPr>
            <w:r>
              <w:rPr>
                <w:rFonts w:hint="eastAsia" w:ascii="Times New Roman" w:cs="宋体"/>
                <w:snapToGrid w:val="0"/>
                <w:color w:val="auto"/>
                <w:kern w:val="21"/>
                <w:szCs w:val="21"/>
              </w:rPr>
              <w:t>/</w:t>
            </w:r>
          </w:p>
        </w:tc>
        <w:tc>
          <w:tcPr>
            <w:tcW w:w="643" w:type="pct"/>
            <w:vAlign w:val="center"/>
          </w:tcPr>
          <w:p w14:paraId="6AF6AF51">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46.599t/a</w:t>
            </w:r>
          </w:p>
        </w:tc>
        <w:tc>
          <w:tcPr>
            <w:tcW w:w="390" w:type="pct"/>
            <w:vAlign w:val="center"/>
          </w:tcPr>
          <w:p w14:paraId="013B9E78">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46.599t/a</w:t>
            </w:r>
          </w:p>
        </w:tc>
      </w:tr>
      <w:tr w14:paraId="760F29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469" w:type="pct"/>
            <w:vMerge w:val="continue"/>
            <w:vAlign w:val="center"/>
          </w:tcPr>
          <w:p w14:paraId="0AF44414">
            <w:pPr>
              <w:pStyle w:val="57"/>
              <w:spacing w:beforeLines="0" w:afterLines="0" w:line="240" w:lineRule="auto"/>
              <w:rPr>
                <w:rFonts w:ascii="Times New Roman" w:cs="宋体"/>
                <w:snapToGrid w:val="0"/>
                <w:color w:val="auto"/>
                <w:kern w:val="21"/>
                <w:szCs w:val="21"/>
              </w:rPr>
            </w:pPr>
          </w:p>
        </w:tc>
        <w:tc>
          <w:tcPr>
            <w:tcW w:w="613" w:type="pct"/>
            <w:vAlign w:val="center"/>
          </w:tcPr>
          <w:p w14:paraId="7612705F">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废油液及油泥</w:t>
            </w:r>
          </w:p>
        </w:tc>
        <w:tc>
          <w:tcPr>
            <w:tcW w:w="613" w:type="pct"/>
            <w:vAlign w:val="center"/>
          </w:tcPr>
          <w:p w14:paraId="4CB84C95">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458" w:type="pct"/>
            <w:vAlign w:val="center"/>
          </w:tcPr>
          <w:p w14:paraId="47C8AD28">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613" w:type="pct"/>
            <w:vAlign w:val="center"/>
          </w:tcPr>
          <w:p w14:paraId="0896A0C0">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562" w:type="pct"/>
            <w:vAlign w:val="center"/>
          </w:tcPr>
          <w:p w14:paraId="4B2C7AA8">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33.285t/a</w:t>
            </w:r>
          </w:p>
        </w:tc>
        <w:tc>
          <w:tcPr>
            <w:tcW w:w="634" w:type="pct"/>
            <w:vAlign w:val="center"/>
          </w:tcPr>
          <w:p w14:paraId="6581F306">
            <w:pPr>
              <w:spacing w:beforeLines="0" w:afterLines="0" w:line="240" w:lineRule="auto"/>
              <w:jc w:val="center"/>
              <w:rPr>
                <w:rFonts w:cs="宋体"/>
                <w:color w:val="auto"/>
                <w:kern w:val="0"/>
                <w:szCs w:val="21"/>
              </w:rPr>
            </w:pPr>
            <w:r>
              <w:rPr>
                <w:rFonts w:hint="eastAsia" w:ascii="Times New Roman" w:cs="宋体"/>
                <w:snapToGrid w:val="0"/>
                <w:color w:val="auto"/>
                <w:kern w:val="21"/>
                <w:szCs w:val="21"/>
              </w:rPr>
              <w:t>/</w:t>
            </w:r>
          </w:p>
        </w:tc>
        <w:tc>
          <w:tcPr>
            <w:tcW w:w="643" w:type="pct"/>
            <w:vAlign w:val="center"/>
          </w:tcPr>
          <w:p w14:paraId="2EA4D4C5">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33.285t/a</w:t>
            </w:r>
          </w:p>
        </w:tc>
        <w:tc>
          <w:tcPr>
            <w:tcW w:w="390" w:type="pct"/>
            <w:vAlign w:val="center"/>
          </w:tcPr>
          <w:p w14:paraId="6FBB02BD">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33.285t/a</w:t>
            </w:r>
          </w:p>
        </w:tc>
      </w:tr>
      <w:tr w14:paraId="1BEF0C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469" w:type="pct"/>
            <w:vMerge w:val="continue"/>
            <w:vAlign w:val="center"/>
          </w:tcPr>
          <w:p w14:paraId="29592DBD">
            <w:pPr>
              <w:pStyle w:val="57"/>
              <w:spacing w:before="31" w:after="31"/>
              <w:rPr>
                <w:rFonts w:ascii="Times New Roman" w:cs="宋体"/>
                <w:snapToGrid w:val="0"/>
                <w:color w:val="auto"/>
                <w:kern w:val="21"/>
                <w:szCs w:val="21"/>
              </w:rPr>
            </w:pPr>
          </w:p>
        </w:tc>
        <w:tc>
          <w:tcPr>
            <w:tcW w:w="613" w:type="pct"/>
            <w:vAlign w:val="center"/>
          </w:tcPr>
          <w:p w14:paraId="04441420">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含油抹布及手套</w:t>
            </w:r>
          </w:p>
        </w:tc>
        <w:tc>
          <w:tcPr>
            <w:tcW w:w="613" w:type="pct"/>
            <w:vAlign w:val="center"/>
          </w:tcPr>
          <w:p w14:paraId="2B07DE4D">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458" w:type="pct"/>
            <w:vAlign w:val="center"/>
          </w:tcPr>
          <w:p w14:paraId="04CFF0DF">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613" w:type="pct"/>
            <w:vAlign w:val="center"/>
          </w:tcPr>
          <w:p w14:paraId="0D8C7463">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562" w:type="pct"/>
            <w:vAlign w:val="center"/>
          </w:tcPr>
          <w:p w14:paraId="749291F4">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1t/a</w:t>
            </w:r>
          </w:p>
        </w:tc>
        <w:tc>
          <w:tcPr>
            <w:tcW w:w="634" w:type="pct"/>
            <w:vAlign w:val="center"/>
          </w:tcPr>
          <w:p w14:paraId="60782D2D">
            <w:pPr>
              <w:spacing w:beforeLines="0" w:afterLines="0" w:line="240" w:lineRule="auto"/>
              <w:jc w:val="center"/>
              <w:rPr>
                <w:rFonts w:cs="宋体"/>
                <w:color w:val="auto"/>
                <w:kern w:val="0"/>
                <w:szCs w:val="21"/>
              </w:rPr>
            </w:pPr>
            <w:r>
              <w:rPr>
                <w:rFonts w:hint="eastAsia" w:ascii="Times New Roman" w:cs="宋体"/>
                <w:snapToGrid w:val="0"/>
                <w:color w:val="auto"/>
                <w:kern w:val="21"/>
                <w:szCs w:val="21"/>
              </w:rPr>
              <w:t>/</w:t>
            </w:r>
          </w:p>
        </w:tc>
        <w:tc>
          <w:tcPr>
            <w:tcW w:w="643" w:type="pct"/>
            <w:vAlign w:val="center"/>
          </w:tcPr>
          <w:p w14:paraId="68AEF7FB">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default" w:ascii="Times New Roman" w:hAnsi="Times New Roman" w:eastAsia="宋体" w:cs="宋体"/>
                <w:snapToGrid w:val="0"/>
                <w:color w:val="auto"/>
                <w:kern w:val="21"/>
                <w:sz w:val="21"/>
                <w:szCs w:val="21"/>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1t/a</w:t>
            </w:r>
          </w:p>
        </w:tc>
        <w:tc>
          <w:tcPr>
            <w:tcW w:w="390" w:type="pct"/>
            <w:vAlign w:val="center"/>
          </w:tcPr>
          <w:p w14:paraId="638B9B0F">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default" w:ascii="Times New Roman" w:hAnsi="Times New Roman" w:eastAsia="宋体" w:cs="宋体"/>
                <w:snapToGrid w:val="0"/>
                <w:color w:val="auto"/>
                <w:kern w:val="21"/>
                <w:sz w:val="21"/>
                <w:szCs w:val="21"/>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1t/a</w:t>
            </w:r>
          </w:p>
        </w:tc>
      </w:tr>
      <w:tr w14:paraId="766370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469" w:type="pct"/>
            <w:vMerge w:val="continue"/>
            <w:vAlign w:val="center"/>
          </w:tcPr>
          <w:p w14:paraId="56BC2F83">
            <w:pPr>
              <w:pStyle w:val="57"/>
              <w:spacing w:before="31" w:after="31"/>
              <w:rPr>
                <w:rFonts w:ascii="Times New Roman" w:cs="宋体"/>
                <w:snapToGrid w:val="0"/>
                <w:color w:val="auto"/>
                <w:kern w:val="21"/>
                <w:szCs w:val="21"/>
              </w:rPr>
            </w:pPr>
          </w:p>
        </w:tc>
        <w:tc>
          <w:tcPr>
            <w:tcW w:w="613" w:type="pct"/>
            <w:vAlign w:val="center"/>
          </w:tcPr>
          <w:p w14:paraId="288377B3">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废活性炭</w:t>
            </w:r>
          </w:p>
        </w:tc>
        <w:tc>
          <w:tcPr>
            <w:tcW w:w="613" w:type="pct"/>
            <w:vAlign w:val="center"/>
          </w:tcPr>
          <w:p w14:paraId="3F293D96">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458" w:type="pct"/>
            <w:vAlign w:val="center"/>
          </w:tcPr>
          <w:p w14:paraId="1A1DB187">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613" w:type="pct"/>
            <w:vAlign w:val="center"/>
          </w:tcPr>
          <w:p w14:paraId="5DF95C9A">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562" w:type="pct"/>
            <w:vAlign w:val="center"/>
          </w:tcPr>
          <w:p w14:paraId="1CF39050">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0.027t/a</w:t>
            </w:r>
          </w:p>
        </w:tc>
        <w:tc>
          <w:tcPr>
            <w:tcW w:w="634" w:type="pct"/>
            <w:vAlign w:val="center"/>
          </w:tcPr>
          <w:p w14:paraId="73CBF8AA">
            <w:pPr>
              <w:spacing w:beforeLines="0" w:afterLines="0" w:line="240" w:lineRule="auto"/>
              <w:jc w:val="center"/>
              <w:rPr>
                <w:rFonts w:cs="宋体"/>
                <w:color w:val="auto"/>
                <w:kern w:val="0"/>
                <w:szCs w:val="21"/>
              </w:rPr>
            </w:pPr>
            <w:r>
              <w:rPr>
                <w:rFonts w:hint="eastAsia" w:ascii="Times New Roman" w:cs="宋体"/>
                <w:snapToGrid w:val="0"/>
                <w:color w:val="auto"/>
                <w:kern w:val="21"/>
                <w:szCs w:val="21"/>
              </w:rPr>
              <w:t>/</w:t>
            </w:r>
          </w:p>
        </w:tc>
        <w:tc>
          <w:tcPr>
            <w:tcW w:w="643" w:type="pct"/>
            <w:vAlign w:val="center"/>
          </w:tcPr>
          <w:p w14:paraId="7038DFB4">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default" w:ascii="Times New Roman" w:hAnsi="Times New Roman" w:eastAsia="宋体" w:cs="宋体"/>
                <w:snapToGrid w:val="0"/>
                <w:color w:val="auto"/>
                <w:kern w:val="21"/>
                <w:sz w:val="21"/>
                <w:szCs w:val="21"/>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0.027t/a</w:t>
            </w:r>
          </w:p>
        </w:tc>
        <w:tc>
          <w:tcPr>
            <w:tcW w:w="390" w:type="pct"/>
            <w:vAlign w:val="center"/>
          </w:tcPr>
          <w:p w14:paraId="5CC2A90E">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default" w:ascii="Times New Roman" w:hAnsi="Times New Roman" w:eastAsia="宋体" w:cs="宋体"/>
                <w:snapToGrid w:val="0"/>
                <w:color w:val="auto"/>
                <w:kern w:val="21"/>
                <w:sz w:val="21"/>
                <w:szCs w:val="21"/>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0.027t/a</w:t>
            </w:r>
          </w:p>
        </w:tc>
      </w:tr>
      <w:tr w14:paraId="747499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469" w:type="pct"/>
            <w:vMerge w:val="continue"/>
            <w:vAlign w:val="center"/>
          </w:tcPr>
          <w:p w14:paraId="15281009">
            <w:pPr>
              <w:pStyle w:val="57"/>
              <w:spacing w:before="31" w:after="31"/>
              <w:rPr>
                <w:rFonts w:hint="eastAsia" w:ascii="Times New Roman" w:cs="宋体"/>
                <w:snapToGrid w:val="0"/>
                <w:color w:val="auto"/>
                <w:kern w:val="21"/>
                <w:szCs w:val="21"/>
                <w:lang w:val="en-US" w:eastAsia="zh-CN"/>
              </w:rPr>
            </w:pPr>
          </w:p>
        </w:tc>
        <w:tc>
          <w:tcPr>
            <w:tcW w:w="613" w:type="pct"/>
            <w:vAlign w:val="center"/>
          </w:tcPr>
          <w:p w14:paraId="7553D780">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废防冻液</w:t>
            </w:r>
          </w:p>
        </w:tc>
        <w:tc>
          <w:tcPr>
            <w:tcW w:w="613" w:type="pct"/>
            <w:vAlign w:val="center"/>
          </w:tcPr>
          <w:p w14:paraId="18E777AD">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458" w:type="pct"/>
            <w:vAlign w:val="center"/>
          </w:tcPr>
          <w:p w14:paraId="49974B4A">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613" w:type="pct"/>
            <w:vAlign w:val="center"/>
          </w:tcPr>
          <w:p w14:paraId="6A3B0B99">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562" w:type="pct"/>
            <w:vAlign w:val="center"/>
          </w:tcPr>
          <w:p w14:paraId="32C9D3A1">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2.378t/a</w:t>
            </w:r>
          </w:p>
        </w:tc>
        <w:tc>
          <w:tcPr>
            <w:tcW w:w="634" w:type="pct"/>
            <w:vAlign w:val="center"/>
          </w:tcPr>
          <w:p w14:paraId="04A9C701">
            <w:pPr>
              <w:spacing w:beforeLines="0" w:afterLines="0" w:line="240" w:lineRule="auto"/>
              <w:jc w:val="center"/>
              <w:rPr>
                <w:rFonts w:hint="eastAsia" w:cs="宋体"/>
                <w:color w:val="auto"/>
                <w:kern w:val="0"/>
                <w:szCs w:val="21"/>
              </w:rPr>
            </w:pPr>
            <w:r>
              <w:rPr>
                <w:rFonts w:hint="eastAsia" w:ascii="Times New Roman" w:cs="宋体"/>
                <w:snapToGrid w:val="0"/>
                <w:color w:val="auto"/>
                <w:kern w:val="21"/>
                <w:szCs w:val="21"/>
              </w:rPr>
              <w:t>/</w:t>
            </w:r>
          </w:p>
        </w:tc>
        <w:tc>
          <w:tcPr>
            <w:tcW w:w="643" w:type="pct"/>
            <w:vAlign w:val="center"/>
          </w:tcPr>
          <w:p w14:paraId="344C6AD7">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color w:val="auto"/>
              </w:rPr>
            </w:pPr>
            <w:r>
              <w:rPr>
                <w:rFonts w:hint="eastAsia" w:ascii="Times New Roman" w:hAnsi="Times New Roman" w:eastAsia="宋体" w:cs="Times New Roman"/>
                <w:b w:val="0"/>
                <w:bCs w:val="0"/>
                <w:color w:val="auto"/>
                <w:kern w:val="0"/>
                <w:sz w:val="21"/>
                <w:szCs w:val="21"/>
                <w:highlight w:val="none"/>
                <w:lang w:val="en-US" w:eastAsia="zh-CN" w:bidi="ar-SA"/>
              </w:rPr>
              <w:t>2.378t/a</w:t>
            </w:r>
          </w:p>
        </w:tc>
        <w:tc>
          <w:tcPr>
            <w:tcW w:w="390" w:type="pct"/>
            <w:vAlign w:val="center"/>
          </w:tcPr>
          <w:p w14:paraId="63321F85">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color w:val="auto"/>
              </w:rPr>
            </w:pPr>
            <w:r>
              <w:rPr>
                <w:rFonts w:hint="eastAsia" w:ascii="Times New Roman" w:hAnsi="Times New Roman" w:eastAsia="宋体" w:cs="Times New Roman"/>
                <w:b w:val="0"/>
                <w:bCs w:val="0"/>
                <w:color w:val="auto"/>
                <w:kern w:val="0"/>
                <w:sz w:val="21"/>
                <w:szCs w:val="21"/>
                <w:highlight w:val="none"/>
                <w:lang w:val="en-US" w:eastAsia="zh-CN" w:bidi="ar-SA"/>
              </w:rPr>
              <w:t>2.378t/a</w:t>
            </w:r>
          </w:p>
        </w:tc>
      </w:tr>
      <w:tr w14:paraId="0E9A23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469" w:type="pct"/>
            <w:vMerge w:val="continue"/>
            <w:vAlign w:val="center"/>
          </w:tcPr>
          <w:p w14:paraId="1D9A8E1A">
            <w:pPr>
              <w:pStyle w:val="57"/>
              <w:spacing w:before="31" w:after="31"/>
              <w:rPr>
                <w:rFonts w:hint="eastAsia" w:ascii="Times New Roman" w:cs="宋体"/>
                <w:snapToGrid w:val="0"/>
                <w:color w:val="auto"/>
                <w:kern w:val="21"/>
                <w:szCs w:val="21"/>
                <w:lang w:val="en-US" w:eastAsia="zh-CN"/>
              </w:rPr>
            </w:pPr>
          </w:p>
        </w:tc>
        <w:tc>
          <w:tcPr>
            <w:tcW w:w="613" w:type="pct"/>
            <w:vAlign w:val="center"/>
          </w:tcPr>
          <w:p w14:paraId="6234B544">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废电路板</w:t>
            </w:r>
          </w:p>
        </w:tc>
        <w:tc>
          <w:tcPr>
            <w:tcW w:w="613" w:type="pct"/>
            <w:vAlign w:val="center"/>
          </w:tcPr>
          <w:p w14:paraId="56361B22">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458" w:type="pct"/>
            <w:vAlign w:val="center"/>
          </w:tcPr>
          <w:p w14:paraId="6981E416">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613" w:type="pct"/>
            <w:vAlign w:val="center"/>
          </w:tcPr>
          <w:p w14:paraId="04226115">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562" w:type="pct"/>
            <w:vAlign w:val="center"/>
          </w:tcPr>
          <w:p w14:paraId="2A186D00">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2.853t/a</w:t>
            </w:r>
          </w:p>
        </w:tc>
        <w:tc>
          <w:tcPr>
            <w:tcW w:w="634" w:type="pct"/>
            <w:vAlign w:val="center"/>
          </w:tcPr>
          <w:p w14:paraId="1BD2497E">
            <w:pPr>
              <w:spacing w:beforeLines="0" w:afterLines="0" w:line="240" w:lineRule="auto"/>
              <w:jc w:val="center"/>
              <w:rPr>
                <w:rFonts w:ascii="Times New Roman" w:cs="宋体"/>
                <w:snapToGrid w:val="0"/>
                <w:color w:val="auto"/>
                <w:kern w:val="21"/>
                <w:szCs w:val="21"/>
              </w:rPr>
            </w:pPr>
            <w:r>
              <w:rPr>
                <w:rFonts w:hint="eastAsia" w:ascii="Times New Roman" w:cs="宋体"/>
                <w:snapToGrid w:val="0"/>
                <w:color w:val="auto"/>
                <w:kern w:val="21"/>
                <w:szCs w:val="21"/>
              </w:rPr>
              <w:t>/</w:t>
            </w:r>
          </w:p>
        </w:tc>
        <w:tc>
          <w:tcPr>
            <w:tcW w:w="643" w:type="pct"/>
            <w:vAlign w:val="center"/>
          </w:tcPr>
          <w:p w14:paraId="437D1043">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b w:val="0"/>
                <w:bCs w:val="0"/>
                <w:color w:val="auto"/>
                <w:szCs w:val="21"/>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bidi="ar-SA"/>
              </w:rPr>
              <w:t>2.853t/a</w:t>
            </w:r>
          </w:p>
        </w:tc>
        <w:tc>
          <w:tcPr>
            <w:tcW w:w="390" w:type="pct"/>
            <w:vAlign w:val="center"/>
          </w:tcPr>
          <w:p w14:paraId="27B267AF">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b w:val="0"/>
                <w:bCs w:val="0"/>
                <w:color w:val="auto"/>
                <w:szCs w:val="21"/>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bidi="ar-SA"/>
              </w:rPr>
              <w:t>2.853t/a</w:t>
            </w:r>
          </w:p>
        </w:tc>
      </w:tr>
      <w:tr w14:paraId="5E1ED2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469" w:type="pct"/>
            <w:vMerge w:val="restart"/>
            <w:vAlign w:val="center"/>
          </w:tcPr>
          <w:p w14:paraId="2BBA8F91">
            <w:pPr>
              <w:pStyle w:val="57"/>
              <w:spacing w:beforeLines="0" w:afterLines="0" w:line="240" w:lineRule="auto"/>
              <w:rPr>
                <w:rFonts w:ascii="Times New Roman" w:cs="宋体"/>
                <w:snapToGrid w:val="0"/>
                <w:color w:val="auto"/>
                <w:kern w:val="21"/>
                <w:szCs w:val="21"/>
              </w:rPr>
            </w:pPr>
            <w:r>
              <w:rPr>
                <w:rFonts w:hint="eastAsia" w:ascii="Times New Roman" w:cs="宋体"/>
                <w:snapToGrid w:val="0"/>
                <w:color w:val="auto"/>
                <w:kern w:val="21"/>
                <w:szCs w:val="21"/>
              </w:rPr>
              <w:t>一般工业</w:t>
            </w:r>
          </w:p>
          <w:p w14:paraId="20ED17FD">
            <w:pPr>
              <w:pStyle w:val="57"/>
              <w:spacing w:before="31" w:after="31"/>
              <w:rPr>
                <w:rFonts w:hint="default" w:ascii="Times New Roman" w:eastAsia="宋体" w:cs="宋体"/>
                <w:snapToGrid w:val="0"/>
                <w:color w:val="auto"/>
                <w:kern w:val="21"/>
                <w:szCs w:val="21"/>
                <w:lang w:val="en-US" w:eastAsia="zh-CN"/>
              </w:rPr>
            </w:pPr>
            <w:r>
              <w:rPr>
                <w:rFonts w:hint="eastAsia" w:ascii="Times New Roman" w:cs="宋体"/>
                <w:snapToGrid w:val="0"/>
                <w:color w:val="auto"/>
                <w:kern w:val="21"/>
                <w:szCs w:val="21"/>
              </w:rPr>
              <w:t>固体废物</w:t>
            </w:r>
          </w:p>
        </w:tc>
        <w:tc>
          <w:tcPr>
            <w:tcW w:w="613" w:type="pct"/>
            <w:vAlign w:val="center"/>
          </w:tcPr>
          <w:p w14:paraId="155E297B">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不可利用废物</w:t>
            </w:r>
          </w:p>
        </w:tc>
        <w:tc>
          <w:tcPr>
            <w:tcW w:w="613" w:type="pct"/>
            <w:vAlign w:val="center"/>
          </w:tcPr>
          <w:p w14:paraId="67F58211">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458" w:type="pct"/>
            <w:vAlign w:val="center"/>
          </w:tcPr>
          <w:p w14:paraId="76A85078">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613" w:type="pct"/>
            <w:vAlign w:val="center"/>
          </w:tcPr>
          <w:p w14:paraId="6F40A5A6">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562" w:type="pct"/>
            <w:vAlign w:val="center"/>
          </w:tcPr>
          <w:p w14:paraId="3BCA6E82">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79.408t/a</w:t>
            </w:r>
          </w:p>
        </w:tc>
        <w:tc>
          <w:tcPr>
            <w:tcW w:w="634" w:type="pct"/>
            <w:vAlign w:val="center"/>
          </w:tcPr>
          <w:p w14:paraId="531AD5DD">
            <w:pPr>
              <w:spacing w:beforeLines="0" w:afterLines="0" w:line="240" w:lineRule="auto"/>
              <w:jc w:val="center"/>
              <w:rPr>
                <w:rFonts w:hint="eastAsia" w:cs="宋体"/>
                <w:color w:val="auto"/>
                <w:kern w:val="0"/>
                <w:szCs w:val="21"/>
              </w:rPr>
            </w:pPr>
            <w:r>
              <w:rPr>
                <w:rFonts w:hint="eastAsia" w:ascii="Times New Roman" w:cs="宋体"/>
                <w:snapToGrid w:val="0"/>
                <w:color w:val="auto"/>
                <w:kern w:val="21"/>
                <w:szCs w:val="21"/>
              </w:rPr>
              <w:t>/</w:t>
            </w:r>
          </w:p>
        </w:tc>
        <w:tc>
          <w:tcPr>
            <w:tcW w:w="643" w:type="pct"/>
            <w:vAlign w:val="center"/>
          </w:tcPr>
          <w:p w14:paraId="750595C7">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color w:val="auto"/>
              </w:rPr>
            </w:pPr>
            <w:r>
              <w:rPr>
                <w:rFonts w:hint="eastAsia" w:ascii="Times New Roman" w:hAnsi="Times New Roman" w:eastAsia="宋体" w:cs="Times New Roman"/>
                <w:b w:val="0"/>
                <w:bCs w:val="0"/>
                <w:color w:val="auto"/>
                <w:kern w:val="0"/>
                <w:sz w:val="21"/>
                <w:szCs w:val="21"/>
                <w:highlight w:val="none"/>
                <w:lang w:val="en-US" w:eastAsia="zh-CN" w:bidi="ar-SA"/>
              </w:rPr>
              <w:t>79.408t/a</w:t>
            </w:r>
          </w:p>
        </w:tc>
        <w:tc>
          <w:tcPr>
            <w:tcW w:w="390" w:type="pct"/>
            <w:vAlign w:val="center"/>
          </w:tcPr>
          <w:p w14:paraId="22CA706F">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color w:val="auto"/>
              </w:rPr>
            </w:pPr>
            <w:r>
              <w:rPr>
                <w:rFonts w:hint="eastAsia" w:ascii="Times New Roman" w:hAnsi="Times New Roman" w:eastAsia="宋体" w:cs="Times New Roman"/>
                <w:b w:val="0"/>
                <w:bCs w:val="0"/>
                <w:color w:val="auto"/>
                <w:kern w:val="0"/>
                <w:sz w:val="21"/>
                <w:szCs w:val="21"/>
                <w:highlight w:val="none"/>
                <w:lang w:val="en-US" w:eastAsia="zh-CN" w:bidi="ar-SA"/>
              </w:rPr>
              <w:t>79.408t/a</w:t>
            </w:r>
          </w:p>
        </w:tc>
      </w:tr>
      <w:tr w14:paraId="6C0B0D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469" w:type="pct"/>
            <w:vMerge w:val="continue"/>
            <w:vAlign w:val="center"/>
          </w:tcPr>
          <w:p w14:paraId="1DE05118">
            <w:pPr>
              <w:pStyle w:val="57"/>
              <w:spacing w:before="31" w:after="31"/>
              <w:rPr>
                <w:rFonts w:hint="default" w:ascii="Times New Roman" w:eastAsia="宋体" w:cs="宋体"/>
                <w:snapToGrid w:val="0"/>
                <w:color w:val="auto"/>
                <w:kern w:val="21"/>
                <w:szCs w:val="21"/>
                <w:lang w:val="en-US" w:eastAsia="zh-CN"/>
              </w:rPr>
            </w:pPr>
          </w:p>
        </w:tc>
        <w:tc>
          <w:tcPr>
            <w:tcW w:w="613" w:type="pct"/>
            <w:vAlign w:val="center"/>
          </w:tcPr>
          <w:p w14:paraId="57A03D30">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废布袋</w:t>
            </w:r>
          </w:p>
        </w:tc>
        <w:tc>
          <w:tcPr>
            <w:tcW w:w="613" w:type="pct"/>
            <w:vAlign w:val="center"/>
          </w:tcPr>
          <w:p w14:paraId="1032EE96">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458" w:type="pct"/>
            <w:vAlign w:val="center"/>
          </w:tcPr>
          <w:p w14:paraId="24EFF71B">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613" w:type="pct"/>
            <w:vAlign w:val="center"/>
          </w:tcPr>
          <w:p w14:paraId="394AD0E3">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562" w:type="pct"/>
            <w:vAlign w:val="center"/>
          </w:tcPr>
          <w:p w14:paraId="54E5EB36">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0.2t/2a</w:t>
            </w:r>
          </w:p>
        </w:tc>
        <w:tc>
          <w:tcPr>
            <w:tcW w:w="634" w:type="pct"/>
            <w:vAlign w:val="center"/>
          </w:tcPr>
          <w:p w14:paraId="6ADA38D0">
            <w:pPr>
              <w:spacing w:beforeLines="0" w:afterLines="0" w:line="240" w:lineRule="auto"/>
              <w:jc w:val="center"/>
              <w:rPr>
                <w:rFonts w:ascii="Times New Roman" w:cs="宋体"/>
                <w:snapToGrid w:val="0"/>
                <w:color w:val="auto"/>
                <w:kern w:val="21"/>
                <w:szCs w:val="21"/>
              </w:rPr>
            </w:pPr>
            <w:r>
              <w:rPr>
                <w:rFonts w:hint="eastAsia" w:ascii="Times New Roman" w:cs="宋体"/>
                <w:snapToGrid w:val="0"/>
                <w:color w:val="auto"/>
                <w:kern w:val="21"/>
                <w:szCs w:val="21"/>
              </w:rPr>
              <w:t>/</w:t>
            </w:r>
          </w:p>
        </w:tc>
        <w:tc>
          <w:tcPr>
            <w:tcW w:w="643" w:type="pct"/>
            <w:vAlign w:val="center"/>
          </w:tcPr>
          <w:p w14:paraId="1233C3A9">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b w:val="0"/>
                <w:bCs w:val="0"/>
                <w:color w:val="auto"/>
                <w:szCs w:val="21"/>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bidi="ar-SA"/>
              </w:rPr>
              <w:t>0.2t/2a</w:t>
            </w:r>
          </w:p>
        </w:tc>
        <w:tc>
          <w:tcPr>
            <w:tcW w:w="390" w:type="pct"/>
            <w:vAlign w:val="center"/>
          </w:tcPr>
          <w:p w14:paraId="4AA150D5">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b w:val="0"/>
                <w:bCs w:val="0"/>
                <w:color w:val="auto"/>
                <w:szCs w:val="21"/>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bidi="ar-SA"/>
              </w:rPr>
              <w:t>0.2t/2a</w:t>
            </w:r>
          </w:p>
        </w:tc>
      </w:tr>
      <w:tr w14:paraId="0A26F6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469" w:type="pct"/>
            <w:vMerge w:val="continue"/>
            <w:vAlign w:val="center"/>
          </w:tcPr>
          <w:p w14:paraId="0EF0BED3">
            <w:pPr>
              <w:pStyle w:val="57"/>
              <w:spacing w:before="31" w:after="31"/>
              <w:rPr>
                <w:rFonts w:hint="default" w:ascii="Times New Roman" w:eastAsia="宋体" w:cs="宋体"/>
                <w:snapToGrid w:val="0"/>
                <w:color w:val="auto"/>
                <w:kern w:val="21"/>
                <w:szCs w:val="21"/>
                <w:lang w:val="en-US" w:eastAsia="zh-CN"/>
              </w:rPr>
            </w:pPr>
          </w:p>
        </w:tc>
        <w:tc>
          <w:tcPr>
            <w:tcW w:w="613" w:type="pct"/>
            <w:vAlign w:val="center"/>
          </w:tcPr>
          <w:p w14:paraId="58E334FC">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铁屑及车间除尘器收尘</w:t>
            </w:r>
          </w:p>
        </w:tc>
        <w:tc>
          <w:tcPr>
            <w:tcW w:w="613" w:type="pct"/>
            <w:vAlign w:val="center"/>
          </w:tcPr>
          <w:p w14:paraId="7B08C388">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458" w:type="pct"/>
            <w:vAlign w:val="center"/>
          </w:tcPr>
          <w:p w14:paraId="1B3F3F0E">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613" w:type="pct"/>
            <w:vAlign w:val="center"/>
          </w:tcPr>
          <w:p w14:paraId="2785A6EB">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562" w:type="pct"/>
            <w:vAlign w:val="center"/>
          </w:tcPr>
          <w:p w14:paraId="2A323279">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5.131t/a</w:t>
            </w:r>
          </w:p>
        </w:tc>
        <w:tc>
          <w:tcPr>
            <w:tcW w:w="634" w:type="pct"/>
            <w:vAlign w:val="center"/>
          </w:tcPr>
          <w:p w14:paraId="387FB576">
            <w:pPr>
              <w:spacing w:beforeLines="0" w:afterLines="0" w:line="240" w:lineRule="auto"/>
              <w:jc w:val="center"/>
              <w:rPr>
                <w:rFonts w:ascii="Times New Roman" w:cs="宋体"/>
                <w:snapToGrid w:val="0"/>
                <w:color w:val="auto"/>
                <w:kern w:val="21"/>
                <w:szCs w:val="21"/>
              </w:rPr>
            </w:pPr>
            <w:r>
              <w:rPr>
                <w:rFonts w:hint="eastAsia" w:ascii="Times New Roman" w:cs="宋体"/>
                <w:snapToGrid w:val="0"/>
                <w:color w:val="auto"/>
                <w:kern w:val="21"/>
                <w:szCs w:val="21"/>
              </w:rPr>
              <w:t>/</w:t>
            </w:r>
          </w:p>
        </w:tc>
        <w:tc>
          <w:tcPr>
            <w:tcW w:w="643" w:type="pct"/>
            <w:vAlign w:val="center"/>
          </w:tcPr>
          <w:p w14:paraId="1371D944">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b w:val="0"/>
                <w:bCs w:val="0"/>
                <w:color w:val="auto"/>
                <w:szCs w:val="21"/>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bidi="ar-SA"/>
              </w:rPr>
              <w:t>5.131t/a</w:t>
            </w:r>
          </w:p>
        </w:tc>
        <w:tc>
          <w:tcPr>
            <w:tcW w:w="390" w:type="pct"/>
            <w:vAlign w:val="center"/>
          </w:tcPr>
          <w:p w14:paraId="22E93787">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b w:val="0"/>
                <w:bCs w:val="0"/>
                <w:color w:val="auto"/>
                <w:szCs w:val="21"/>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bidi="ar-SA"/>
              </w:rPr>
              <w:t>5.131t/a</w:t>
            </w:r>
          </w:p>
        </w:tc>
      </w:tr>
      <w:tr w14:paraId="32D5B1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469" w:type="pct"/>
            <w:vMerge w:val="continue"/>
            <w:vAlign w:val="center"/>
          </w:tcPr>
          <w:p w14:paraId="12520869">
            <w:pPr>
              <w:pStyle w:val="57"/>
              <w:spacing w:before="31" w:after="31"/>
              <w:rPr>
                <w:rFonts w:hint="default" w:ascii="Times New Roman" w:eastAsia="宋体" w:cs="宋体"/>
                <w:snapToGrid w:val="0"/>
                <w:color w:val="auto"/>
                <w:kern w:val="21"/>
                <w:szCs w:val="21"/>
                <w:lang w:val="en-US" w:eastAsia="zh-CN"/>
              </w:rPr>
            </w:pPr>
          </w:p>
        </w:tc>
        <w:tc>
          <w:tcPr>
            <w:tcW w:w="613" w:type="pct"/>
            <w:vAlign w:val="center"/>
          </w:tcPr>
          <w:p w14:paraId="2BBE1984">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废钢铁</w:t>
            </w:r>
          </w:p>
        </w:tc>
        <w:tc>
          <w:tcPr>
            <w:tcW w:w="613" w:type="pct"/>
            <w:vAlign w:val="center"/>
          </w:tcPr>
          <w:p w14:paraId="60F4009B">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458" w:type="pct"/>
            <w:vAlign w:val="center"/>
          </w:tcPr>
          <w:p w14:paraId="4DF16E2E">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613" w:type="pct"/>
            <w:vAlign w:val="center"/>
          </w:tcPr>
          <w:p w14:paraId="3EAB742B">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562" w:type="pct"/>
            <w:vAlign w:val="center"/>
          </w:tcPr>
          <w:p w14:paraId="425A2B8E">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2677.54t/a</w:t>
            </w:r>
          </w:p>
        </w:tc>
        <w:tc>
          <w:tcPr>
            <w:tcW w:w="634" w:type="pct"/>
            <w:vAlign w:val="center"/>
          </w:tcPr>
          <w:p w14:paraId="6632B585">
            <w:pPr>
              <w:spacing w:beforeLines="0" w:afterLines="0" w:line="240" w:lineRule="auto"/>
              <w:jc w:val="center"/>
              <w:rPr>
                <w:rFonts w:ascii="Times New Roman" w:cs="宋体"/>
                <w:snapToGrid w:val="0"/>
                <w:color w:val="auto"/>
                <w:kern w:val="21"/>
                <w:szCs w:val="21"/>
              </w:rPr>
            </w:pPr>
            <w:r>
              <w:rPr>
                <w:rFonts w:hint="eastAsia" w:ascii="Times New Roman" w:cs="宋体"/>
                <w:snapToGrid w:val="0"/>
                <w:color w:val="auto"/>
                <w:kern w:val="21"/>
                <w:szCs w:val="21"/>
              </w:rPr>
              <w:t>/</w:t>
            </w:r>
          </w:p>
        </w:tc>
        <w:tc>
          <w:tcPr>
            <w:tcW w:w="643" w:type="pct"/>
            <w:vAlign w:val="center"/>
          </w:tcPr>
          <w:p w14:paraId="418815A6">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b w:val="0"/>
                <w:bCs w:val="0"/>
                <w:color w:val="auto"/>
                <w:szCs w:val="21"/>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bidi="ar-SA"/>
              </w:rPr>
              <w:t>2677.54t/a</w:t>
            </w:r>
          </w:p>
        </w:tc>
        <w:tc>
          <w:tcPr>
            <w:tcW w:w="390" w:type="pct"/>
            <w:vAlign w:val="center"/>
          </w:tcPr>
          <w:p w14:paraId="772CAA87">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b w:val="0"/>
                <w:bCs w:val="0"/>
                <w:color w:val="auto"/>
                <w:szCs w:val="21"/>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bidi="ar-SA"/>
              </w:rPr>
              <w:t>2677.54t/a</w:t>
            </w:r>
          </w:p>
        </w:tc>
      </w:tr>
      <w:tr w14:paraId="518078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469" w:type="pct"/>
            <w:vMerge w:val="continue"/>
            <w:vAlign w:val="center"/>
          </w:tcPr>
          <w:p w14:paraId="79417A40">
            <w:pPr>
              <w:pStyle w:val="57"/>
              <w:spacing w:before="31" w:after="31"/>
              <w:rPr>
                <w:rFonts w:hint="default" w:ascii="Times New Roman" w:eastAsia="宋体" w:cs="宋体"/>
                <w:snapToGrid w:val="0"/>
                <w:color w:val="auto"/>
                <w:kern w:val="21"/>
                <w:szCs w:val="21"/>
                <w:lang w:val="en-US" w:eastAsia="zh-CN"/>
              </w:rPr>
            </w:pPr>
          </w:p>
        </w:tc>
        <w:tc>
          <w:tcPr>
            <w:tcW w:w="613" w:type="pct"/>
            <w:vAlign w:val="center"/>
          </w:tcPr>
          <w:p w14:paraId="28D367C4">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废离子交换树脂</w:t>
            </w:r>
          </w:p>
        </w:tc>
        <w:tc>
          <w:tcPr>
            <w:tcW w:w="613" w:type="pct"/>
            <w:vAlign w:val="center"/>
          </w:tcPr>
          <w:p w14:paraId="653C7A1E">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458" w:type="pct"/>
            <w:vAlign w:val="center"/>
          </w:tcPr>
          <w:p w14:paraId="459295EC">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613" w:type="pct"/>
            <w:vAlign w:val="center"/>
          </w:tcPr>
          <w:p w14:paraId="31528D37">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562" w:type="pct"/>
            <w:vAlign w:val="center"/>
          </w:tcPr>
          <w:p w14:paraId="577D020D">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0.6t/a</w:t>
            </w:r>
          </w:p>
        </w:tc>
        <w:tc>
          <w:tcPr>
            <w:tcW w:w="634" w:type="pct"/>
            <w:vAlign w:val="center"/>
          </w:tcPr>
          <w:p w14:paraId="26832583">
            <w:pPr>
              <w:spacing w:beforeLines="0" w:afterLines="0" w:line="240" w:lineRule="auto"/>
              <w:jc w:val="center"/>
              <w:rPr>
                <w:rFonts w:ascii="Times New Roman" w:cs="宋体"/>
                <w:snapToGrid w:val="0"/>
                <w:color w:val="auto"/>
                <w:kern w:val="21"/>
                <w:szCs w:val="21"/>
              </w:rPr>
            </w:pPr>
            <w:r>
              <w:rPr>
                <w:rFonts w:hint="eastAsia" w:ascii="Times New Roman" w:cs="宋体"/>
                <w:snapToGrid w:val="0"/>
                <w:color w:val="auto"/>
                <w:kern w:val="21"/>
                <w:szCs w:val="21"/>
              </w:rPr>
              <w:t>/</w:t>
            </w:r>
          </w:p>
        </w:tc>
        <w:tc>
          <w:tcPr>
            <w:tcW w:w="643" w:type="pct"/>
            <w:vAlign w:val="center"/>
          </w:tcPr>
          <w:p w14:paraId="500FD56E">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b w:val="0"/>
                <w:bCs w:val="0"/>
                <w:color w:val="auto"/>
                <w:szCs w:val="21"/>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bidi="ar-SA"/>
              </w:rPr>
              <w:t>0.6t/a</w:t>
            </w:r>
          </w:p>
        </w:tc>
        <w:tc>
          <w:tcPr>
            <w:tcW w:w="390" w:type="pct"/>
            <w:vAlign w:val="center"/>
          </w:tcPr>
          <w:p w14:paraId="26A01514">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b w:val="0"/>
                <w:bCs w:val="0"/>
                <w:color w:val="auto"/>
                <w:szCs w:val="21"/>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bidi="ar-SA"/>
              </w:rPr>
              <w:t>0.6t/a</w:t>
            </w:r>
          </w:p>
        </w:tc>
      </w:tr>
      <w:tr w14:paraId="53D148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469" w:type="pct"/>
            <w:vMerge w:val="continue"/>
            <w:vAlign w:val="center"/>
          </w:tcPr>
          <w:p w14:paraId="2D08498F">
            <w:pPr>
              <w:pStyle w:val="57"/>
              <w:spacing w:before="31" w:after="31"/>
              <w:rPr>
                <w:rFonts w:hint="default" w:ascii="Times New Roman" w:eastAsia="宋体" w:cs="宋体"/>
                <w:snapToGrid w:val="0"/>
                <w:color w:val="auto"/>
                <w:kern w:val="21"/>
                <w:szCs w:val="21"/>
                <w:lang w:val="en-US" w:eastAsia="zh-CN"/>
              </w:rPr>
            </w:pPr>
          </w:p>
        </w:tc>
        <w:tc>
          <w:tcPr>
            <w:tcW w:w="613" w:type="pct"/>
            <w:vAlign w:val="center"/>
          </w:tcPr>
          <w:p w14:paraId="6C1B9265">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锅炉除尘灰和锅炉灰渣</w:t>
            </w:r>
          </w:p>
        </w:tc>
        <w:tc>
          <w:tcPr>
            <w:tcW w:w="613" w:type="pct"/>
            <w:vAlign w:val="center"/>
          </w:tcPr>
          <w:p w14:paraId="53C2AAA5">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458" w:type="pct"/>
            <w:vAlign w:val="center"/>
          </w:tcPr>
          <w:p w14:paraId="33661511">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613" w:type="pct"/>
            <w:vAlign w:val="center"/>
          </w:tcPr>
          <w:p w14:paraId="1162CB3D">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562" w:type="pct"/>
            <w:vAlign w:val="center"/>
          </w:tcPr>
          <w:p w14:paraId="05C5B8A5">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76.384t/a</w:t>
            </w:r>
          </w:p>
        </w:tc>
        <w:tc>
          <w:tcPr>
            <w:tcW w:w="634" w:type="pct"/>
            <w:vAlign w:val="center"/>
          </w:tcPr>
          <w:p w14:paraId="5F6135A0">
            <w:pPr>
              <w:spacing w:beforeLines="0" w:afterLines="0" w:line="240" w:lineRule="auto"/>
              <w:jc w:val="center"/>
              <w:rPr>
                <w:rFonts w:hint="eastAsia" w:cs="宋体"/>
                <w:color w:val="auto"/>
                <w:kern w:val="0"/>
                <w:szCs w:val="21"/>
              </w:rPr>
            </w:pPr>
            <w:r>
              <w:rPr>
                <w:rFonts w:hint="eastAsia" w:ascii="Times New Roman" w:cs="宋体"/>
                <w:snapToGrid w:val="0"/>
                <w:color w:val="auto"/>
                <w:kern w:val="21"/>
                <w:szCs w:val="21"/>
              </w:rPr>
              <w:t>/</w:t>
            </w:r>
          </w:p>
        </w:tc>
        <w:tc>
          <w:tcPr>
            <w:tcW w:w="643" w:type="pct"/>
            <w:vAlign w:val="center"/>
          </w:tcPr>
          <w:p w14:paraId="203CFD2C">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color w:val="auto"/>
              </w:rPr>
            </w:pPr>
            <w:r>
              <w:rPr>
                <w:rFonts w:hint="eastAsia" w:ascii="Times New Roman" w:hAnsi="Times New Roman" w:eastAsia="宋体" w:cs="Times New Roman"/>
                <w:b w:val="0"/>
                <w:bCs w:val="0"/>
                <w:color w:val="auto"/>
                <w:kern w:val="0"/>
                <w:sz w:val="21"/>
                <w:szCs w:val="21"/>
                <w:highlight w:val="none"/>
                <w:lang w:val="en-US" w:eastAsia="zh-CN" w:bidi="ar-SA"/>
              </w:rPr>
              <w:t>106.091t/a</w:t>
            </w:r>
          </w:p>
        </w:tc>
        <w:tc>
          <w:tcPr>
            <w:tcW w:w="390" w:type="pct"/>
            <w:vAlign w:val="center"/>
          </w:tcPr>
          <w:p w14:paraId="72E67B82">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color w:val="auto"/>
              </w:rPr>
            </w:pPr>
            <w:r>
              <w:rPr>
                <w:rFonts w:hint="eastAsia" w:ascii="Times New Roman" w:hAnsi="Times New Roman" w:eastAsia="宋体" w:cs="Times New Roman"/>
                <w:b w:val="0"/>
                <w:bCs w:val="0"/>
                <w:color w:val="auto"/>
                <w:kern w:val="0"/>
                <w:sz w:val="21"/>
                <w:szCs w:val="21"/>
                <w:highlight w:val="none"/>
                <w:lang w:val="en-US" w:eastAsia="zh-CN" w:bidi="ar-SA"/>
              </w:rPr>
              <w:t>106.091t/a</w:t>
            </w:r>
          </w:p>
        </w:tc>
      </w:tr>
      <w:tr w14:paraId="2B2D6C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1082" w:type="pct"/>
            <w:gridSpan w:val="2"/>
            <w:vAlign w:val="center"/>
          </w:tcPr>
          <w:p w14:paraId="440EFAA1">
            <w:pPr>
              <w:pStyle w:val="110"/>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生活垃圾</w:t>
            </w:r>
          </w:p>
        </w:tc>
        <w:tc>
          <w:tcPr>
            <w:tcW w:w="613" w:type="pct"/>
            <w:vAlign w:val="center"/>
          </w:tcPr>
          <w:p w14:paraId="331913CB">
            <w:pPr>
              <w:widowControl/>
              <w:adjustRightInd w:val="0"/>
              <w:snapToGrid w:val="0"/>
              <w:jc w:val="center"/>
              <w:rPr>
                <w:rFonts w:cs="宋体"/>
                <w:color w:val="auto"/>
                <w:kern w:val="0"/>
                <w:szCs w:val="21"/>
              </w:rPr>
            </w:pPr>
            <w:r>
              <w:rPr>
                <w:rFonts w:hint="eastAsia" w:cs="宋体"/>
                <w:color w:val="auto"/>
                <w:kern w:val="0"/>
                <w:szCs w:val="21"/>
              </w:rPr>
              <w:t>/</w:t>
            </w:r>
          </w:p>
        </w:tc>
        <w:tc>
          <w:tcPr>
            <w:tcW w:w="458" w:type="pct"/>
            <w:vAlign w:val="center"/>
          </w:tcPr>
          <w:p w14:paraId="22B79278">
            <w:pPr>
              <w:spacing w:beforeLines="0" w:afterLines="0" w:line="240" w:lineRule="auto"/>
              <w:jc w:val="center"/>
              <w:rPr>
                <w:rFonts w:hint="eastAsia" w:ascii="Times New Roman" w:cs="宋体"/>
                <w:snapToGrid w:val="0"/>
                <w:color w:val="auto"/>
                <w:kern w:val="21"/>
                <w:szCs w:val="21"/>
              </w:rPr>
            </w:pPr>
            <w:r>
              <w:rPr>
                <w:rFonts w:hint="eastAsia" w:cs="宋体"/>
                <w:color w:val="auto"/>
                <w:kern w:val="0"/>
                <w:szCs w:val="21"/>
              </w:rPr>
              <w:t>/</w:t>
            </w:r>
          </w:p>
        </w:tc>
        <w:tc>
          <w:tcPr>
            <w:tcW w:w="613" w:type="pct"/>
            <w:vAlign w:val="center"/>
          </w:tcPr>
          <w:p w14:paraId="4BEBBFC2">
            <w:pPr>
              <w:spacing w:beforeLines="0" w:afterLines="0" w:line="240" w:lineRule="auto"/>
              <w:jc w:val="center"/>
              <w:rPr>
                <w:rFonts w:hint="eastAsia" w:ascii="Times New Roman" w:cs="宋体"/>
                <w:snapToGrid w:val="0"/>
                <w:color w:val="auto"/>
                <w:kern w:val="21"/>
                <w:szCs w:val="21"/>
              </w:rPr>
            </w:pPr>
            <w:r>
              <w:rPr>
                <w:rFonts w:hint="eastAsia" w:cs="宋体"/>
                <w:color w:val="auto"/>
                <w:kern w:val="0"/>
                <w:szCs w:val="21"/>
              </w:rPr>
              <w:t>/</w:t>
            </w:r>
          </w:p>
        </w:tc>
        <w:tc>
          <w:tcPr>
            <w:tcW w:w="562" w:type="pct"/>
            <w:vAlign w:val="center"/>
          </w:tcPr>
          <w:p w14:paraId="382A6B0E">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宋体"/>
                <w:snapToGrid w:val="0"/>
                <w:color w:val="auto"/>
                <w:kern w:val="21"/>
                <w:sz w:val="21"/>
                <w:szCs w:val="21"/>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1.5</w:t>
            </w:r>
            <w:r>
              <w:rPr>
                <w:rFonts w:hint="default" w:ascii="Times New Roman" w:hAnsi="Times New Roman" w:eastAsia="宋体" w:cs="Times New Roman"/>
                <w:b w:val="0"/>
                <w:bCs w:val="0"/>
                <w:color w:val="auto"/>
                <w:kern w:val="0"/>
                <w:sz w:val="21"/>
                <w:szCs w:val="21"/>
                <w:highlight w:val="none"/>
                <w:lang w:val="en-US" w:eastAsia="zh-CN" w:bidi="ar-SA"/>
              </w:rPr>
              <w:t>t/a</w:t>
            </w:r>
          </w:p>
        </w:tc>
        <w:tc>
          <w:tcPr>
            <w:tcW w:w="634" w:type="pct"/>
            <w:vAlign w:val="center"/>
          </w:tcPr>
          <w:p w14:paraId="2B88042E">
            <w:pPr>
              <w:widowControl/>
              <w:adjustRightInd w:val="0"/>
              <w:snapToGrid w:val="0"/>
              <w:jc w:val="center"/>
              <w:rPr>
                <w:rFonts w:hint="eastAsia" w:cs="宋体"/>
                <w:color w:val="auto"/>
                <w:kern w:val="0"/>
                <w:szCs w:val="21"/>
              </w:rPr>
            </w:pPr>
            <w:r>
              <w:rPr>
                <w:rFonts w:hint="eastAsia" w:cs="宋体"/>
                <w:color w:val="auto"/>
                <w:kern w:val="0"/>
                <w:szCs w:val="21"/>
              </w:rPr>
              <w:t>/</w:t>
            </w:r>
          </w:p>
        </w:tc>
        <w:tc>
          <w:tcPr>
            <w:tcW w:w="643" w:type="pct"/>
            <w:vAlign w:val="center"/>
          </w:tcPr>
          <w:p w14:paraId="3C7E0722">
            <w:pPr>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宋体"/>
                <w:snapToGrid w:val="0"/>
                <w:color w:val="auto"/>
                <w:kern w:val="21"/>
                <w:sz w:val="21"/>
                <w:szCs w:val="21"/>
                <w:lang w:val="en-US" w:eastAsia="zh-CN" w:bidi="ar-SA"/>
              </w:rPr>
            </w:pPr>
            <w:r>
              <w:rPr>
                <w:rFonts w:hint="eastAsia" w:ascii="Times New Roman" w:cs="宋体"/>
                <w:snapToGrid w:val="0"/>
                <w:color w:val="auto"/>
                <w:kern w:val="21"/>
                <w:szCs w:val="21"/>
              </w:rPr>
              <w:t>/</w:t>
            </w:r>
          </w:p>
        </w:tc>
        <w:tc>
          <w:tcPr>
            <w:tcW w:w="390" w:type="pct"/>
            <w:vAlign w:val="center"/>
          </w:tcPr>
          <w:p w14:paraId="5EC43095">
            <w:pPr>
              <w:pStyle w:val="114"/>
              <w:keepNext w:val="0"/>
              <w:keepLines w:val="0"/>
              <w:pageBreakBefore w:val="0"/>
              <w:suppressLineNumbers w:val="0"/>
              <w:wordWrap/>
              <w:bidi w:val="0"/>
              <w:adjustRightInd w:val="0"/>
              <w:snapToGrid w:val="0"/>
              <w:spacing w:before="0" w:beforeAutospacing="0" w:after="0" w:afterAutospacing="0" w:line="360" w:lineRule="auto"/>
              <w:ind w:left="0" w:leftChars="0" w:right="0" w:rightChars="0"/>
              <w:rPr>
                <w:rFonts w:hint="eastAsia" w:ascii="Times New Roman" w:hAnsi="Times New Roman" w:eastAsia="宋体" w:cs="宋体"/>
                <w:snapToGrid w:val="0"/>
                <w:color w:val="auto"/>
                <w:kern w:val="21"/>
                <w:sz w:val="21"/>
                <w:szCs w:val="21"/>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1.5</w:t>
            </w:r>
            <w:r>
              <w:rPr>
                <w:rFonts w:hint="default" w:ascii="Times New Roman" w:hAnsi="Times New Roman" w:eastAsia="宋体" w:cs="Times New Roman"/>
                <w:b w:val="0"/>
                <w:bCs w:val="0"/>
                <w:color w:val="auto"/>
                <w:kern w:val="0"/>
                <w:sz w:val="21"/>
                <w:szCs w:val="21"/>
                <w:highlight w:val="none"/>
                <w:lang w:val="en-US" w:eastAsia="zh-CN" w:bidi="ar-SA"/>
              </w:rPr>
              <w:t>t/a</w:t>
            </w:r>
          </w:p>
        </w:tc>
      </w:tr>
    </w:tbl>
    <w:p w14:paraId="1E5C6B6C">
      <w:pPr>
        <w:pStyle w:val="57"/>
        <w:spacing w:beforeLines="0" w:afterLines="0" w:line="240" w:lineRule="auto"/>
        <w:jc w:val="left"/>
        <w:rPr>
          <w:rFonts w:hint="eastAsia" w:ascii="Times New Roman"/>
          <w:color w:val="auto"/>
          <w:szCs w:val="21"/>
        </w:rPr>
        <w:sectPr>
          <w:pgSz w:w="16838" w:h="11906" w:orient="landscape"/>
          <w:pgMar w:top="1531" w:right="1701" w:bottom="1531" w:left="1701" w:header="851" w:footer="907" w:gutter="0"/>
          <w:pgBorders>
            <w:top w:val="none" w:sz="0" w:space="0"/>
            <w:left w:val="none" w:sz="0" w:space="0"/>
            <w:bottom w:val="none" w:sz="0" w:space="0"/>
            <w:right w:val="none" w:sz="0" w:space="0"/>
          </w:pgBorders>
          <w:pgNumType w:fmt="decimal"/>
          <w:cols w:space="720" w:num="1"/>
          <w:docGrid w:type="lines" w:linePitch="312" w:charSpace="0"/>
        </w:sectPr>
      </w:pPr>
      <w:r>
        <w:rPr>
          <w:rFonts w:ascii="Times New Roman"/>
          <w:snapToGrid w:val="0"/>
          <w:color w:val="auto"/>
          <w:kern w:val="21"/>
          <w:szCs w:val="21"/>
        </w:rPr>
        <w:t>注：</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hint="eastAsia" w:ascii="Times New Roman" w:cs="宋体"/>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hint="eastAsia" w:ascii="Times New Roman" w:cs="宋体"/>
          <w:color w:val="auto"/>
          <w:szCs w:val="21"/>
        </w:rPr>
        <w:t>①</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rFonts w:hint="eastAsia" w:ascii="Times New Roman" w:cs="宋体"/>
          <w:color w:val="auto"/>
          <w:szCs w:val="21"/>
        </w:rPr>
        <w:t>③</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4 \* GB3 \* MERGEFORMAT </w:instrText>
      </w:r>
      <w:r>
        <w:rPr>
          <w:rFonts w:ascii="Times New Roman"/>
          <w:snapToGrid w:val="0"/>
          <w:color w:val="auto"/>
          <w:spacing w:val="-6"/>
          <w:kern w:val="21"/>
          <w:szCs w:val="21"/>
        </w:rPr>
        <w:fldChar w:fldCharType="separate"/>
      </w:r>
      <w:r>
        <w:rPr>
          <w:rFonts w:hint="eastAsia" w:ascii="Times New Roman" w:cs="宋体"/>
          <w:color w:val="auto"/>
          <w:szCs w:val="21"/>
        </w:rPr>
        <w:t>④</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5 \* GB3 \* MERGEFORMAT </w:instrText>
      </w:r>
      <w:r>
        <w:rPr>
          <w:rFonts w:ascii="Times New Roman"/>
          <w:snapToGrid w:val="0"/>
          <w:color w:val="auto"/>
          <w:spacing w:val="-16"/>
          <w:kern w:val="21"/>
          <w:szCs w:val="21"/>
        </w:rPr>
        <w:fldChar w:fldCharType="separate"/>
      </w:r>
      <w:r>
        <w:rPr>
          <w:rFonts w:hint="eastAsia" w:ascii="Times New Roman" w:cs="宋体"/>
          <w:color w:val="auto"/>
          <w:szCs w:val="21"/>
        </w:rPr>
        <w:t>⑤</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7 \* GB3 \* MERGEFORMAT </w:instrText>
      </w:r>
      <w:r>
        <w:rPr>
          <w:rFonts w:ascii="Times New Roman"/>
          <w:snapToGrid w:val="0"/>
          <w:color w:val="auto"/>
          <w:spacing w:val="-6"/>
          <w:kern w:val="21"/>
          <w:szCs w:val="21"/>
        </w:rPr>
        <w:fldChar w:fldCharType="separate"/>
      </w:r>
      <w:r>
        <w:rPr>
          <w:rFonts w:hint="eastAsia" w:ascii="Times New Roman" w:cs="宋体"/>
          <w:color w:val="auto"/>
          <w:szCs w:val="21"/>
        </w:rPr>
        <w:t>⑦</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hint="eastAsia" w:ascii="Times New Roman" w:cs="宋体"/>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hint="eastAsia" w:ascii="Times New Roman" w:cs="宋体"/>
          <w:color w:val="auto"/>
          <w:szCs w:val="21"/>
        </w:rPr>
        <w:t>①</w:t>
      </w:r>
      <w:r>
        <w:rPr>
          <w:rFonts w:ascii="Times New Roman"/>
          <w:snapToGrid w:val="0"/>
          <w:color w:val="auto"/>
          <w:spacing w:val="-6"/>
          <w:kern w:val="21"/>
          <w:szCs w:val="21"/>
        </w:rPr>
        <w:fldChar w:fldCharType="end"/>
      </w:r>
      <w:r>
        <w:rPr>
          <w:rFonts w:hint="eastAsia" w:ascii="Times New Roman"/>
          <w:color w:val="auto"/>
          <w:szCs w:val="21"/>
        </w:rPr>
        <w:t>。</w:t>
      </w:r>
    </w:p>
    <w:p w14:paraId="15FD782C">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textAlignment w:val="auto"/>
        <w:outlineLvl w:val="0"/>
        <w:rPr>
          <w:rFonts w:hint="eastAsia" w:asciiTheme="minorEastAsia" w:hAnsiTheme="minorEastAsia" w:eastAsiaTheme="minorEastAsia" w:cstheme="minorEastAsia"/>
          <w:snapToGrid w:val="0"/>
          <w:color w:val="auto"/>
          <w:sz w:val="32"/>
          <w:szCs w:val="32"/>
          <w:lang w:eastAsia="zh-CN"/>
        </w:rPr>
      </w:pPr>
      <w:bookmarkStart w:id="32" w:name="_Toc4132"/>
      <w:r>
        <w:rPr>
          <w:rFonts w:hint="eastAsia" w:asciiTheme="minorEastAsia" w:hAnsiTheme="minorEastAsia" w:eastAsiaTheme="minorEastAsia" w:cstheme="minorEastAsia"/>
          <w:snapToGrid w:val="0"/>
          <w:color w:val="auto"/>
          <w:sz w:val="32"/>
          <w:szCs w:val="32"/>
        </w:rPr>
        <w:t>附图1</w:t>
      </w:r>
      <w:r>
        <w:rPr>
          <w:rFonts w:hint="eastAsia" w:asciiTheme="minorEastAsia" w:hAnsiTheme="minorEastAsia" w:eastAsiaTheme="minorEastAsia" w:cstheme="minorEastAsia"/>
          <w:snapToGrid w:val="0"/>
          <w:color w:val="auto"/>
          <w:sz w:val="32"/>
          <w:szCs w:val="32"/>
          <w:lang w:eastAsia="zh-CN"/>
        </w:rPr>
        <w:t>：</w:t>
      </w:r>
      <w:r>
        <w:rPr>
          <w:rFonts w:hint="eastAsia" w:asciiTheme="minorEastAsia" w:hAnsiTheme="minorEastAsia" w:eastAsiaTheme="minorEastAsia" w:cstheme="minorEastAsia"/>
          <w:snapToGrid w:val="0"/>
          <w:color w:val="auto"/>
          <w:sz w:val="32"/>
          <w:szCs w:val="32"/>
        </w:rPr>
        <w:t>地理位置图</w:t>
      </w:r>
      <w:bookmarkEnd w:id="32"/>
    </w:p>
    <w:p w14:paraId="58BCD70E">
      <w:pPr>
        <w:pStyle w:val="128"/>
        <w:keepLines w:val="0"/>
        <w:pageBreakBefore w:val="0"/>
        <w:topLinePunct w:val="0"/>
        <w:bidi w:val="0"/>
        <w:spacing w:beforeAutospacing="0" w:afterAutospacing="0" w:line="360" w:lineRule="auto"/>
        <w:ind w:left="0" w:leftChars="0" w:right="0" w:rightChars="0" w:firstLine="0" w:firstLineChars="0"/>
        <w:jc w:val="center"/>
        <w:rPr>
          <w:rFonts w:hint="eastAsia" w:eastAsia="宋体"/>
          <w:color w:val="auto"/>
          <w:lang w:eastAsia="zh-CN"/>
        </w:rPr>
      </w:pPr>
      <w:r>
        <w:rPr>
          <w:rFonts w:hint="eastAsia" w:eastAsia="宋体"/>
          <w:color w:val="auto"/>
          <w:lang w:eastAsia="zh-CN"/>
        </w:rPr>
        <w:drawing>
          <wp:anchor distT="0" distB="0" distL="114300" distR="114300" simplePos="0" relativeHeight="251684864" behindDoc="0" locked="0" layoutInCell="1" allowOverlap="1">
            <wp:simplePos x="0" y="0"/>
            <wp:positionH relativeFrom="column">
              <wp:posOffset>7833995</wp:posOffset>
            </wp:positionH>
            <wp:positionV relativeFrom="paragraph">
              <wp:posOffset>5080</wp:posOffset>
            </wp:positionV>
            <wp:extent cx="883285" cy="838200"/>
            <wp:effectExtent l="0" t="0" r="12065" b="0"/>
            <wp:wrapNone/>
            <wp:docPr id="16" name="图片 1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片1"/>
                    <pic:cNvPicPr>
                      <a:picLocks noChangeAspect="1"/>
                    </pic:cNvPicPr>
                  </pic:nvPicPr>
                  <pic:blipFill>
                    <a:blip r:embed="rId13"/>
                    <a:stretch>
                      <a:fillRect/>
                    </a:stretch>
                  </pic:blipFill>
                  <pic:spPr>
                    <a:xfrm>
                      <a:off x="0" y="0"/>
                      <a:ext cx="883285" cy="838200"/>
                    </a:xfrm>
                    <a:prstGeom prst="rect">
                      <a:avLst/>
                    </a:prstGeom>
                  </pic:spPr>
                </pic:pic>
              </a:graphicData>
            </a:graphic>
          </wp:anchor>
        </w:drawing>
      </w:r>
      <w:r>
        <w:rPr>
          <w:rFonts w:cs="Times New Roman"/>
          <w:color w:val="auto"/>
        </w:rPr>
        <mc:AlternateContent>
          <mc:Choice Requires="wps">
            <w:drawing>
              <wp:anchor distT="0" distB="0" distL="114300" distR="114300" simplePos="0" relativeHeight="251678720" behindDoc="0" locked="0" layoutInCell="1" allowOverlap="1">
                <wp:simplePos x="0" y="0"/>
                <wp:positionH relativeFrom="column">
                  <wp:posOffset>7778115</wp:posOffset>
                </wp:positionH>
                <wp:positionV relativeFrom="paragraph">
                  <wp:posOffset>4056380</wp:posOffset>
                </wp:positionV>
                <wp:extent cx="175895" cy="181610"/>
                <wp:effectExtent l="12700" t="12700" r="20955" b="15240"/>
                <wp:wrapNone/>
                <wp:docPr id="11" name="星形: 五角 14"/>
                <wp:cNvGraphicFramePr/>
                <a:graphic xmlns:a="http://schemas.openxmlformats.org/drawingml/2006/main">
                  <a:graphicData uri="http://schemas.microsoft.com/office/word/2010/wordprocessingShape">
                    <wps:wsp>
                      <wps:cNvSpPr/>
                      <wps:spPr>
                        <a:xfrm>
                          <a:off x="0" y="0"/>
                          <a:ext cx="175895" cy="181610"/>
                        </a:xfrm>
                        <a:prstGeom prst="star5">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星形: 五角 14" o:spid="_x0000_s1026" style="position:absolute;left:0pt;margin-left:612.45pt;margin-top:319.4pt;height:14.3pt;width:13.85pt;z-index:251678720;v-text-anchor:middle;mso-width-relative:page;mso-height-relative:page;" fillcolor="#FF0000" filled="t" stroked="t" coordsize="175895,181610" o:gfxdata="UEsDBAoAAAAAAIdO4kAAAAAAAAAAAAAAAAAEAAAAZHJzL1BLAwQUAAAACACHTuJA/8Cx69kAAAAN&#10;AQAADwAAAGRycy9kb3ducmV2LnhtbE2PwU7DMBBE70j8g7VI3KgT06RNGqdSkPoBFATi5sbbJCW2&#10;I9ttyt+zPcFxZp9mZ6rt1Yzsgj4MzkpIFwkwtK3Tg+0kvL/tntbAQlRWq9FZlPCDAbb1/V2lSu1m&#10;+4qXfewYhdhQKgl9jFPJeWh7NCos3ISWbkfnjYokfce1VzOFm5GLJMm5UYOlD72a8KXH9nt/NhKy&#10;XTN8NSbi/NEUxafIVunx5KV8fEiTDbCI1/gHw60+VYeaOh3c2erARtJCLAtiJeTPaxpxQ0QmcmAH&#10;svLVEnhd8f8r6l9QSwMEFAAAAAgAh07iQF31TSt3AgAA9QQAAA4AAABkcnMvZTJvRG9jLnhtbK1U&#10;zW4TMRC+I/EOlu90s1HSn6ibKkoUhFTRSgVxdrze7Er+w3ayKY+BOHBD6oV3QOJtAPEYfPZu27Rw&#10;6IEcnBnPeGa+b2b29GynJNkK5xujC5ofDCgRmpuy0euCvn2zfHFMiQ9Ml0waLQp6LTw9mz5/dtra&#10;iRia2shSOIIg2k9aW9A6BDvJMs9roZg/MFZoGCvjFAtQ3TorHWsRXclsOBgcZq1xpXWGC+9xu+iM&#10;tI/onhLQVFXDxcLwjRI6dFGdkCwAkq8b6+k0VVtVgoeLqvIiEFlQIA3pRBLIq3hm01M2WTtm64b3&#10;JbCnlPAIk2KNRtK7UAsWGNm45q9QquHOeFOFA25U1gFJjABFPnjEzVXNrEhYQLW3d6T7/xeWv95e&#10;OtKUmIScEs0UOv7r85ef328m5Me3T7+/fiT5KLLUWj+B85W9dL3mIUbIu8qp+A8wZJeYvb5jVuwC&#10;4bjMj8bHJ2NKOEz5cX6YJ+az+8fW+fBSGEWiUFAMoBsnQtn23AdkhO+tT0zmjWzKZSNlUtx6NZeO&#10;bBm6vFwO8Isl48kDN6lJW9DheAQz4QyzW2FmICoL/F6vKWFyjaXgwaXcD177pyWJRS6Yr7tiUoS+&#10;FqljrSINZY8pktrRGKWVKa/RDGe6KfWWLxtEO2c+XDKHsUTZWNxwgaOSBlhML1FSG/fhX/fRH9MC&#10;KyUtxhw432+YE5TIVxpzdJKPRnEvkjIaHw2huH3Lat+iN2puwDFGBdUlMfoHeStWzqh32O9ZzAoT&#10;0xy5O0Z7ZR669cMXgovZLLlhFywL5/rK8hg88qTNbBNM1aTe37ODrkYF25D6229uXLd9PXndf62m&#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wLHr2QAAAA0BAAAPAAAAAAAAAAEAIAAAACIAAABk&#10;cnMvZG93bnJldi54bWxQSwECFAAUAAAACACHTuJAXfVNK3cCAAD1BAAADgAAAAAAAAABACAAAAAo&#10;AQAAZHJzL2Uyb0RvYy54bWxQSwUGAAAAAAYABgBZAQAAEQYAAAAA&#10;" path="m0,69368l67186,69369,87947,0,108708,69369,175894,69368,121539,112240,142301,181609,87947,138736,33593,181609,54355,112240xe">
                <v:path o:connectlocs="87947,0;0,69368;33593,181609;142301,181609;175894,69368" o:connectangles="247,164,82,82,0"/>
                <v:fill on="t" focussize="0,0"/>
                <v:stroke weight="2pt" color="#FF0000" joinstyle="round"/>
                <v:imagedata o:title=""/>
                <o:lock v:ext="edit" aspectratio="f"/>
              </v:shape>
            </w:pict>
          </mc:Fallback>
        </mc:AlternateContent>
      </w:r>
      <w:r>
        <w:rPr>
          <w:color w:val="auto"/>
          <w:sz w:val="21"/>
        </w:rPr>
        <mc:AlternateContent>
          <mc:Choice Requires="wps">
            <w:drawing>
              <wp:anchor distT="0" distB="0" distL="114300" distR="114300" simplePos="0" relativeHeight="251663360" behindDoc="0" locked="0" layoutInCell="1" allowOverlap="1">
                <wp:simplePos x="0" y="0"/>
                <wp:positionH relativeFrom="column">
                  <wp:posOffset>7593330</wp:posOffset>
                </wp:positionH>
                <wp:positionV relativeFrom="paragraph">
                  <wp:posOffset>3659505</wp:posOffset>
                </wp:positionV>
                <wp:extent cx="1143000" cy="657225"/>
                <wp:effectExtent l="4445" t="4445" r="14605" b="5080"/>
                <wp:wrapNone/>
                <wp:docPr id="58" name="自选图形 109"/>
                <wp:cNvGraphicFramePr/>
                <a:graphic xmlns:a="http://schemas.openxmlformats.org/drawingml/2006/main">
                  <a:graphicData uri="http://schemas.microsoft.com/office/word/2010/wordprocessingShape">
                    <wps:wsp>
                      <wps:cNvSpPr/>
                      <wps:spPr>
                        <a:xfrm>
                          <a:off x="0" y="0"/>
                          <a:ext cx="1143000" cy="657225"/>
                        </a:xfrm>
                        <a:prstGeom prst="flowChartProcess">
                          <a:avLst/>
                        </a:prstGeom>
                        <a:solidFill>
                          <a:srgbClr val="FFFFFF"/>
                        </a:solidFill>
                        <a:ln w="9525" cap="flat" cmpd="sng">
                          <a:solidFill>
                            <a:srgbClr val="000000"/>
                          </a:solidFill>
                          <a:prstDash val="solid"/>
                          <a:miter/>
                          <a:headEnd type="none" w="med" len="med"/>
                          <a:tailEnd type="none" w="med" len="med"/>
                        </a:ln>
                        <a:effectLst/>
                      </wps:spPr>
                      <wps:txbx>
                        <w:txbxContent>
                          <w:p w14:paraId="2E0E0855">
                            <w:pPr>
                              <w:spacing w:line="360" w:lineRule="auto"/>
                              <w:jc w:val="center"/>
                              <w:rPr>
                                <w:rFonts w:hint="eastAsia"/>
                                <w:b/>
                                <w:bCs/>
                                <w:sz w:val="28"/>
                                <w:szCs w:val="36"/>
                                <w:lang w:eastAsia="zh-CN"/>
                              </w:rPr>
                            </w:pPr>
                            <w:r>
                              <w:rPr>
                                <w:rFonts w:hint="eastAsia"/>
                                <w:b/>
                                <w:bCs/>
                                <w:sz w:val="28"/>
                                <w:szCs w:val="36"/>
                                <w:lang w:eastAsia="zh-CN"/>
                              </w:rPr>
                              <w:t>图例</w:t>
                            </w:r>
                          </w:p>
                          <w:p w14:paraId="183AEA53">
                            <w:pPr>
                              <w:spacing w:line="360" w:lineRule="auto"/>
                              <w:ind w:firstLine="632" w:firstLineChars="300"/>
                              <w:jc w:val="right"/>
                              <w:rPr>
                                <w:rFonts w:hint="eastAsia"/>
                                <w:lang w:eastAsia="zh-CN"/>
                              </w:rPr>
                            </w:pPr>
                            <w:r>
                              <w:rPr>
                                <w:rFonts w:hint="eastAsia"/>
                                <w:b/>
                                <w:bCs/>
                                <w:lang w:eastAsia="zh-CN"/>
                              </w:rPr>
                              <w:t>项目位置</w:t>
                            </w:r>
                          </w:p>
                        </w:txbxContent>
                      </wps:txbx>
                      <wps:bodyPr upright="1"/>
                    </wps:wsp>
                  </a:graphicData>
                </a:graphic>
              </wp:anchor>
            </w:drawing>
          </mc:Choice>
          <mc:Fallback>
            <w:pict>
              <v:shape id="自选图形 109" o:spid="_x0000_s1026" o:spt="109" type="#_x0000_t109" style="position:absolute;left:0pt;margin-left:597.9pt;margin-top:288.15pt;height:51.75pt;width:90pt;z-index:251663360;mso-width-relative:page;mso-height-relative:page;" fillcolor="#FFFFFF" filled="t" stroked="t" coordsize="21600,21600" o:gfxdata="UEsDBAoAAAAAAIdO4kAAAAAAAAAAAAAAAAAEAAAAZHJzL1BLAwQUAAAACACHTuJA6m0cSdsAAAAN&#10;AQAADwAAAGRycy9kb3ducmV2LnhtbE2PzU7DMBCE70i8g7VIXCrqpCE/DXF6QAqihx4IXLhtYpNE&#10;xOsodtPy9jgnOM7OaObb4nDVI1vUbAdDAsJtAExRa+RAnYCP9+ohA2YdksTRkBLwoywcytubAnNp&#10;LvSmltp1zJeQzVFA79yUc27bXmm0WzMp8t6XmTU6L+eOyxkvvlyPfBcECdc4kF/ocVLPvWq/67MW&#10;sMs29QudqtfH5igrjMPPZRMdhbi/C4MnYE5d3V8YVnyPDqVnasyZpGWj1+E+9uxOQJwmEbA1EqXr&#10;qRGQpPsMeFnw/1+Uv1BLAwQUAAAACACHTuJA5G3YOx0CAABMBAAADgAAAGRycy9lMm9Eb2MueG1s&#10;rVTNjtMwEL4j8Q6W7zRpoQsbNd3DlnJBUGnhAVz/JJb8J9tt0hs3xDNw48g7sG+zErwFYyeUdrn0&#10;QA7OODP+Zr5vxlnc9FqhPfdBWlPj6aTEiBtqmTRNjT9+WD97hVGIxDCirOE1PvCAb5ZPnyw6V/GZ&#10;ba1i3CMAMaHqXI3bGF1VFIG2XJMwsY4bcArrNYmw9U3BPOkAXatiVpZXRWc9c95SHgJ8XQ1OPCL6&#10;SwCtEJLylaU7zU0cUD1XJAKl0EoX8DJXKwSn8b0QgUekagxMY14hCdjbtBbLBakaT1wr6VgCuaSE&#10;R5w0kQaSHqFWJBK08/IfKC2pt8GKOKFWFwORrAiwmJaPtLlrieOZC0gd3FH08P9g6bv9xiPJajyH&#10;vhuioeM/P3//9enLw9f7hx/f0LS8TiJ1LlQQe+c2ftwFMBPjXnid3sAF9VnYw1FY3kdE4eN0+uJ5&#10;WYLmFHxX85ez2TyBFn9POx/iG241SkaNhbLdbUt83AyDkrUl+7chDsf+hKfEwSrJ1lKpvPHN9lZ5&#10;tCfQ8HV+xkxnYcqgrsbXc6gDUQJTLGB6wNQOlAimyfnOToRTYOCS6Ay1nIWlwlYktEMB2ZXCSKVl&#10;5D5bLSfstWEoHhyIbeCS4VSM5gwjxeFOJitHRiLVJZGgozIpCc8TP6qUWjY0KVmx3/YAmsytZQdo&#10;+s552bQg9jQTSR4YstyV8UKkKT7dg336E1j+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OptHEnb&#10;AAAADQEAAA8AAAAAAAAAAQAgAAAAIgAAAGRycy9kb3ducmV2LnhtbFBLAQIUABQAAAAIAIdO4kDk&#10;bdg7HQIAAEwEAAAOAAAAAAAAAAEAIAAAACoBAABkcnMvZTJvRG9jLnhtbFBLBQYAAAAABgAGAFkB&#10;AAC5BQAAAAA=&#10;">
                <v:fill on="t" focussize="0,0"/>
                <v:stroke color="#000000" joinstyle="miter"/>
                <v:imagedata o:title=""/>
                <o:lock v:ext="edit" aspectratio="f"/>
                <v:textbox>
                  <w:txbxContent>
                    <w:p w14:paraId="2E0E0855">
                      <w:pPr>
                        <w:spacing w:line="360" w:lineRule="auto"/>
                        <w:jc w:val="center"/>
                        <w:rPr>
                          <w:rFonts w:hint="eastAsia"/>
                          <w:b/>
                          <w:bCs/>
                          <w:sz w:val="28"/>
                          <w:szCs w:val="36"/>
                          <w:lang w:eastAsia="zh-CN"/>
                        </w:rPr>
                      </w:pPr>
                      <w:r>
                        <w:rPr>
                          <w:rFonts w:hint="eastAsia"/>
                          <w:b/>
                          <w:bCs/>
                          <w:sz w:val="28"/>
                          <w:szCs w:val="36"/>
                          <w:lang w:eastAsia="zh-CN"/>
                        </w:rPr>
                        <w:t>图例</w:t>
                      </w:r>
                    </w:p>
                    <w:p w14:paraId="183AEA53">
                      <w:pPr>
                        <w:spacing w:line="360" w:lineRule="auto"/>
                        <w:ind w:firstLine="632" w:firstLineChars="300"/>
                        <w:jc w:val="right"/>
                        <w:rPr>
                          <w:rFonts w:hint="eastAsia"/>
                          <w:lang w:eastAsia="zh-CN"/>
                        </w:rPr>
                      </w:pPr>
                      <w:r>
                        <w:rPr>
                          <w:rFonts w:hint="eastAsia"/>
                          <w:b/>
                          <w:bCs/>
                          <w:lang w:eastAsia="zh-CN"/>
                        </w:rPr>
                        <w:t>项目位置</w:t>
                      </w:r>
                    </w:p>
                  </w:txbxContent>
                </v:textbox>
              </v:shape>
            </w:pict>
          </mc:Fallback>
        </mc:AlternateContent>
      </w:r>
      <w:r>
        <w:rPr>
          <w:rFonts w:cs="Times New Roman"/>
          <w:color w:val="auto"/>
        </w:rPr>
        <mc:AlternateContent>
          <mc:Choice Requires="wps">
            <w:drawing>
              <wp:anchor distT="0" distB="0" distL="114300" distR="114300" simplePos="0" relativeHeight="251662336" behindDoc="0" locked="0" layoutInCell="1" allowOverlap="1">
                <wp:simplePos x="0" y="0"/>
                <wp:positionH relativeFrom="column">
                  <wp:posOffset>4225925</wp:posOffset>
                </wp:positionH>
                <wp:positionV relativeFrom="paragraph">
                  <wp:posOffset>1581150</wp:posOffset>
                </wp:positionV>
                <wp:extent cx="1113155" cy="413385"/>
                <wp:effectExtent l="4445" t="5080" r="6350" b="629285"/>
                <wp:wrapNone/>
                <wp:docPr id="55" name="对话气泡: 椭圆形 12"/>
                <wp:cNvGraphicFramePr/>
                <a:graphic xmlns:a="http://schemas.openxmlformats.org/drawingml/2006/main">
                  <a:graphicData uri="http://schemas.microsoft.com/office/word/2010/wordprocessingShape">
                    <wps:wsp>
                      <wps:cNvSpPr/>
                      <wps:spPr>
                        <a:xfrm>
                          <a:off x="0" y="0"/>
                          <a:ext cx="1113155" cy="413385"/>
                        </a:xfrm>
                        <a:prstGeom prst="wedgeEllipseCallout">
                          <a:avLst>
                            <a:gd name="adj1" fmla="val -33287"/>
                            <a:gd name="adj2" fmla="val 200384"/>
                          </a:avLst>
                        </a:prstGeom>
                        <a:solidFill>
                          <a:srgbClr val="FFFFFF"/>
                        </a:solidFill>
                        <a:ln w="6350" cap="flat" cmpd="sng">
                          <a:solidFill>
                            <a:srgbClr val="000000"/>
                          </a:solidFill>
                          <a:prstDash val="solid"/>
                          <a:round/>
                          <a:headEnd type="none" w="med" len="med"/>
                          <a:tailEnd type="none" w="med" len="med"/>
                        </a:ln>
                      </wps:spPr>
                      <wps:txbx>
                        <w:txbxContent>
                          <w:p w14:paraId="0D8B0A47">
                            <w:pPr>
                              <w:jc w:val="center"/>
                              <w:rPr>
                                <w:rFonts w:ascii="仿宋" w:hAnsi="仿宋" w:eastAsia="仿宋"/>
                                <w:bCs/>
                                <w:color w:val="000000" w:themeColor="text1"/>
                                <w:sz w:val="15"/>
                                <w:szCs w:val="15"/>
                                <w14:textFill>
                                  <w14:solidFill>
                                    <w14:schemeClr w14:val="tx1"/>
                                  </w14:solidFill>
                                </w14:textFill>
                              </w:rPr>
                            </w:pPr>
                            <w:r>
                              <w:rPr>
                                <w:rFonts w:hint="eastAsia" w:ascii="仿宋" w:hAnsi="仿宋" w:eastAsia="仿宋"/>
                                <w:bCs/>
                                <w:color w:val="000000" w:themeColor="text1"/>
                                <w:sz w:val="15"/>
                                <w:szCs w:val="15"/>
                                <w14:textFill>
                                  <w14:solidFill>
                                    <w14:schemeClr w14:val="tx1"/>
                                  </w14:solidFill>
                                </w14:textFill>
                              </w:rPr>
                              <w:t>本项目位置</w:t>
                            </w:r>
                          </w:p>
                        </w:txbxContent>
                      </wps:txbx>
                      <wps:bodyPr anchor="ctr" anchorCtr="0" upright="1"/>
                    </wps:wsp>
                  </a:graphicData>
                </a:graphic>
              </wp:anchor>
            </w:drawing>
          </mc:Choice>
          <mc:Fallback>
            <w:pict>
              <v:shape id="对话气泡: 椭圆形 12" o:spid="_x0000_s1026" o:spt="63" type="#_x0000_t63" style="position:absolute;left:0pt;margin-left:332.75pt;margin-top:124.5pt;height:32.55pt;width:87.65pt;z-index:251662336;v-text-anchor:middle;mso-width-relative:page;mso-height-relative:page;" fillcolor="#FFFFFF" filled="t" stroked="t" coordsize="21600,21600" o:gfxdata="UEsDBAoAAAAAAIdO4kAAAAAAAAAAAAAAAAAEAAAAZHJzL1BLAwQUAAAACACHTuJA/cWJLtcAAAAL&#10;AQAADwAAAGRycy9kb3ducmV2LnhtbE2PQU+DQBCF7yb+h82YeLMLLZBKWRpionfRNBy37BSw7Cxh&#10;l7b+e8eTHifz8t73FfubHcUFZz84UhCvIhBIrTMDdQo+P16ftiB80GT06AgVfKOHfXl/V+jcuCu9&#10;46UOneAS8rlW0Icw5VL6tker/cpNSPw7udnqwOfcSTPrK5fbUa6jKJNWD8QLvZ7wpcf2XC9WwXL+&#10;Ohw2TXiraksV+tRVzdAo9fgQRzsQAW/hLwy/+IwOJTMd3ULGi1FBlqUpRxWsk2eW4sQ2iVjmqGAT&#10;JzHIspD/HcofUEsDBBQAAAAIAIdO4kBZk3qcWwIAALkEAAAOAAAAZHJzL2Uyb0RvYy54bWytVM1u&#10;EzEQviPxDpbvzWazTYmibnpIGi4IKhUewLG9u0b+k+1kkxfgCTjCAcQVFYkTBx4nFY/B2LukaeHQ&#10;A3vYjNcz38z3zUzOL7ZKog13Xhhd4nwwxIhrapjQdYnfvF6eTDDygWhGpNG8xDvu8cXs6ZPz1k75&#10;yDRGMu4QgGg/bW2JmxDsNMs8bbgifmAs13BZGadIgKOrM+ZIC+hKZqPh8CxrjWPWGcq9h6+L7hL3&#10;iO4xgKaqBOULQ9eK69ChOi5JAEq+EdbjWaq2qjgNr6rK84BkiYFpSG9IAvYqvrPZOZnWjthG0L4E&#10;8pgSHnBSRGhIeoBakEDQ2om/oJSgznhThQE1KuuIJEWART58oM11QyxPXEBqbw+i+/8HS19urhwS&#10;rMTjMUaaKOj4/ubHr5uPt9/e337/NEW3X77uP7zb//yM8lGUq7V+ClHX9sr1Jw9m5L6tnIq/wApt&#10;k8S7g8R8GxCFj3meF3lMReHuNC+KyTiCZnfR1vnwnBuFolHilrOaX0oJXeVzIqVZhyQ02bzwISnO&#10;+rIJe5tjVCkJDdwQiU6KYjR51nf4yGl07AQTWUxO+xJ6TCjmTxExgTdSsKWQMh1cvZpLhyBBiZfp&#10;6YPvuUmN2hKfFWOYM0pgSyqYTjCVBaW9rhOFexH+GHiYnn8Bx8IWxDddAQmhY+jMWrM0zQ0n7FIz&#10;FHYWmqlhiXEsRnGGkeSw89FKnoEI+RhPEERqaFJsfdfsaIXtattPwMqwHYwR0bQxsFw0ONwf5qFb&#10;trV1om6gn3liFeNholPj++2LK3N8Tvnu/nFm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9xYku&#10;1wAAAAsBAAAPAAAAAAAAAAEAIAAAACIAAABkcnMvZG93bnJldi54bWxQSwECFAAUAAAACACHTuJA&#10;WZN6nFsCAAC5BAAADgAAAAAAAAABACAAAAAmAQAAZHJzL2Uyb0RvYy54bWxQSwUGAAAAAAYABgBZ&#10;AQAA8wUAAAAA&#10;" adj="3610,54083">
                <v:fill on="t" focussize="0,0"/>
                <v:stroke weight="0.5pt" color="#000000" joinstyle="round"/>
                <v:imagedata o:title=""/>
                <o:lock v:ext="edit" aspectratio="f"/>
                <v:textbox>
                  <w:txbxContent>
                    <w:p w14:paraId="0D8B0A47">
                      <w:pPr>
                        <w:jc w:val="center"/>
                        <w:rPr>
                          <w:rFonts w:ascii="仿宋" w:hAnsi="仿宋" w:eastAsia="仿宋"/>
                          <w:bCs/>
                          <w:color w:val="000000" w:themeColor="text1"/>
                          <w:sz w:val="15"/>
                          <w:szCs w:val="15"/>
                          <w14:textFill>
                            <w14:solidFill>
                              <w14:schemeClr w14:val="tx1"/>
                            </w14:solidFill>
                          </w14:textFill>
                        </w:rPr>
                      </w:pPr>
                      <w:r>
                        <w:rPr>
                          <w:rFonts w:hint="eastAsia" w:ascii="仿宋" w:hAnsi="仿宋" w:eastAsia="仿宋"/>
                          <w:bCs/>
                          <w:color w:val="000000" w:themeColor="text1"/>
                          <w:sz w:val="15"/>
                          <w:szCs w:val="15"/>
                          <w14:textFill>
                            <w14:solidFill>
                              <w14:schemeClr w14:val="tx1"/>
                            </w14:solidFill>
                          </w14:textFill>
                        </w:rPr>
                        <w:t>本项目位置</w:t>
                      </w:r>
                    </w:p>
                  </w:txbxContent>
                </v:textbox>
              </v:shape>
            </w:pict>
          </mc:Fallback>
        </mc:AlternateContent>
      </w:r>
      <w:r>
        <w:rPr>
          <w:rFonts w:cs="Times New Roman"/>
          <w:color w:val="auto"/>
        </w:rPr>
        <mc:AlternateContent>
          <mc:Choice Requires="wps">
            <w:drawing>
              <wp:anchor distT="0" distB="0" distL="114300" distR="114300" simplePos="0" relativeHeight="251677696" behindDoc="0" locked="0" layoutInCell="1" allowOverlap="1">
                <wp:simplePos x="0" y="0"/>
                <wp:positionH relativeFrom="column">
                  <wp:posOffset>4291330</wp:posOffset>
                </wp:positionH>
                <wp:positionV relativeFrom="paragraph">
                  <wp:posOffset>2565400</wp:posOffset>
                </wp:positionV>
                <wp:extent cx="175895" cy="181610"/>
                <wp:effectExtent l="12700" t="12700" r="20955" b="15240"/>
                <wp:wrapNone/>
                <wp:docPr id="10" name="星形: 五角 14"/>
                <wp:cNvGraphicFramePr/>
                <a:graphic xmlns:a="http://schemas.openxmlformats.org/drawingml/2006/main">
                  <a:graphicData uri="http://schemas.microsoft.com/office/word/2010/wordprocessingShape">
                    <wps:wsp>
                      <wps:cNvSpPr/>
                      <wps:spPr>
                        <a:xfrm>
                          <a:off x="0" y="0"/>
                          <a:ext cx="175895" cy="181610"/>
                        </a:xfrm>
                        <a:prstGeom prst="star5">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星形: 五角 14" o:spid="_x0000_s1026" style="position:absolute;left:0pt;margin-left:337.9pt;margin-top:202pt;height:14.3pt;width:13.85pt;z-index:251677696;v-text-anchor:middle;mso-width-relative:page;mso-height-relative:page;" fillcolor="#FF0000" filled="t" stroked="t" coordsize="175895,181610" o:gfxdata="UEsDBAoAAAAAAIdO4kAAAAAAAAAAAAAAAAAEAAAAZHJzL1BLAwQUAAAACACHTuJAVWFTm9kAAAAL&#10;AQAADwAAAGRycy9kb3ducmV2LnhtbE2PwU7DMBBE70j8g7VI3KidtEloGqdSkPoBlArEzY23SUps&#10;R7bblL9nOcFxdkazb6rtzYzsij4MzkpIFgIY2tbpwXYSDm+7p2dgISqr1egsSvjGANv6/q5SpXaz&#10;fcXrPnaMSmwolYQ+xqnkPLQ9GhUWbkJL3sl5oyJJ33Ht1UzlZuSpEDk3arD0oVcTvvTYfu0vRkK2&#10;a4bPxkSc35v1+iPNiuR09lI+PiRiAyziLf6F4Ref0KEmpqO7WB3YKCEvMkKPElZiRaMoUYhlBuxI&#10;l2WaA68r/n9D/QNQSwMEFAAAAAgAh07iQE3GnhF1AgAA9QQAAA4AAABkcnMvZTJvRG9jLnhtbK1U&#10;zW4TMRC+I/EOlu90s1HSn6ibKkoUhFTRSgVxdrze7Er+w3ayKY+BOHBD6oV3QOJtAPEYfPZu27Rw&#10;6IEcNjM7s9/MfP7Gp2c7JclWON8YXdD8YECJ0NyUjV4X9O2b5YtjSnxgumTSaFHQa+Hp2fT5s9PW&#10;TsTQ1EaWwhGAaD9pbUHrEOwkyzyvhWL+wFihEayMUyzAdeusdKwFupLZcDA4zFrjSusMF97j7aIL&#10;0h7RPQXQVFXDxcLwjRI6dKhOSBYwkq8b6+k0dVtVgoeLqvIiEFlQTBrSE0Vgr+Izm56yydoxWze8&#10;b4E9pYVHMynWaBS9g1qwwMjGNX9BqYY7400VDrhRWTdIYgRT5INH3FzVzIo0C6j29o50//9g+evt&#10;pSNNCSWAEs0UTvzX5y8/v99MyI9vn35//UjyUWSptX6C5Ct76XrPw4wj7yqn4j+GIbvE7PUds2IX&#10;CMfL/Gh8fDKmhCOUH+eHKAaU7P5j63x4KYwi0SgoBOjGiVC2Pfehy73NicW8kU25bKRMjluv5tKR&#10;LcMpL5cD/Hr4B2lSk7agw/EIYcIZtFtBMzCVxfxerylhco2l4MGl2g++9k8rEptcMF93zSSEvhep&#10;Y68iibKfKZLa0RitlSmvcRjOdCr1li8boJ0zHy6ZgyzRNhY3XOBRSYNZTG9RUhv34V/vYz7Ugigl&#10;LWSOOd9vmBOUyFcaOjrJRyPAhuSMxkdDOG4/stqP6I2aG3Cc44qwPJkxP8hbs3JGvcN+z2JVhJjm&#10;qN0x2jvz0K0fbgguZrOUhl2wLJzrK8sjeORJm9kmmKpJZ3/PDkQTHWxDkk+/uXHd9v2UdX9bTf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VWFTm9kAAAALAQAADwAAAAAAAAABACAAAAAiAAAAZHJz&#10;L2Rvd25yZXYueG1sUEsBAhQAFAAAAAgAh07iQE3GnhF1AgAA9QQAAA4AAAAAAAAAAQAgAAAAKAEA&#10;AGRycy9lMm9Eb2MueG1sUEsFBgAAAAAGAAYAWQEAAA8GAAAAAA==&#10;" path="m0,69368l67186,69369,87947,0,108708,69369,175894,69368,121539,112240,142301,181609,87947,138736,33593,181609,54355,112240xe">
                <v:path o:connectlocs="87947,0;0,69368;33593,181609;142301,181609;175894,69368" o:connectangles="247,164,82,82,0"/>
                <v:fill on="t" focussize="0,0"/>
                <v:stroke weight="2pt" color="#FF0000" joinstyle="round"/>
                <v:imagedata o:title=""/>
                <o:lock v:ext="edit" aspectratio="f"/>
              </v:shape>
            </w:pict>
          </mc:Fallback>
        </mc:AlternateContent>
      </w:r>
      <w:r>
        <w:rPr>
          <w:color w:val="auto"/>
        </w:rPr>
        <w:drawing>
          <wp:inline distT="0" distB="0" distL="114300" distR="114300">
            <wp:extent cx="8741410" cy="4316095"/>
            <wp:effectExtent l="0" t="0" r="2540" b="8255"/>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25"/>
                    <a:stretch>
                      <a:fillRect/>
                    </a:stretch>
                  </pic:blipFill>
                  <pic:spPr>
                    <a:xfrm>
                      <a:off x="0" y="0"/>
                      <a:ext cx="8741410" cy="4316095"/>
                    </a:xfrm>
                    <a:prstGeom prst="rect">
                      <a:avLst/>
                    </a:prstGeom>
                    <a:noFill/>
                    <a:ln>
                      <a:noFill/>
                    </a:ln>
                  </pic:spPr>
                </pic:pic>
              </a:graphicData>
            </a:graphic>
          </wp:inline>
        </w:drawing>
      </w:r>
    </w:p>
    <w:p w14:paraId="05B1581B">
      <w:pPr>
        <w:pStyle w:val="42"/>
        <w:keepLines w:val="0"/>
        <w:pageBreakBefore w:val="0"/>
        <w:topLinePunct w:val="0"/>
        <w:bidi w:val="0"/>
        <w:spacing w:beforeAutospacing="0" w:afterAutospacing="0" w:line="360" w:lineRule="auto"/>
        <w:ind w:right="0" w:rightChars="0"/>
        <w:jc w:val="center"/>
        <w:rPr>
          <w:rFonts w:hint="eastAsia" w:ascii="宋体" w:hAnsi="Times New Roman" w:eastAsia="宋体" w:cs="宋体"/>
          <w:b/>
          <w:color w:val="auto"/>
          <w:kern w:val="0"/>
          <w:sz w:val="21"/>
          <w:szCs w:val="21"/>
          <w:lang w:val="en-US" w:eastAsia="zh-CN" w:bidi="ar-SA"/>
        </w:rPr>
        <w:sectPr>
          <w:pgSz w:w="16838" w:h="11906" w:orient="landscape"/>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0F72203E">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textAlignment w:val="auto"/>
        <w:outlineLvl w:val="0"/>
        <w:rPr>
          <w:rFonts w:hint="eastAsia" w:asciiTheme="minorEastAsia" w:hAnsiTheme="minorEastAsia" w:eastAsiaTheme="minorEastAsia" w:cstheme="minorEastAsia"/>
          <w:snapToGrid w:val="0"/>
          <w:color w:val="auto"/>
          <w:sz w:val="32"/>
          <w:szCs w:val="32"/>
          <w:highlight w:val="none"/>
          <w:lang w:val="en-US" w:eastAsia="zh-CN"/>
        </w:rPr>
      </w:pPr>
      <w:bookmarkStart w:id="33" w:name="_Toc14664"/>
      <w:r>
        <w:rPr>
          <w:rFonts w:hint="eastAsia" w:asciiTheme="minorEastAsia" w:hAnsiTheme="minorEastAsia" w:eastAsiaTheme="minorEastAsia" w:cstheme="minorEastAsia"/>
          <w:snapToGrid w:val="0"/>
          <w:color w:val="auto"/>
          <w:sz w:val="32"/>
          <w:szCs w:val="32"/>
          <w:highlight w:val="none"/>
          <w:lang w:val="en-US" w:eastAsia="zh-CN"/>
        </w:rPr>
        <w:t>附图2：厂区平面图</w:t>
      </w:r>
    </w:p>
    <w:p w14:paraId="7D35CEFB">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textAlignment w:val="auto"/>
        <w:outlineLvl w:val="9"/>
        <w:rPr>
          <w:color w:val="auto"/>
          <w:sz w:val="32"/>
        </w:rPr>
      </w:pPr>
      <w:r>
        <w:rPr>
          <w:color w:val="auto"/>
          <w:sz w:val="32"/>
        </w:rPr>
        <mc:AlternateContent>
          <mc:Choice Requires="wps">
            <w:drawing>
              <wp:anchor distT="0" distB="0" distL="114300" distR="114300" simplePos="0" relativeHeight="251685888" behindDoc="0" locked="0" layoutInCell="1" allowOverlap="1">
                <wp:simplePos x="0" y="0"/>
                <wp:positionH relativeFrom="column">
                  <wp:posOffset>1150620</wp:posOffset>
                </wp:positionH>
                <wp:positionV relativeFrom="paragraph">
                  <wp:posOffset>360045</wp:posOffset>
                </wp:positionV>
                <wp:extent cx="608330" cy="248285"/>
                <wp:effectExtent l="12700" t="12700" r="26670" b="329565"/>
                <wp:wrapNone/>
                <wp:docPr id="28" name="矩形标注 28"/>
                <wp:cNvGraphicFramePr/>
                <a:graphic xmlns:a="http://schemas.openxmlformats.org/drawingml/2006/main">
                  <a:graphicData uri="http://schemas.microsoft.com/office/word/2010/wordprocessingShape">
                    <wps:wsp>
                      <wps:cNvSpPr/>
                      <wps:spPr>
                        <a:xfrm>
                          <a:off x="2074545" y="1721485"/>
                          <a:ext cx="608330" cy="248285"/>
                        </a:xfrm>
                        <a:prstGeom prst="wedgeRectCallout">
                          <a:avLst>
                            <a:gd name="adj1" fmla="val -22129"/>
                            <a:gd name="adj2" fmla="val 173529"/>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425C6DFF">
                            <w:pPr>
                              <w:jc w:val="center"/>
                              <w:rPr>
                                <w:rFonts w:hint="default" w:eastAsia="宋体"/>
                                <w:b/>
                                <w:bCs/>
                                <w:color w:val="auto"/>
                                <w:sz w:val="18"/>
                                <w:szCs w:val="21"/>
                                <w:lang w:val="en-US" w:eastAsia="zh-CN"/>
                              </w:rPr>
                            </w:pPr>
                            <w:r>
                              <w:rPr>
                                <w:rFonts w:hint="eastAsia"/>
                                <w:b/>
                                <w:bCs/>
                                <w:color w:val="auto"/>
                                <w:sz w:val="18"/>
                                <w:szCs w:val="21"/>
                                <w:lang w:val="en-US" w:eastAsia="zh-CN"/>
                              </w:rPr>
                              <w:t>DW001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90.6pt;margin-top:28.35pt;height:19.55pt;width:47.9pt;z-index:251685888;v-text-anchor:middle;mso-width-relative:page;mso-height-relative:page;" fillcolor="#FFFFFF [3212]" filled="t" stroked="t" coordsize="21600,21600" o:gfxdata="UEsDBAoAAAAAAIdO4kAAAAAAAAAAAAAAAAAEAAAAZHJzL1BLAwQUAAAACACHTuJAvYXUKdkAAAAJ&#10;AQAADwAAAGRycy9kb3ducmV2LnhtbE2Py07DMBBF90j8gzVI7KiTQJM0jdMFUsVDIEHLB7ixEwfi&#10;cWS7Tfl7hhUsr+bozrn15mxHdtI+DA4FpIsEmMbWqQF7AR/77U0JLESJSo4OtYBvHWDTXF7UslJu&#10;xnd92sWeUQmGSgowMU4V56E12sqwcJNGunXOWxkp+p4rL2cqtyPPkiTnVg5IH4yc9L3R7dfuaAW8&#10;5rf5s+letk8P3ez3b/GOf8ZHIa6v0mQNLOpz/IPhV5/UoSGngzuiCmykXKYZoQKWeQGMgKwoaNxB&#10;wGpZAm9q/n9B8wNQSwMEFAAAAAgAh07iQMdOMBWuAgAAWgUAAA4AAABkcnMvZTJvRG9jLnhtbK1U&#10;wXLTMBC9M8M/aHRv7bhOk2bqdDLJhGGmQzsUhrMiy7EZWRKSEqf8AJ8BwwnOnPkcym/wZLttWnrg&#10;QA7Ornf9dvc9rU7PdrUkW2FdpVVGB4cxJUJxnVdqndG3b5YHY0qcZypnUiuR0Wvh6Nn0+bPTxkxE&#10;okstc2EJQJSbNCajpfdmEkWOl6Jm7lAboRAstK2Zh2vXUW5ZA/RaRkkcH0eNtrmxmgvn8HbRBWmP&#10;aP8FUBdFxcVC800tlO9QrZDMYyRXVsbRadttUQjuL4rCCU9kRjGpb58oAnsVntH0lE3Wlpmy4n0L&#10;7F9aeDRTzSqFondQC+YZ2djqL6i64lY7XfhDruuoG6RlBFMM4kfcXJXMiHYWUO3MHenu/8HyV9tL&#10;S6o8owl0V6yG4r8/f//18+vNl083P74RvAZHjXETpF6ZS9t7DmYYeFfYOvxjFLIDSjxKh+mQkmuc&#10;rVEySMfDjmOx84Qj4TgeHx2BfY6EJB0nXTy6BzLW+RdC1yQYGW1EvhavoeOcSak3vmWZbc+db+nO&#10;+55Z/n5ASVFLqLdlkhwkySA56eXdS0r2kwajo2GXhPo9JqzbDkIBp2WVLyspW8euV3NpCQpkdNn+&#10;QgV88iBNKtJguGEahzkZdqTA2YRZG/Ds1JoSJtdYPu5tO86Dr91+kbj9PVUkNLlgruyaaRH6NKnQ&#10;UhCskyhYfrfa9bqtdH4Nxa3uVsEZvqwAdc6cv2QW7KFn3A7+Ao9Cagyie4uSUtuPT70P+TiSiFLS&#10;YJcw5IcNs4IS+VLhsJ4M0hSwvnXS4SiBY/cjq/2I2tRzDYKhJ7przZDv5a1ZWF2/wyUyC1URYoqj&#10;dkdn78x9t+O4hriYzdo0LJxh/lxdGR7Ag6BKzzZeF5UPKgaiOnZ6ByvXittfD2Gn9/026/5KnP4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vYXUKdkAAAAJAQAADwAAAAAAAAABACAAAAAiAAAAZHJz&#10;L2Rvd25yZXYueG1sUEsBAhQAFAAAAAgAh07iQMdOMBWuAgAAWgUAAA4AAAAAAAAAAQAgAAAAKAEA&#10;AGRycy9lMm9Eb2MueG1sUEsFBgAAAAAGAAYAWQEAAEgGAAAAAA==&#10;" adj="6020,48282">
                <v:fill on="t" focussize="0,0"/>
                <v:stroke weight="2pt" color="#000000 [3213]" joinstyle="round"/>
                <v:imagedata o:title=""/>
                <o:lock v:ext="edit" aspectratio="f"/>
                <v:textbox>
                  <w:txbxContent>
                    <w:p w14:paraId="425C6DFF">
                      <w:pPr>
                        <w:jc w:val="center"/>
                        <w:rPr>
                          <w:rFonts w:hint="default" w:eastAsia="宋体"/>
                          <w:b/>
                          <w:bCs/>
                          <w:color w:val="auto"/>
                          <w:sz w:val="18"/>
                          <w:szCs w:val="21"/>
                          <w:lang w:val="en-US" w:eastAsia="zh-CN"/>
                        </w:rPr>
                      </w:pPr>
                      <w:r>
                        <w:rPr>
                          <w:rFonts w:hint="eastAsia"/>
                          <w:b/>
                          <w:bCs/>
                          <w:color w:val="auto"/>
                          <w:sz w:val="18"/>
                          <w:szCs w:val="21"/>
                          <w:lang w:val="en-US" w:eastAsia="zh-CN"/>
                        </w:rPr>
                        <w:t>DW001</w:t>
                      </w:r>
                    </w:p>
                  </w:txbxContent>
                </v:textbox>
              </v:shape>
            </w:pict>
          </mc:Fallback>
        </mc:AlternateContent>
      </w:r>
    </w:p>
    <w:p w14:paraId="76D0B402">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textAlignment w:val="auto"/>
        <w:outlineLvl w:val="9"/>
        <w:rPr>
          <w:rFonts w:hint="eastAsia"/>
          <w:color w:val="auto"/>
          <w:sz w:val="32"/>
          <w:lang w:val="en-US" w:eastAsia="zh-CN"/>
        </w:rPr>
      </w:pPr>
      <w:r>
        <w:rPr>
          <w:color w:val="auto"/>
          <w:sz w:val="32"/>
        </w:rPr>
        <mc:AlternateContent>
          <mc:Choice Requires="wps">
            <w:drawing>
              <wp:anchor distT="0" distB="0" distL="114300" distR="114300" simplePos="0" relativeHeight="251686912" behindDoc="0" locked="0" layoutInCell="1" allowOverlap="1">
                <wp:simplePos x="0" y="0"/>
                <wp:positionH relativeFrom="column">
                  <wp:posOffset>-55880</wp:posOffset>
                </wp:positionH>
                <wp:positionV relativeFrom="paragraph">
                  <wp:posOffset>255905</wp:posOffset>
                </wp:positionV>
                <wp:extent cx="782320" cy="417195"/>
                <wp:effectExtent l="12700" t="12700" r="519430" b="27305"/>
                <wp:wrapNone/>
                <wp:docPr id="39" name="矩形标注 39"/>
                <wp:cNvGraphicFramePr/>
                <a:graphic xmlns:a="http://schemas.openxmlformats.org/drawingml/2006/main">
                  <a:graphicData uri="http://schemas.microsoft.com/office/word/2010/wordprocessingShape">
                    <wps:wsp>
                      <wps:cNvSpPr/>
                      <wps:spPr>
                        <a:xfrm>
                          <a:off x="0" y="0"/>
                          <a:ext cx="782320" cy="417195"/>
                        </a:xfrm>
                        <a:prstGeom prst="wedgeRectCallout">
                          <a:avLst>
                            <a:gd name="adj1" fmla="val 113068"/>
                            <a:gd name="adj2" fmla="val 48934"/>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7410ABC5">
                            <w:pPr>
                              <w:jc w:val="center"/>
                              <w:rPr>
                                <w:rFonts w:hint="default" w:eastAsia="宋体"/>
                                <w:b/>
                                <w:bCs/>
                                <w:color w:val="auto"/>
                                <w:sz w:val="18"/>
                                <w:szCs w:val="21"/>
                                <w:lang w:val="en-US" w:eastAsia="zh-CN"/>
                              </w:rPr>
                            </w:pPr>
                            <w:r>
                              <w:rPr>
                                <w:rFonts w:hint="eastAsia"/>
                                <w:b/>
                                <w:bCs/>
                                <w:color w:val="auto"/>
                                <w:sz w:val="18"/>
                                <w:szCs w:val="21"/>
                                <w:lang w:val="en-US" w:eastAsia="zh-CN"/>
                              </w:rPr>
                              <w:t>一体化油水分离装置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4pt;margin-top:20.15pt;height:32.85pt;width:61.6pt;z-index:251686912;v-text-anchor:middle;mso-width-relative:page;mso-height-relative:page;" fillcolor="#FFFFFF [3212]" filled="t" stroked="t" coordsize="21600,21600" o:gfxdata="UEsDBAoAAAAAAIdO4kAAAAAAAAAAAAAAAAAEAAAAZHJzL1BLAwQUAAAACACHTuJAC2osP9cAAAAJ&#10;AQAADwAAAGRycy9kb3ducmV2LnhtbE2PzW7CMBCE75X6DtZW4gZ2IIpoGodDo96oBIEHWOJtEjVe&#10;R7H569PXnNrbjmY0822xudlBXGjyvWMNyUKBIG6c6bnVcDx8zNcgfEA2ODgmDXfysCmfnwrMjbvy&#10;ni51aEUsYZ+jhi6EMZfSNx1Z9As3Ekfvy00WQ5RTK82E11huB7lUKpMWe44LHY703lHzXZ+thuxH&#10;VqH+tLsdH/v98vVQpcm20nr2kqg3EIFu4S8MD/yIDmVkOrkzGy8GDfN1JA8aUrUC8fCTNAVxiofK&#10;FMiykP8/KH8BUEsDBBQAAAAIAIdO4kDWP3ziogIAAE0FAAAOAAAAZHJzL2Uyb0RvYy54bWytVM1u&#10;EzEQviPxDpbvdHeTbZtE3VRRoiCkilYUxNnx2tlF/sN2sikvwGOAOMGZM49DeQ3GXrdNSw89sAfv&#10;jGf8zcw3Hp+c7qRAW2Zdq1WFi4McI6aorlu1rvC7t8sXI4ycJ6omQitW4Svm8On0+bOTzkzYQDda&#10;1MwiAFFu0pkKN96bSZY52jBJ3IE2TIGRayuJB9Wus9qSDtClyAZ5fpR12tbGasqcg91Fb8QJ0T4F&#10;UHPeUrbQdCOZ8j2qZYJ4KMk1rXF4GrPlnFF/zrljHokKQ6U+rhAE5FVYs+kJmawtMU1LUwrkKSk8&#10;qEmSVkHQW6gF8QRtbPsPlGyp1U5zf0C1zPpCIiNQRZE/4OayIYbFWoBqZ25Jd/8Plr7eXljU1hUe&#10;jjFSRELH/3z58fvXt+uvn69/fkewDRx1xk3A9dJc2KQ5EEPBO25l+EMpaBd5vbrlle08orB5PBoM&#10;B8A4BVNZHBfjw4CZ3R021vmXTEsUhAp3rF6zN9C7ORFCb3xklmzPnI8U1ylPUn8oMOJSQMe2RKCi&#10;GOZHo9TSPafBvlM5Gg/LFD5BQiI3CQR8p0VbL1shomLXq7mwCPArvIxfOnzPTSjUVXhwWOahTAJj&#10;weE6gigNUOvUGiMi1jBv1NtYzb3Tbj9IHr/HgoQkF8Q1fTIRIbkJBXSGHvVdCZLfrXapVStdX0GT&#10;re5vvzN02QLUGXH+glggD3KGB8Gfw8KFhkJ0kjBqtP302H7wh1sIVow6GB8o8uOGWIaReKXgfo6L&#10;sgRYH5Xy8Di03+5bVvsWtZFzDQRDOyG7KAZ/L25EbrV8D+/GLEQFE1EUYvd0JmXu+7GGl4ey2Sy6&#10;wYwZ4s/UpaEBPDRU6dnGa976cAMDUT07SYEpixczvQhhjPf16HX3Ck7/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AtqLD/XAAAACQEAAA8AAAAAAAAAAQAgAAAAIgAAAGRycy9kb3ducmV2LnhtbFBL&#10;AQIUABQAAAAIAIdO4kDWP3ziogIAAE0FAAAOAAAAAAAAAAEAIAAAACYBAABkcnMvZTJvRG9jLnht&#10;bFBLBQYAAAAABgAGAFkBAAA6BgAAAAA=&#10;" adj="35223,21370">
                <v:fill on="t" focussize="0,0"/>
                <v:stroke weight="2pt" color="#000000 [3213]" joinstyle="round"/>
                <v:imagedata o:title=""/>
                <o:lock v:ext="edit" aspectratio="f"/>
                <v:textbox>
                  <w:txbxContent>
                    <w:p w14:paraId="7410ABC5">
                      <w:pPr>
                        <w:jc w:val="center"/>
                        <w:rPr>
                          <w:rFonts w:hint="default" w:eastAsia="宋体"/>
                          <w:b/>
                          <w:bCs/>
                          <w:color w:val="auto"/>
                          <w:sz w:val="18"/>
                          <w:szCs w:val="21"/>
                          <w:lang w:val="en-US" w:eastAsia="zh-CN"/>
                        </w:rPr>
                      </w:pPr>
                      <w:r>
                        <w:rPr>
                          <w:rFonts w:hint="eastAsia"/>
                          <w:b/>
                          <w:bCs/>
                          <w:color w:val="auto"/>
                          <w:sz w:val="18"/>
                          <w:szCs w:val="21"/>
                          <w:lang w:val="en-US" w:eastAsia="zh-CN"/>
                        </w:rPr>
                        <w:t>一体化油水分离装置</w:t>
                      </w:r>
                    </w:p>
                  </w:txbxContent>
                </v:textbox>
              </v:shape>
            </w:pict>
          </mc:Fallback>
        </mc:AlternateContent>
      </w:r>
    </w:p>
    <w:p w14:paraId="4A16FE62">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jc w:val="center"/>
        <w:textAlignment w:val="auto"/>
        <w:outlineLvl w:val="9"/>
        <w:rPr>
          <w:rFonts w:hint="eastAsia" w:eastAsia="宋体" w:asciiTheme="minorEastAsia" w:hAnsiTheme="minorEastAsia" w:cstheme="minorEastAsia"/>
          <w:snapToGrid w:val="0"/>
          <w:color w:val="auto"/>
          <w:sz w:val="32"/>
          <w:szCs w:val="32"/>
          <w:highlight w:val="none"/>
          <w:lang w:val="en-US" w:eastAsia="zh-CN"/>
        </w:rPr>
      </w:pPr>
      <w:r>
        <w:rPr>
          <w:color w:val="auto"/>
          <w:sz w:val="32"/>
        </w:rPr>
        <mc:AlternateContent>
          <mc:Choice Requires="wps">
            <w:drawing>
              <wp:anchor distT="0" distB="0" distL="114300" distR="114300" simplePos="0" relativeHeight="251689984" behindDoc="0" locked="0" layoutInCell="1" allowOverlap="1">
                <wp:simplePos x="0" y="0"/>
                <wp:positionH relativeFrom="column">
                  <wp:posOffset>2463800</wp:posOffset>
                </wp:positionH>
                <wp:positionV relativeFrom="paragraph">
                  <wp:posOffset>1868170</wp:posOffset>
                </wp:positionV>
                <wp:extent cx="556260" cy="275590"/>
                <wp:effectExtent l="774065" t="12700" r="22225" b="16510"/>
                <wp:wrapNone/>
                <wp:docPr id="63" name="矩形标注 63"/>
                <wp:cNvGraphicFramePr/>
                <a:graphic xmlns:a="http://schemas.openxmlformats.org/drawingml/2006/main">
                  <a:graphicData uri="http://schemas.microsoft.com/office/word/2010/wordprocessingShape">
                    <wps:wsp>
                      <wps:cNvSpPr/>
                      <wps:spPr>
                        <a:xfrm>
                          <a:off x="0" y="0"/>
                          <a:ext cx="556260" cy="275590"/>
                        </a:xfrm>
                        <a:prstGeom prst="wedgeRectCallout">
                          <a:avLst>
                            <a:gd name="adj1" fmla="val -186872"/>
                            <a:gd name="adj2" fmla="val 50230"/>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3304AF91">
                            <w:pPr>
                              <w:jc w:val="center"/>
                              <w:rPr>
                                <w:rFonts w:hint="default" w:eastAsia="宋体"/>
                                <w:b/>
                                <w:bCs/>
                                <w:color w:val="auto"/>
                                <w:sz w:val="18"/>
                                <w:szCs w:val="21"/>
                                <w:lang w:val="en-US" w:eastAsia="zh-CN"/>
                              </w:rPr>
                            </w:pPr>
                            <w:r>
                              <w:rPr>
                                <w:rFonts w:hint="eastAsia"/>
                                <w:b/>
                                <w:bCs/>
                                <w:color w:val="auto"/>
                                <w:sz w:val="18"/>
                                <w:szCs w:val="21"/>
                                <w:lang w:val="en-US" w:eastAsia="zh-CN"/>
                              </w:rPr>
                              <w:t>DA001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94pt;margin-top:147.1pt;height:21.7pt;width:43.8pt;z-index:251689984;v-text-anchor:middle;mso-width-relative:page;mso-height-relative:page;" fillcolor="#FFFFFF [3212]" filled="t" stroked="t" coordsize="21600,21600" o:gfxdata="UEsDBAoAAAAAAIdO4kAAAAAAAAAAAAAAAAAEAAAAZHJzL1BLAwQUAAAACACHTuJAF5O7edgAAAAL&#10;AQAADwAAAGRycy9kb3ducmV2LnhtbE2PQU+DQBSE7yb+h80z8WYXaKVIWXowqfdW0+htYV+ByL5F&#10;dlvKv/d5ssfJTGa+KbZX24sLjr5zpCBeRCCQamc6ahR8vO+eMhA+aDK6d4QKZvSwLe/vCp0bN9Ee&#10;L4fQCC4hn2sFbQhDLqWvW7TaL9yAxN7JjVYHlmMjzagnLre9TKIolVZ3xAutHvC1xfr7cLYKqunH&#10;75uvMX7zu/lzCMejnCur1ONDHG1ABLyG/zD84TM6lMxUuTMZL3oFyyzjL0FB8rJKQHBitX5OQVRs&#10;LdcpyLKQtx/KX1BLAwQUAAAACACHTuJAWJNu46MCAABOBQAADgAAAGRycy9lMm9Eb2MueG1srVTN&#10;btswDL4P2DsIujd23DhtgzpFkCDDgGIt1g07K7Jke9DfJCVO9wJ7jA47beed9zjrXmOU7KZp10MP&#10;80EmRYrk91HU6dlWCrRh1jVaFXg4SDFiiuqyUVWB379bHhxj5DxRJRFasQJfM4fPpi9fnLZmwjJd&#10;a1EyiyCIcpPWFLj23kySxNGaSeIG2jAFRq6tJB5UWyWlJS1ElyLJ0nSctNqWxmrKnIPdRWfEfUT7&#10;nICa84ayhaZryZTvolomiAdIrm6Mw9NYLeeM+gvOHfNIFBiQ+rhCEpBXYU2mp2RSWWLqhvYlkOeU&#10;8AiTJI2CpLtQC+IJWtvmn1CyoVY7zf2Aapl0QCIjgGKYPuLmqiaGRSxAtTM70t3/C0vfbC4tasoC&#10;jw8xUkRCx//c/Pj969vt1y+3P78j2AaOWuMm4HplLm2vORAD4C23MvwBCtpGXq93vLKtRxQ283yc&#10;jYFxCqbsKM9PIu/J/WFjnX/FtERBKHDLyoq9hd7NiRB67SOzZHPufKS47Osk5cchRlwK6NiGCHQw&#10;PB4fH2V9T/e8sn2vPM0O7/L3MaGSuwpCAqdFUy4bIaJiq9VcWAQJCryMX0gARx64CYVaAJeP0oCT&#10;wFxwuI8gSgPcOlVhREQFA0e9jXAenHb7SdL4PZUkFLkgru6KiRF6N6GgpNCkri1B8tvVtu/VSpfX&#10;0GWru+vvDF02EOqcOH9JLLAHNcOL4C9g4UIDEN1LGNXafn5qP/jDNQQrRi3MD4D8tCaWYSReK7ig&#10;J8PRCML6qIzyowwUu29Z7VvUWs41EAz9hOqiGPy9uBO51fIDPByzkBVMRFHI3dHZK3PfzTU8PZTN&#10;ZtENhswQf66uDA3BQ0OVnq295o0PXQxEdez0CoxZbG7/JIQ53tej1/0zOP0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F5O7edgAAAALAQAADwAAAAAAAAABACAAAAAiAAAAZHJzL2Rvd25yZXYueG1s&#10;UEsBAhQAFAAAAAgAh07iQFiTbuOjAgAATgUAAA4AAAAAAAAAAQAgAAAAJwEAAGRycy9lMm9Eb2Mu&#10;eG1sUEsFBgAAAAAGAAYAWQEAADwGAAAAAA==&#10;" adj="-29564,21650">
                <v:fill on="t" focussize="0,0"/>
                <v:stroke weight="2pt" color="#000000 [3213]" joinstyle="round"/>
                <v:imagedata o:title=""/>
                <o:lock v:ext="edit" aspectratio="f"/>
                <v:textbox>
                  <w:txbxContent>
                    <w:p w14:paraId="3304AF91">
                      <w:pPr>
                        <w:jc w:val="center"/>
                        <w:rPr>
                          <w:rFonts w:hint="default" w:eastAsia="宋体"/>
                          <w:b/>
                          <w:bCs/>
                          <w:color w:val="auto"/>
                          <w:sz w:val="18"/>
                          <w:szCs w:val="21"/>
                          <w:lang w:val="en-US" w:eastAsia="zh-CN"/>
                        </w:rPr>
                      </w:pPr>
                      <w:r>
                        <w:rPr>
                          <w:rFonts w:hint="eastAsia"/>
                          <w:b/>
                          <w:bCs/>
                          <w:color w:val="auto"/>
                          <w:sz w:val="18"/>
                          <w:szCs w:val="21"/>
                          <w:lang w:val="en-US" w:eastAsia="zh-CN"/>
                        </w:rPr>
                        <w:t>DA001</w:t>
                      </w:r>
                    </w:p>
                  </w:txbxContent>
                </v:textbox>
              </v:shape>
            </w:pict>
          </mc:Fallback>
        </mc:AlternateContent>
      </w:r>
      <w:r>
        <w:rPr>
          <w:color w:val="auto"/>
          <w:sz w:val="32"/>
        </w:rPr>
        <mc:AlternateContent>
          <mc:Choice Requires="wps">
            <w:drawing>
              <wp:anchor distT="0" distB="0" distL="114300" distR="114300" simplePos="0" relativeHeight="251696128" behindDoc="0" locked="0" layoutInCell="1" allowOverlap="1">
                <wp:simplePos x="0" y="0"/>
                <wp:positionH relativeFrom="column">
                  <wp:posOffset>1918335</wp:posOffset>
                </wp:positionH>
                <wp:positionV relativeFrom="paragraph">
                  <wp:posOffset>2516505</wp:posOffset>
                </wp:positionV>
                <wp:extent cx="889000" cy="422275"/>
                <wp:effectExtent l="12700" t="245745" r="12700" b="17780"/>
                <wp:wrapNone/>
                <wp:docPr id="65" name="矩形标注 65"/>
                <wp:cNvGraphicFramePr/>
                <a:graphic xmlns:a="http://schemas.openxmlformats.org/drawingml/2006/main">
                  <a:graphicData uri="http://schemas.microsoft.com/office/word/2010/wordprocessingShape">
                    <wps:wsp>
                      <wps:cNvSpPr/>
                      <wps:spPr>
                        <a:xfrm>
                          <a:off x="0" y="0"/>
                          <a:ext cx="889000" cy="422275"/>
                        </a:xfrm>
                        <a:prstGeom prst="wedgeRectCallout">
                          <a:avLst>
                            <a:gd name="adj1" fmla="val -44142"/>
                            <a:gd name="adj2" fmla="val -105187"/>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3BC9A4AF">
                            <w:pPr>
                              <w:jc w:val="center"/>
                              <w:rPr>
                                <w:rFonts w:hint="default" w:eastAsia="宋体"/>
                                <w:b/>
                                <w:bCs/>
                                <w:color w:val="auto"/>
                                <w:sz w:val="18"/>
                                <w:szCs w:val="21"/>
                                <w:lang w:val="en-US" w:eastAsia="zh-CN"/>
                              </w:rPr>
                            </w:pPr>
                            <w:r>
                              <w:rPr>
                                <w:rFonts w:hint="eastAsia"/>
                                <w:b/>
                                <w:bCs/>
                                <w:color w:val="auto"/>
                                <w:sz w:val="18"/>
                                <w:szCs w:val="21"/>
                                <w:lang w:val="en-US" w:eastAsia="zh-CN"/>
                              </w:rPr>
                              <w:t>活性炭吸附装置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51.05pt;margin-top:198.15pt;height:33.25pt;width:70pt;z-index:251696128;v-text-anchor:middle;mso-width-relative:page;mso-height-relative:page;" fillcolor="#FFFFFF [3212]" filled="t" stroked="t" coordsize="21600,21600" o:gfxdata="UEsDBAoAAAAAAIdO4kAAAAAAAAAAAAAAAAAEAAAAZHJzL1BLAwQUAAAACACHTuJA7Rsy59oAAAAL&#10;AQAADwAAAGRycy9kb3ducmV2LnhtbE2PwW7CMBBE75X6D9ZW6qUqdgKKIMRBLVIucCil/QATL3Eg&#10;tqPYQPr3XU7tbXZnNPu2WI22Y1ccQuudhGQigKGrvW5dI+H7q3qdAwtROa0671DCDwZYlY8Phcq1&#10;v7lPvO5jw6jEhVxJMDH2OeehNmhVmPgeHXlHP1gVaRwargd1o3Lb8VSIjFvVOrpgVI9rg/V5f7ES&#10;xpf3E263ZvOx3p3E8W1RdZu+kvL5KRFLYBHH+BeGOz6hQ0lMB39xOrBOwlSkCUVJLLIpMErMZvfN&#10;gUSWzoGXBf//Q/kLUEsDBBQAAAAIAIdO4kA6y0JzpAIAAE8FAAAOAAAAZHJzL2Uyb0RvYy54bWyt&#10;VM1uEzEQviPxDpbv7f5o06ZRN1WUKAipohUBcXa89u4i/2E72ZQX4DFAnODMmcehvAZj77ZNCoce&#10;2IN3xjOeme8bj88vdlKgLbOu1arE2XGKEVNUV62qS/z2zfJojJHzRFVEaMVKfMMcvpg+f3bemQnL&#10;daNFxSyCIMpNOlPixnszSRJHGyaJO9aGKTBybSXxoNo6qSzpILoUSZ6mJ0mnbWWspsw52F30RjxE&#10;tE8JqDlvKVtoupFM+T6qZYJ4gOSa1jg8jdVyzqi/4twxj0SJAamPKyQBeR3WZHpOJrUlpmnpUAJ5&#10;SgmPMEnSKkh6H2pBPEEb2/4VSrbUaqe5P6ZaJj2QyAigyNJH3KwaYljEAlQ7c0+6+39h6avttUVt&#10;VeKTEUaKSOj478/ff/38evvl0+2Pbwi2gaPOuAm4rsy1HTQHYgC841aGP0BBu8jrzT2vbOcRhc3x&#10;+CxNgXEKpiLP89MYM3k4bKzzL5iWKAgl7lhVs9fQuzkRQm98ZJZsL52PFFdDnaR6n2HEpYCObYlA&#10;R0WRFfnQ0j2n/MApS0fZ+DR4QQFDUJDuSggZnBZttWyFiIqt13NhEWQo8TJ+w+EDN6FQV+J8VESg&#10;BAaDw4UEzNIAuU7VGBFRw8RRbyOeg9NuPwlwFejqKzxwC0UuiGv6YqJpcBMK8IQu9X0Jkt+td0Oz&#10;1rq6gTZb3d9/Z+iyhVCXxPlrYoE+aA48Cf4KFi40ANGDhFGj7cd/7Qd/uIdgxaiDAQKQHzbEMozE&#10;SwU39CwrijBxUSlGpzkodt+y3reojZxrIBgaCtVFMfh7cSdyq+U7eDlmISuYiKKQu6dzUOa+H2x4&#10;eyibzaIbTJkh/lKtDA3BQ0OVnm285q0PBAeienYGBeYs3ozhTQiDvK9Hr4d3cPo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7Rsy59oAAAALAQAADwAAAAAAAAABACAAAAAiAAAAZHJzL2Rvd25yZXYu&#10;eG1sUEsBAhQAFAAAAAgAh07iQDrLQnOkAgAATwUAAA4AAAAAAAAAAQAgAAAAKQEAAGRycy9lMm9E&#10;b2MueG1sUEsFBgAAAAAGAAYAWQEAAD8GAAAAAA==&#10;" adj="1265,-11920">
                <v:fill on="t" focussize="0,0"/>
                <v:stroke weight="2pt" color="#000000 [3213]" joinstyle="round"/>
                <v:imagedata o:title=""/>
                <o:lock v:ext="edit" aspectratio="f"/>
                <v:textbox>
                  <w:txbxContent>
                    <w:p w14:paraId="3BC9A4AF">
                      <w:pPr>
                        <w:jc w:val="center"/>
                        <w:rPr>
                          <w:rFonts w:hint="default" w:eastAsia="宋体"/>
                          <w:b/>
                          <w:bCs/>
                          <w:color w:val="auto"/>
                          <w:sz w:val="18"/>
                          <w:szCs w:val="21"/>
                          <w:lang w:val="en-US" w:eastAsia="zh-CN"/>
                        </w:rPr>
                      </w:pPr>
                      <w:r>
                        <w:rPr>
                          <w:rFonts w:hint="eastAsia"/>
                          <w:b/>
                          <w:bCs/>
                          <w:color w:val="auto"/>
                          <w:sz w:val="18"/>
                          <w:szCs w:val="21"/>
                          <w:lang w:val="en-US" w:eastAsia="zh-CN"/>
                        </w:rPr>
                        <w:t>活性炭吸附装置</w:t>
                      </w:r>
                    </w:p>
                  </w:txbxContent>
                </v:textbox>
              </v:shape>
            </w:pict>
          </mc:Fallback>
        </mc:AlternateContent>
      </w:r>
      <w:r>
        <w:rPr>
          <w:color w:val="auto"/>
          <w:sz w:val="32"/>
        </w:rPr>
        <mc:AlternateContent>
          <mc:Choice Requires="wps">
            <w:drawing>
              <wp:anchor distT="0" distB="0" distL="114300" distR="114300" simplePos="0" relativeHeight="251695104" behindDoc="0" locked="0" layoutInCell="1" allowOverlap="1">
                <wp:simplePos x="0" y="0"/>
                <wp:positionH relativeFrom="column">
                  <wp:posOffset>-12065</wp:posOffset>
                </wp:positionH>
                <wp:positionV relativeFrom="paragraph">
                  <wp:posOffset>2080895</wp:posOffset>
                </wp:positionV>
                <wp:extent cx="797560" cy="274320"/>
                <wp:effectExtent l="12700" t="12700" r="599440" b="17780"/>
                <wp:wrapNone/>
                <wp:docPr id="57" name="矩形标注 57"/>
                <wp:cNvGraphicFramePr/>
                <a:graphic xmlns:a="http://schemas.openxmlformats.org/drawingml/2006/main">
                  <a:graphicData uri="http://schemas.microsoft.com/office/word/2010/wordprocessingShape">
                    <wps:wsp>
                      <wps:cNvSpPr/>
                      <wps:spPr>
                        <a:xfrm>
                          <a:off x="0" y="0"/>
                          <a:ext cx="797560" cy="274320"/>
                        </a:xfrm>
                        <a:prstGeom prst="wedgeRectCallout">
                          <a:avLst>
                            <a:gd name="adj1" fmla="val 122452"/>
                            <a:gd name="adj2" fmla="val -24537"/>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05A5765C">
                            <w:pPr>
                              <w:jc w:val="center"/>
                              <w:rPr>
                                <w:rFonts w:hint="default" w:eastAsia="宋体"/>
                                <w:b/>
                                <w:bCs/>
                                <w:color w:val="auto"/>
                                <w:sz w:val="18"/>
                                <w:szCs w:val="21"/>
                                <w:lang w:val="en-US" w:eastAsia="zh-CN"/>
                              </w:rPr>
                            </w:pPr>
                            <w:r>
                              <w:rPr>
                                <w:rFonts w:hint="eastAsia"/>
                                <w:b/>
                                <w:bCs/>
                                <w:color w:val="auto"/>
                                <w:sz w:val="18"/>
                                <w:szCs w:val="21"/>
                                <w:lang w:val="en-US" w:eastAsia="zh-CN"/>
                              </w:rPr>
                              <w:t>布袋除尘器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0.95pt;margin-top:163.85pt;height:21.6pt;width:62.8pt;z-index:251695104;v-text-anchor:middle;mso-width-relative:page;mso-height-relative:page;" fillcolor="#FFFFFF [3212]" filled="t" stroked="t" coordsize="21600,21600" o:gfxdata="UEsDBAoAAAAAAIdO4kAAAAAAAAAAAAAAAAAEAAAAZHJzL1BLAwQUAAAACACHTuJAead2MNYAAAAK&#10;AQAADwAAAGRycy9kb3ducmV2LnhtbE2PS27CMBCG95W4gzWVuqnATiiEpHFYIPUABQ4wxCaJ8COK&#10;bR49fYdVu5vHp3++qbd3a9hVT2HwTkK2EMC0a70aXCfhePiab4CFiE6h8U5LeOgA22b2UmOl/M19&#10;6+s+doxCXKhQQh/jWHEe2l5bDAs/ake7s58sRmqnjqsJbxRuDc+FWHOLg6MLPY561+v2sk9WQspW&#10;q4/31JoShwsezpu03v0kKd9eM/EJLOp7/IPhqU/q0JDTySenAjMS5llJpIRlXhTAnkC+pOJEk0KU&#10;wJua/3+h+QVQSwMEFAAAAAgAh07iQMkBWnSiAgAATgUAAA4AAABkcnMvZTJvRG9jLnhtbK1UwW4T&#10;MRC9I/EPlu/tJtukoVE3VZQoCKmiEQVxdrze7CKvbWwnm/IDfAaIE5w58zmU3+DZu23T0kMP7ME7&#10;4xnPzHvj8enZrpZkK6yrtMpo/7BHiVBc55VaZ/Td28XBC0qcZypnUiuR0Svh6Nnk+bPTxoxFqkst&#10;c2EJgig3bkxGS+/NOEkcL0XN3KE2QsFYaFszD9Wuk9yyBtFrmaS93nHSaJsbq7lwDrvz1ki7iPYp&#10;AXVRVFzMNd/UQvk2qhWSeUByZWUcncRqi0Jwf1EUTngiMwqkPq5IAnkV1mRyysZry0xZ8a4E9pQS&#10;HmCqWaWQ9DbUnHlGNrb6J1RdcaudLvwh13XSAomMAEW/94Cby5IZEbGAamduSXf/Lyx/vV1aUuUZ&#10;HY4oUaxGx/98+fH717frr5+vf34n2AZHjXFjuF6ape00BzEA3hW2Dn9AIbvI69Utr2LnCcfm6GQ0&#10;PAbjHKZ0NDhKI+/J3WFjnX8pdE2CkNFG5GvxBr2bMSn1xkdm2fbc+Uhx3tXJ8g99SopaomNbJkk/&#10;TQfDtGvpnlO673QAn6OICfm7mJBuKggJnJZVvqikjIpdr2bSEiTI6CJ+IQOO3HOTijQANxz0Ak6G&#10;uShwHyHWBtw6taaEyTUGjnsb4dw77faT9OL3WJJQ5Jy5si0mRujcpEJJoUltW4Lkd6td16uVzq/Q&#10;Zavb6+8MX1QIdc6cXzIL9lAzXgR/gaWQGkB0J1FSavvpsf3gj2sIKyUN5gcgP26YFZTIVwoX9KQ/&#10;GCCsj8pgOELPid23rPYtalPPNAhGP1FdFIO/lzdiYXX9Hg/HNGSFiSmO3C2dnTLz7Vzj6eFiOo1u&#10;GDLD/Lm6NDwEDw1Verrxuqh86GIgqmWnUzBmsbndkxDmeF+PXnfP4OQ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ead2MNYAAAAKAQAADwAAAAAAAAABACAAAAAiAAAAZHJzL2Rvd25yZXYueG1sUEsB&#10;AhQAFAAAAAgAh07iQMkBWnSiAgAATgUAAA4AAAAAAAAAAQAgAAAAJQEAAGRycy9lMm9Eb2MueG1s&#10;UEsFBgAAAAAGAAYAWQEAADkGAAAAAA==&#10;" adj="37250,5500">
                <v:fill on="t" focussize="0,0"/>
                <v:stroke weight="2pt" color="#000000 [3213]" joinstyle="round"/>
                <v:imagedata o:title=""/>
                <o:lock v:ext="edit" aspectratio="f"/>
                <v:textbox>
                  <w:txbxContent>
                    <w:p w14:paraId="05A5765C">
                      <w:pPr>
                        <w:jc w:val="center"/>
                        <w:rPr>
                          <w:rFonts w:hint="default" w:eastAsia="宋体"/>
                          <w:b/>
                          <w:bCs/>
                          <w:color w:val="auto"/>
                          <w:sz w:val="18"/>
                          <w:szCs w:val="21"/>
                          <w:lang w:val="en-US" w:eastAsia="zh-CN"/>
                        </w:rPr>
                      </w:pPr>
                      <w:r>
                        <w:rPr>
                          <w:rFonts w:hint="eastAsia"/>
                          <w:b/>
                          <w:bCs/>
                          <w:color w:val="auto"/>
                          <w:sz w:val="18"/>
                          <w:szCs w:val="21"/>
                          <w:lang w:val="en-US" w:eastAsia="zh-CN"/>
                        </w:rPr>
                        <w:t>布袋除尘器</w:t>
                      </w:r>
                    </w:p>
                  </w:txbxContent>
                </v:textbox>
              </v:shape>
            </w:pict>
          </mc:Fallback>
        </mc:AlternateContent>
      </w:r>
      <w:r>
        <w:rPr>
          <w:color w:val="auto"/>
          <w:sz w:val="32"/>
        </w:rPr>
        <mc:AlternateContent>
          <mc:Choice Requires="wps">
            <w:drawing>
              <wp:anchor distT="0" distB="0" distL="114300" distR="114300" simplePos="0" relativeHeight="251694080" behindDoc="0" locked="0" layoutInCell="1" allowOverlap="1">
                <wp:simplePos x="0" y="0"/>
                <wp:positionH relativeFrom="column">
                  <wp:posOffset>-92075</wp:posOffset>
                </wp:positionH>
                <wp:positionV relativeFrom="paragraph">
                  <wp:posOffset>419100</wp:posOffset>
                </wp:positionV>
                <wp:extent cx="793115" cy="248285"/>
                <wp:effectExtent l="12700" t="12700" r="470535" b="24765"/>
                <wp:wrapNone/>
                <wp:docPr id="53" name="矩形标注 53"/>
                <wp:cNvGraphicFramePr/>
                <a:graphic xmlns:a="http://schemas.openxmlformats.org/drawingml/2006/main">
                  <a:graphicData uri="http://schemas.microsoft.com/office/word/2010/wordprocessingShape">
                    <wps:wsp>
                      <wps:cNvSpPr/>
                      <wps:spPr>
                        <a:xfrm>
                          <a:off x="0" y="0"/>
                          <a:ext cx="793115" cy="248285"/>
                        </a:xfrm>
                        <a:prstGeom prst="wedgeRectCallout">
                          <a:avLst>
                            <a:gd name="adj1" fmla="val 107085"/>
                            <a:gd name="adj2" fmla="val -9590"/>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0A05D012">
                            <w:pPr>
                              <w:jc w:val="center"/>
                              <w:rPr>
                                <w:rFonts w:hint="default" w:eastAsia="宋体"/>
                                <w:b/>
                                <w:bCs/>
                                <w:color w:val="auto"/>
                                <w:sz w:val="18"/>
                                <w:szCs w:val="21"/>
                                <w:lang w:val="en-US" w:eastAsia="zh-CN"/>
                              </w:rPr>
                            </w:pPr>
                            <w:r>
                              <w:rPr>
                                <w:rFonts w:hint="eastAsia"/>
                                <w:b/>
                                <w:bCs/>
                                <w:color w:val="auto"/>
                                <w:sz w:val="18"/>
                                <w:szCs w:val="21"/>
                                <w:lang w:val="en-US" w:eastAsia="zh-CN"/>
                              </w:rPr>
                              <w:t>雨水排放口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7.25pt;margin-top:33pt;height:19.55pt;width:62.45pt;z-index:251694080;v-text-anchor:middle;mso-width-relative:page;mso-height-relative:page;" fillcolor="#FFFFFF [3212]" filled="t" stroked="t" coordsize="21600,21600" o:gfxdata="UEsDBAoAAAAAAIdO4kAAAAAAAAAAAAAAAAAEAAAAZHJzL1BLAwQUAAAACACHTuJATa2i4dkAAAAK&#10;AQAADwAAAGRycy9kb3ducmV2LnhtbE2Py07DMBBF90j8gzVI7FrbkAYU4lSiAiTEqoUNOzc2SVR7&#10;HNlOH3w901XZzWiO7pxbL4/esb2NaQioQM4FMIttMAN2Cr4+X2ePwFLWaLQLaBWcbIJlc31V68qE&#10;A67tfpM7RiGYKq2gz3msOE9tb71O8zBapNtPiF5nWmPHTdQHCveO3wlRcq8HpA+9Hu2qt+1uM3kF&#10;486tf7F4u/fPL1FO36eH95X8UOr2RoonYNke8wWGsz6pQ0NO2zChScwpmMliQaiCsqROZ0CKAtiW&#10;BrGQwJua/6/Q/AFQSwMEFAAAAAgAh07iQCmu8FGjAgAATQUAAA4AAABkcnMvZTJvRG9jLnhtbK1U&#10;zW4TMRC+I/EOlu/t7qYJbaJuqihREFJFIwri7HjtXSP/YTvZlBfgMUCc4MyZx6G8BmPvtk1LDz2w&#10;h90Zz+w3M9/M+PRspyTaMueF0SUuDnOMmKamErou8bu3y4MTjHwguiLSaFbiK+bx2fT5s9PWTtjA&#10;NEZWzCEA0X7S2hI3IdhJlnnaMEX8obFMg5Ebp0gA1dVZ5UgL6Epmgzx/kbXGVdYZyryH00VnxD2i&#10;ewqg4VxQtjB0o5gOHapjkgQoyTfCejxN2XLOaLjg3LOAZImh0pDeEATkdXxn01MyqR2xjaB9CuQp&#10;KTyoSRGhIegt1IIEgjZO/AOlBHXGGx4OqVFZV0hiBKoo8gfcXDbEslQLUO3tLen+/8HS19uVQ6Iq&#10;8egII00UdPzPlx+/f327/vr5+ud3BMfAUWv9BFwv7cr1mgcxFrzjTsUvlIJ2iderW17ZLiAKh8fj&#10;o6IYYUTBNBieDE5GETO7+9k6H14yo1AUStyyqmZvoHdzIqXZhMQs2Z77kCiu+jxJ9aHAiCsJHdsS&#10;iYr8OO+goQ97ToN9p4PxaJzaDuF7SJBuEoj43khRLYWUSXH1ei4dAvwSL9PT537PTWrUQm2jYQ6D&#10;RQmsBYdxBFFZoNbrGiMia9g3Glyq5t7ffj9Inp7HgsQkF8Q3XTIJoXeTGuiMPeq6EqWwW+/6Vq1N&#10;dQVNdqabfm/pUgDUOfFhRRyQBznDhRAu4MWlgUJML2HUGPfpsfPoD1MIVoxaWB8o8uOGOIaRfKVh&#10;PsfFcBj3LSnD0fEAFLdvWe9b9EbNDRAM7YTskhj9g7wRuTPqPdwbsxgVTERTiN3R2Svz0K013DyU&#10;zWbJDXbMknCuLy2N4LGh2sw2wXAR4gRGojp2egW2LA1mfyPENd7Xk9fdLTj9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E2touHZAAAACgEAAA8AAAAAAAAAAQAgAAAAIgAAAGRycy9kb3ducmV2Lnht&#10;bFBLAQIUABQAAAAIAIdO4kAprvBRowIAAE0FAAAOAAAAAAAAAAEAIAAAACgBAABkcnMvZTJvRG9j&#10;LnhtbFBLBQYAAAAABgAGAFkBAAA9BgAAAAA=&#10;" adj="33930,8729">
                <v:fill on="t" focussize="0,0"/>
                <v:stroke weight="2pt" color="#000000 [3213]" joinstyle="round"/>
                <v:imagedata o:title=""/>
                <o:lock v:ext="edit" aspectratio="f"/>
                <v:textbox>
                  <w:txbxContent>
                    <w:p w14:paraId="0A05D012">
                      <w:pPr>
                        <w:jc w:val="center"/>
                        <w:rPr>
                          <w:rFonts w:hint="default" w:eastAsia="宋体"/>
                          <w:b/>
                          <w:bCs/>
                          <w:color w:val="auto"/>
                          <w:sz w:val="18"/>
                          <w:szCs w:val="21"/>
                          <w:lang w:val="en-US" w:eastAsia="zh-CN"/>
                        </w:rPr>
                      </w:pPr>
                      <w:r>
                        <w:rPr>
                          <w:rFonts w:hint="eastAsia"/>
                          <w:b/>
                          <w:bCs/>
                          <w:color w:val="auto"/>
                          <w:sz w:val="18"/>
                          <w:szCs w:val="21"/>
                          <w:lang w:val="en-US" w:eastAsia="zh-CN"/>
                        </w:rPr>
                        <w:t>雨水排放口</w:t>
                      </w:r>
                    </w:p>
                  </w:txbxContent>
                </v:textbox>
              </v:shape>
            </w:pict>
          </mc:Fallback>
        </mc:AlternateContent>
      </w:r>
      <w:r>
        <w:rPr>
          <w:color w:val="auto"/>
          <w:sz w:val="32"/>
        </w:rPr>
        <mc:AlternateContent>
          <mc:Choice Requires="wps">
            <w:drawing>
              <wp:anchor distT="0" distB="0" distL="114300" distR="114300" simplePos="0" relativeHeight="251687936" behindDoc="0" locked="0" layoutInCell="1" allowOverlap="1">
                <wp:simplePos x="0" y="0"/>
                <wp:positionH relativeFrom="column">
                  <wp:posOffset>1270</wp:posOffset>
                </wp:positionH>
                <wp:positionV relativeFrom="paragraph">
                  <wp:posOffset>1043940</wp:posOffset>
                </wp:positionV>
                <wp:extent cx="792480" cy="283210"/>
                <wp:effectExtent l="12700" t="12700" r="566420" b="27940"/>
                <wp:wrapNone/>
                <wp:docPr id="44" name="矩形标注 44"/>
                <wp:cNvGraphicFramePr/>
                <a:graphic xmlns:a="http://schemas.openxmlformats.org/drawingml/2006/main">
                  <a:graphicData uri="http://schemas.microsoft.com/office/word/2010/wordprocessingShape">
                    <wps:wsp>
                      <wps:cNvSpPr/>
                      <wps:spPr>
                        <a:xfrm>
                          <a:off x="0" y="0"/>
                          <a:ext cx="792480" cy="283210"/>
                        </a:xfrm>
                        <a:prstGeom prst="wedgeRectCallout">
                          <a:avLst>
                            <a:gd name="adj1" fmla="val 119791"/>
                            <a:gd name="adj2" fmla="val -21748"/>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7D028FD0">
                            <w:pPr>
                              <w:jc w:val="center"/>
                              <w:rPr>
                                <w:rFonts w:hint="default" w:eastAsia="宋体"/>
                                <w:b/>
                                <w:bCs/>
                                <w:color w:val="auto"/>
                                <w:sz w:val="18"/>
                                <w:szCs w:val="21"/>
                                <w:lang w:val="en-US" w:eastAsia="zh-CN"/>
                              </w:rPr>
                            </w:pPr>
                            <w:r>
                              <w:rPr>
                                <w:rFonts w:hint="eastAsia"/>
                                <w:b/>
                                <w:bCs/>
                                <w:color w:val="auto"/>
                                <w:sz w:val="18"/>
                                <w:szCs w:val="21"/>
                                <w:lang w:val="en-US" w:eastAsia="zh-CN"/>
                              </w:rPr>
                              <w:t>布袋除尘器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0.1pt;margin-top:82.2pt;height:22.3pt;width:62.4pt;z-index:251687936;v-text-anchor:middle;mso-width-relative:page;mso-height-relative:page;" fillcolor="#FFFFFF [3212]" filled="t" stroked="t" coordsize="21600,21600" o:gfxdata="UEsDBAoAAAAAAIdO4kAAAAAAAAAAAAAAAAAEAAAAZHJzL1BLAwQUAAAACACHTuJA7kE/v9cAAAAI&#10;AQAADwAAAGRycy9kb3ducmV2LnhtbE2PwU7DMBBE70j8g7VI3KjdUAKEOJUordRekCiVuG6TJYmI&#10;1yF22vL3bE9w3JnR7Jt8fnKdOtAQWs8WphMDirj0Vcu1hd376uYBVIjIFXaeycIPBZgXlxc5ZpU/&#10;8hsdtrFWUsIhQwtNjH2mdSgbchgmvicW79MPDqOcQ62rAY9S7jqdGJNqhy3LhwZ7WjRUfm1HZ+F+&#10;vX5ZuuXt6D/SVdi87r4Xzw6tvb6amidQkU7xLwxnfEGHQpj2fuQqqM5CIjlR09kM1NlO7mTaXnTz&#10;aEAXuf4/oPgFUEsDBBQAAAAIAIdO4kBee1XFogIAAE4FAAAOAAAAZHJzL2Uyb0RvYy54bWytVM1u&#10;1DAQviPxDpbvbTYhZX/UbLXa1SKkilYsiLPXsZMg/2F7N1tegMco4gRnzjwO5TUYO+l2W3rogRyc&#10;Gc94Zr5vPD4920mBtsy6RqsCp8cDjJiiumxUVeD375ZHI4ycJ6okQitW4Cvm8Nn0+bPT1kxYpmst&#10;SmYRBFFu0poC196bSZI4WjNJ3LE2TIGRayuJB9VWSWlJC9GlSLLB4GXSalsaqylzDnYXnRH3Ee1T&#10;AmrOG8oWmm4kU76LapkgHiC5ujEOT2O1nDPqLzh3zCNRYEDq4wpJQF6HNZmekklliakb2pdAnlLC&#10;A0ySNAqS7kMtiCdoY5t/QsmGWu0098dUy6QDEhkBFOngATermhgWsQDVzuxJd/8vLH2zvbSoKQuc&#10;5xgpIqHjf65//P717ebrl5uf3xFsA0etcRNwXZlL22sOxAB4x60Mf4CCdpHXqz2vbOcRhc3hOMtH&#10;wDgFUzZ6kaWR9+TusLHOv2JaoiAUuGVlxd5C7+ZECL3xkVmyPXc+Ulz2dZLyY4oRlwI6tiUCpel4&#10;OE77lh44ZYdOR1k6zEfBCfL3MUG6rSAkcFo05bIRIiq2Ws+FRZCgwMv49YfvuQmFWgB3kg8CTgJz&#10;weE+gigNcOtUhRERFQwc9TbCuXfaHSYZxO+xJKHIBXF1V0yM0LsJBXhCk7q2BMnv1ru+V2tdXkGX&#10;re6uvzN02UCoc+L8JbHAHtQML4K/gIULDUB0L2FUa/v5sf3gD9cQrBi1MD8A8tOGWIaReK3ggo7T&#10;PIewPir5yTADxR5a1ocWtZFzDQRDP6G6KAZ/L25FbrX8AA/HLGQFE1EUcnd09srcd3MNTw9ls1l0&#10;gyEzxJ+rlaEheGio0rON17zx4QoEojp2egXGLN6M/kkIc3yoR6+7Z3D6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O5BP7/XAAAACAEAAA8AAAAAAAAAAQAgAAAAIgAAAGRycy9kb3ducmV2LnhtbFBL&#10;AQIUABQAAAAIAIdO4kBee1XFogIAAE4FAAAOAAAAAAAAAAEAIAAAACYBAABkcnMvZTJvRG9jLnht&#10;bFBLBQYAAAAABgAGAFkBAAA6BgAAAAA=&#10;" adj="36675,6102">
                <v:fill on="t" focussize="0,0"/>
                <v:stroke weight="2pt" color="#000000 [3213]" joinstyle="round"/>
                <v:imagedata o:title=""/>
                <o:lock v:ext="edit" aspectratio="f"/>
                <v:textbox>
                  <w:txbxContent>
                    <w:p w14:paraId="7D028FD0">
                      <w:pPr>
                        <w:jc w:val="center"/>
                        <w:rPr>
                          <w:rFonts w:hint="default" w:eastAsia="宋体"/>
                          <w:b/>
                          <w:bCs/>
                          <w:color w:val="auto"/>
                          <w:sz w:val="18"/>
                          <w:szCs w:val="21"/>
                          <w:lang w:val="en-US" w:eastAsia="zh-CN"/>
                        </w:rPr>
                      </w:pPr>
                      <w:r>
                        <w:rPr>
                          <w:rFonts w:hint="eastAsia"/>
                          <w:b/>
                          <w:bCs/>
                          <w:color w:val="auto"/>
                          <w:sz w:val="18"/>
                          <w:szCs w:val="21"/>
                          <w:lang w:val="en-US" w:eastAsia="zh-CN"/>
                        </w:rPr>
                        <w:t>布袋除尘器</w:t>
                      </w:r>
                    </w:p>
                  </w:txbxContent>
                </v:textbox>
              </v:shape>
            </w:pict>
          </mc:Fallback>
        </mc:AlternateContent>
      </w:r>
      <w:r>
        <w:rPr>
          <w:rFonts w:hint="eastAsia" w:eastAsia="宋体" w:asciiTheme="minorEastAsia" w:hAnsiTheme="minorEastAsia" w:cstheme="minorEastAsia"/>
          <w:snapToGrid w:val="0"/>
          <w:color w:val="auto"/>
          <w:sz w:val="32"/>
          <w:szCs w:val="32"/>
          <w:highlight w:val="none"/>
          <w:lang w:val="en-US" w:eastAsia="zh-CN"/>
        </w:rPr>
        <w:drawing>
          <wp:inline distT="0" distB="0" distL="114300" distR="114300">
            <wp:extent cx="4819015" cy="5065395"/>
            <wp:effectExtent l="0" t="0" r="635" b="1905"/>
            <wp:docPr id="56" name="图片 56" descr="平面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平面图"/>
                    <pic:cNvPicPr>
                      <a:picLocks noChangeAspect="1"/>
                    </pic:cNvPicPr>
                  </pic:nvPicPr>
                  <pic:blipFill>
                    <a:blip r:embed="rId26"/>
                    <a:stretch>
                      <a:fillRect/>
                    </a:stretch>
                  </pic:blipFill>
                  <pic:spPr>
                    <a:xfrm>
                      <a:off x="0" y="0"/>
                      <a:ext cx="4819015" cy="5065395"/>
                    </a:xfrm>
                    <a:prstGeom prst="rect">
                      <a:avLst/>
                    </a:prstGeom>
                  </pic:spPr>
                </pic:pic>
              </a:graphicData>
            </a:graphic>
          </wp:inline>
        </w:drawing>
      </w:r>
      <w:r>
        <w:rPr>
          <w:color w:val="auto"/>
          <w:sz w:val="32"/>
        </w:rPr>
        <mc:AlternateContent>
          <mc:Choice Requires="wps">
            <w:drawing>
              <wp:anchor distT="0" distB="0" distL="114300" distR="114300" simplePos="0" relativeHeight="251688960" behindDoc="0" locked="0" layoutInCell="1" allowOverlap="1">
                <wp:simplePos x="0" y="0"/>
                <wp:positionH relativeFrom="column">
                  <wp:posOffset>1796415</wp:posOffset>
                </wp:positionH>
                <wp:positionV relativeFrom="paragraph">
                  <wp:posOffset>1063625</wp:posOffset>
                </wp:positionV>
                <wp:extent cx="595630" cy="279400"/>
                <wp:effectExtent l="427990" t="12700" r="24130" b="12700"/>
                <wp:wrapNone/>
                <wp:docPr id="50" name="矩形标注 50"/>
                <wp:cNvGraphicFramePr/>
                <a:graphic xmlns:a="http://schemas.openxmlformats.org/drawingml/2006/main">
                  <a:graphicData uri="http://schemas.microsoft.com/office/word/2010/wordprocessingShape">
                    <wps:wsp>
                      <wps:cNvSpPr/>
                      <wps:spPr>
                        <a:xfrm>
                          <a:off x="0" y="0"/>
                          <a:ext cx="595630" cy="279400"/>
                        </a:xfrm>
                        <a:prstGeom prst="wedgeRectCallout">
                          <a:avLst>
                            <a:gd name="adj1" fmla="val -119722"/>
                            <a:gd name="adj2" fmla="val 26363"/>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6CB8EBD6">
                            <w:pPr>
                              <w:jc w:val="center"/>
                              <w:rPr>
                                <w:rFonts w:hint="default" w:eastAsia="宋体"/>
                                <w:color w:val="auto"/>
                                <w:lang w:val="en-US" w:eastAsia="zh-CN"/>
                              </w:rPr>
                            </w:pPr>
                            <w:r>
                              <w:rPr>
                                <w:rFonts w:hint="eastAsia"/>
                                <w:b/>
                                <w:bCs/>
                                <w:color w:val="auto"/>
                                <w:sz w:val="18"/>
                                <w:szCs w:val="21"/>
                                <w:lang w:val="en-US" w:eastAsia="zh-CN"/>
                              </w:rPr>
                              <w:t>DA002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41.45pt;margin-top:83.75pt;height:22pt;width:46.9pt;z-index:251688960;v-text-anchor:middle;mso-width-relative:page;mso-height-relative:page;" fillcolor="#FFFFFF [3212]" filled="t" stroked="t" coordsize="21600,21600" o:gfxdata="UEsDBAoAAAAAAIdO4kAAAAAAAAAAAAAAAAAEAAAAZHJzL1BLAwQUAAAACACHTuJA2a7gXNoAAAAL&#10;AQAADwAAAGRycy9kb3ducmV2LnhtbE2Py07DMBBF90j8gzVI7KjzoEmbxumiEgtAEaLlA9x4mkTE&#10;4yh22sLXM6xgOTpX954pt1c7iDNOvnekIF5EIJAaZ3pqFXwcnh5WIHzQZPTgCBV8oYdtdXtT6sK4&#10;C73jeR9awSXkC62gC2EspPRNh1b7hRuRmJ3cZHXgc2qlmfSFy+0gkyjKpNU98UKnR9x12HzuZ6vg&#10;tQ5vaZM+m5fHg5m/811tT3VQ6v4ujjYgAl7DXxh+9VkdKnY6upmMF4OCZJWsOcogy5cgOJHmWQ7i&#10;yCiOlyCrUv7/ofoBUEsDBBQAAAAIAIdO4kB5OoEGogIAAE4FAAAOAAAAZHJzL2Uyb0RvYy54bWyt&#10;VMFy0zAQvTPDP2h0b524SUoydTqZZMIw06EdCsNZkeXYjCwJSYlTfoDPgOEEZ858DuU3eJLdNi09&#10;9IAP9q60frvvrVYnp7takq2wrtIqo/3DHiVCcZ1Xap3Rd2+XBy8ocZ6pnEmtREavhKOn0+fPThoz&#10;EakutcyFJQBRbtKYjJbem0mSOF6KmrlDbYTCZqFtzTxcu05yyxqg1zJJe71R0mibG6u5cA6ri3aT&#10;doj2KYC6KCouFppvaqF8i2qFZB6UXFkZR6ex2qIQ3J8XhROeyIyCqY9vJIG9Cu9kesIma8tMWfGu&#10;BPaUEh5wqlmlkPQWasE8Ixtb/QNVV9xqpwt/yHWdtESiImDR7z3Q5rJkRkQukNqZW9Hd/4Plr7cX&#10;llR5RoeQRLEaHf/z5cfvX9+uv36+/vmdYBkaNcZNEHppLmznOZiB8K6wdfiCCtlFXa9udRU7TzgW&#10;h+Ph6AjwHFvp8XjQi5jJ3c/GOv9S6JoEI6ONyNfiDXo3Z1LqjY/Ksu2Z81HivKuT5R/6lBS1RMe2&#10;TJKDfn98nKZdT/ei0v2odHQ0OgoxyN9hwrqpICRwWlb5spIyOna9mktLkCCjy/h0P98Lk4o0IDcM&#10;3AhnmIsC5xFmbaCtU2tKmFxj4Li3kc69v91+kl58HksSilwwV7bFRIQuTCrwCU1q2xIsv1vtul6t&#10;dH6FLlvdHn9n+LIC1Blz/oJZqIeacSP4c7wKqUFEdxYlpbafHlsP8TiG2KWkwfyA5McNs4IS+Urh&#10;gI77gwFgfXQGw+MUjt3fWe3vqE091xAY/UR10QzxXt6YhdX1e1wcs5AVW0xx5G7l7Jy5b+caVw8X&#10;s1kMw5AZ5s/UpeEBPDRU6dnG66Ly4QgEoVp1OgdjFk9GdyWEOd73Y9TdNTj9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Nmu4FzaAAAACwEAAA8AAAAAAAAAAQAgAAAAIgAAAGRycy9kb3ducmV2Lnht&#10;bFBLAQIUABQAAAAIAIdO4kB5OoEGogIAAE4FAAAOAAAAAAAAAAEAIAAAACkBAABkcnMvZTJvRG9j&#10;LnhtbFBLBQYAAAAABgAGAFkBAAA9BgAAAAA=&#10;" adj="-15060,16494">
                <v:fill on="t" focussize="0,0"/>
                <v:stroke weight="2pt" color="#000000 [3213]" joinstyle="round"/>
                <v:imagedata o:title=""/>
                <o:lock v:ext="edit" aspectratio="f"/>
                <v:textbox>
                  <w:txbxContent>
                    <w:p w14:paraId="6CB8EBD6">
                      <w:pPr>
                        <w:jc w:val="center"/>
                        <w:rPr>
                          <w:rFonts w:hint="default" w:eastAsia="宋体"/>
                          <w:color w:val="auto"/>
                          <w:lang w:val="en-US" w:eastAsia="zh-CN"/>
                        </w:rPr>
                      </w:pPr>
                      <w:r>
                        <w:rPr>
                          <w:rFonts w:hint="eastAsia"/>
                          <w:b/>
                          <w:bCs/>
                          <w:color w:val="auto"/>
                          <w:sz w:val="18"/>
                          <w:szCs w:val="21"/>
                          <w:lang w:val="en-US" w:eastAsia="zh-CN"/>
                        </w:rPr>
                        <w:t>DA002</w:t>
                      </w:r>
                    </w:p>
                  </w:txbxContent>
                </v:textbox>
              </v:shape>
            </w:pict>
          </mc:Fallback>
        </mc:AlternateContent>
      </w:r>
    </w:p>
    <w:p w14:paraId="553D2C09">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jc w:val="center"/>
        <w:textAlignment w:val="auto"/>
        <w:outlineLvl w:val="9"/>
        <w:rPr>
          <w:rFonts w:hint="eastAsia" w:eastAsia="宋体" w:asciiTheme="minorEastAsia" w:hAnsiTheme="minorEastAsia" w:cstheme="minorEastAsia"/>
          <w:snapToGrid w:val="0"/>
          <w:color w:val="auto"/>
          <w:sz w:val="32"/>
          <w:szCs w:val="32"/>
          <w:highlight w:val="none"/>
          <w:lang w:val="en-US" w:eastAsia="zh-CN"/>
        </w:rPr>
      </w:pPr>
    </w:p>
    <w:p w14:paraId="10F52498">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jc w:val="center"/>
        <w:textAlignment w:val="auto"/>
        <w:outlineLvl w:val="9"/>
        <w:rPr>
          <w:rFonts w:hint="eastAsia" w:eastAsia="宋体" w:asciiTheme="minorEastAsia" w:hAnsiTheme="minorEastAsia" w:cstheme="minorEastAsia"/>
          <w:snapToGrid w:val="0"/>
          <w:color w:val="auto"/>
          <w:sz w:val="32"/>
          <w:szCs w:val="32"/>
          <w:highlight w:val="none"/>
          <w:lang w:val="en-US" w:eastAsia="zh-CN"/>
        </w:rPr>
      </w:pPr>
    </w:p>
    <w:p w14:paraId="6E6E1830">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jc w:val="center"/>
        <w:textAlignment w:val="auto"/>
        <w:outlineLvl w:val="9"/>
        <w:rPr>
          <w:rFonts w:hint="eastAsia" w:eastAsia="宋体" w:asciiTheme="minorEastAsia" w:hAnsiTheme="minorEastAsia" w:cstheme="minorEastAsia"/>
          <w:snapToGrid w:val="0"/>
          <w:color w:val="auto"/>
          <w:sz w:val="32"/>
          <w:szCs w:val="32"/>
          <w:highlight w:val="none"/>
          <w:lang w:val="en-US" w:eastAsia="zh-CN"/>
        </w:rPr>
      </w:pPr>
    </w:p>
    <w:p w14:paraId="10CEC611">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jc w:val="center"/>
        <w:textAlignment w:val="auto"/>
        <w:outlineLvl w:val="9"/>
        <w:rPr>
          <w:rFonts w:hint="eastAsia" w:eastAsia="宋体" w:asciiTheme="minorEastAsia" w:hAnsiTheme="minorEastAsia" w:cstheme="minorEastAsia"/>
          <w:snapToGrid w:val="0"/>
          <w:color w:val="auto"/>
          <w:sz w:val="32"/>
          <w:szCs w:val="32"/>
          <w:highlight w:val="none"/>
          <w:lang w:val="en-US" w:eastAsia="zh-CN"/>
        </w:rPr>
      </w:pPr>
    </w:p>
    <w:p w14:paraId="08AAE046">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jc w:val="center"/>
        <w:textAlignment w:val="auto"/>
        <w:outlineLvl w:val="9"/>
        <w:rPr>
          <w:rFonts w:hint="eastAsia" w:eastAsia="宋体" w:asciiTheme="minorEastAsia" w:hAnsiTheme="minorEastAsia" w:cstheme="minorEastAsia"/>
          <w:snapToGrid w:val="0"/>
          <w:color w:val="auto"/>
          <w:sz w:val="32"/>
          <w:szCs w:val="32"/>
          <w:highlight w:val="none"/>
          <w:lang w:val="en-US" w:eastAsia="zh-CN"/>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p>
    <w:p w14:paraId="529E2C9B">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jc w:val="both"/>
        <w:textAlignment w:val="auto"/>
        <w:outlineLvl w:val="0"/>
        <w:rPr>
          <w:rFonts w:hint="default" w:eastAsia="宋体" w:asciiTheme="minorEastAsia" w:hAnsiTheme="minorEastAsia" w:cstheme="minorEastAsia"/>
          <w:snapToGrid w:val="0"/>
          <w:color w:val="auto"/>
          <w:sz w:val="32"/>
          <w:szCs w:val="32"/>
          <w:highlight w:val="none"/>
          <w:lang w:val="en-US" w:eastAsia="zh-CN"/>
        </w:rPr>
      </w:pPr>
      <w:r>
        <w:rPr>
          <w:rFonts w:hint="eastAsia" w:asciiTheme="minorEastAsia" w:hAnsiTheme="minorEastAsia" w:cstheme="minorEastAsia"/>
          <w:snapToGrid w:val="0"/>
          <w:color w:val="auto"/>
          <w:sz w:val="32"/>
          <w:szCs w:val="32"/>
          <w:highlight w:val="none"/>
          <w:lang w:val="en-US" w:eastAsia="zh-CN"/>
        </w:rPr>
        <w:t>附图3：分区防渗图</w:t>
      </w:r>
    </w:p>
    <w:p w14:paraId="605BE0AD">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jc w:val="both"/>
        <w:textAlignment w:val="auto"/>
        <w:outlineLvl w:val="9"/>
        <w:rPr>
          <w:rFonts w:hint="eastAsia" w:eastAsia="宋体" w:asciiTheme="minorEastAsia" w:hAnsiTheme="minorEastAsia" w:cstheme="minorEastAsia"/>
          <w:snapToGrid w:val="0"/>
          <w:color w:val="auto"/>
          <w:sz w:val="32"/>
          <w:szCs w:val="32"/>
          <w:highlight w:val="none"/>
          <w:lang w:val="en-US" w:eastAsia="zh-CN"/>
        </w:rPr>
      </w:pPr>
    </w:p>
    <w:p w14:paraId="61375561">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jc w:val="both"/>
        <w:textAlignment w:val="auto"/>
        <w:outlineLvl w:val="9"/>
        <w:rPr>
          <w:rFonts w:hint="eastAsia" w:eastAsia="宋体" w:asciiTheme="minorEastAsia" w:hAnsiTheme="minorEastAsia" w:cstheme="minorEastAsia"/>
          <w:snapToGrid w:val="0"/>
          <w:color w:val="auto"/>
          <w:sz w:val="32"/>
          <w:szCs w:val="32"/>
          <w:highlight w:val="none"/>
          <w:lang w:val="en-US" w:eastAsia="zh-CN"/>
        </w:rPr>
      </w:pPr>
    </w:p>
    <w:p w14:paraId="5F48793D">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jc w:val="center"/>
        <w:textAlignment w:val="auto"/>
        <w:outlineLvl w:val="0"/>
        <w:rPr>
          <w:rFonts w:hint="eastAsia" w:asciiTheme="minorEastAsia" w:hAnsiTheme="minorEastAsia" w:eastAsiaTheme="minorEastAsia" w:cstheme="minorEastAsia"/>
          <w:snapToGrid w:val="0"/>
          <w:color w:val="auto"/>
          <w:sz w:val="32"/>
          <w:szCs w:val="32"/>
          <w:highlight w:val="none"/>
          <w:lang w:val="en-US" w:eastAsia="zh-CN"/>
        </w:rPr>
        <w:sectPr>
          <w:pgSz w:w="16838" w:h="23811"/>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r>
        <w:rPr>
          <w:rFonts w:hint="eastAsia" w:asciiTheme="minorEastAsia" w:hAnsiTheme="minorEastAsia" w:eastAsiaTheme="minorEastAsia" w:cstheme="minorEastAsia"/>
          <w:snapToGrid w:val="0"/>
          <w:color w:val="auto"/>
          <w:sz w:val="32"/>
          <w:szCs w:val="32"/>
          <w:highlight w:val="none"/>
          <w:lang w:val="en-US" w:eastAsia="zh-CN"/>
        </w:rPr>
        <w:drawing>
          <wp:inline distT="0" distB="0" distL="114300" distR="114300">
            <wp:extent cx="7666990" cy="8114665"/>
            <wp:effectExtent l="0" t="0" r="10160" b="635"/>
            <wp:docPr id="12" name="图片 12" descr="分区防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分区防渗"/>
                    <pic:cNvPicPr>
                      <a:picLocks noChangeAspect="1"/>
                    </pic:cNvPicPr>
                  </pic:nvPicPr>
                  <pic:blipFill>
                    <a:blip r:embed="rId27"/>
                    <a:stretch>
                      <a:fillRect/>
                    </a:stretch>
                  </pic:blipFill>
                  <pic:spPr>
                    <a:xfrm>
                      <a:off x="0" y="0"/>
                      <a:ext cx="7666990" cy="8114665"/>
                    </a:xfrm>
                    <a:prstGeom prst="rect">
                      <a:avLst/>
                    </a:prstGeom>
                  </pic:spPr>
                </pic:pic>
              </a:graphicData>
            </a:graphic>
          </wp:inline>
        </w:drawing>
      </w:r>
    </w:p>
    <w:p w14:paraId="05514107">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textAlignment w:val="auto"/>
        <w:outlineLvl w:val="0"/>
        <w:rPr>
          <w:rFonts w:hint="eastAsia" w:eastAsiaTheme="minorEastAsia"/>
          <w:color w:val="auto"/>
          <w:lang w:eastAsia="zh-CN"/>
        </w:rPr>
      </w:pPr>
      <w:r>
        <w:rPr>
          <w:rFonts w:hint="eastAsia" w:eastAsiaTheme="minorEastAsia"/>
          <w:color w:val="auto"/>
          <w:lang w:eastAsia="zh-CN"/>
        </w:rPr>
        <w:drawing>
          <wp:anchor distT="0" distB="0" distL="114300" distR="114300" simplePos="0" relativeHeight="251691008" behindDoc="0" locked="0" layoutInCell="1" allowOverlap="1">
            <wp:simplePos x="0" y="0"/>
            <wp:positionH relativeFrom="column">
              <wp:posOffset>7228840</wp:posOffset>
            </wp:positionH>
            <wp:positionV relativeFrom="paragraph">
              <wp:posOffset>381000</wp:posOffset>
            </wp:positionV>
            <wp:extent cx="962660" cy="913765"/>
            <wp:effectExtent l="0" t="0" r="8890" b="635"/>
            <wp:wrapNone/>
            <wp:docPr id="64" name="图片 6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图片1"/>
                    <pic:cNvPicPr>
                      <a:picLocks noChangeAspect="1"/>
                    </pic:cNvPicPr>
                  </pic:nvPicPr>
                  <pic:blipFill>
                    <a:blip r:embed="rId13"/>
                    <a:stretch>
                      <a:fillRect/>
                    </a:stretch>
                  </pic:blipFill>
                  <pic:spPr>
                    <a:xfrm>
                      <a:off x="0" y="0"/>
                      <a:ext cx="962660" cy="913765"/>
                    </a:xfrm>
                    <a:prstGeom prst="rect">
                      <a:avLst/>
                    </a:prstGeom>
                  </pic:spPr>
                </pic:pic>
              </a:graphicData>
            </a:graphic>
          </wp:anchor>
        </w:drawing>
      </w:r>
      <w:r>
        <w:rPr>
          <w:rFonts w:hint="eastAsia" w:asciiTheme="minorEastAsia" w:hAnsiTheme="minorEastAsia" w:eastAsiaTheme="minorEastAsia" w:cstheme="minorEastAsia"/>
          <w:snapToGrid w:val="0"/>
          <w:color w:val="auto"/>
          <w:sz w:val="32"/>
          <w:szCs w:val="32"/>
          <w:highlight w:val="none"/>
          <w:lang w:val="en-US" w:eastAsia="zh-CN"/>
        </w:rPr>
        <w:t>附图4：</w:t>
      </w:r>
      <w:r>
        <w:rPr>
          <w:rFonts w:hint="eastAsia" w:asciiTheme="minorEastAsia" w:hAnsiTheme="minorEastAsia" w:eastAsiaTheme="minorEastAsia" w:cstheme="minorEastAsia"/>
          <w:snapToGrid w:val="0"/>
          <w:color w:val="auto"/>
          <w:sz w:val="32"/>
          <w:szCs w:val="32"/>
          <w:highlight w:val="none"/>
          <w:lang w:eastAsia="zh-CN"/>
        </w:rPr>
        <w:t>项目周围敏感目标</w:t>
      </w:r>
      <w:r>
        <w:rPr>
          <w:rFonts w:hint="eastAsia" w:asciiTheme="minorEastAsia" w:hAnsiTheme="minorEastAsia" w:eastAsiaTheme="minorEastAsia" w:cstheme="minorEastAsia"/>
          <w:snapToGrid w:val="0"/>
          <w:color w:val="auto"/>
          <w:sz w:val="32"/>
          <w:szCs w:val="32"/>
          <w:highlight w:val="none"/>
        </w:rPr>
        <w:t>图</w:t>
      </w:r>
    </w:p>
    <w:p w14:paraId="11A363F4">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jc w:val="center"/>
        <w:textAlignment w:val="auto"/>
        <w:outlineLvl w:val="9"/>
        <w:rPr>
          <w:rFonts w:hint="eastAsia" w:eastAsia="宋体" w:asciiTheme="minorEastAsia" w:hAnsiTheme="minorEastAsia" w:cstheme="minorEastAsia"/>
          <w:snapToGrid w:val="0"/>
          <w:color w:val="auto"/>
          <w:sz w:val="32"/>
          <w:szCs w:val="32"/>
          <w:highlight w:val="none"/>
          <w:lang w:eastAsia="zh-CN"/>
        </w:rPr>
      </w:pPr>
      <w:r>
        <w:rPr>
          <w:color w:val="auto"/>
          <w:sz w:val="24"/>
        </w:rPr>
        <mc:AlternateContent>
          <mc:Choice Requires="wps">
            <w:drawing>
              <wp:anchor distT="0" distB="0" distL="114300" distR="114300" simplePos="0" relativeHeight="251692032" behindDoc="0" locked="0" layoutInCell="1" allowOverlap="1">
                <wp:simplePos x="0" y="0"/>
                <wp:positionH relativeFrom="column">
                  <wp:posOffset>6055995</wp:posOffset>
                </wp:positionH>
                <wp:positionV relativeFrom="paragraph">
                  <wp:posOffset>2712085</wp:posOffset>
                </wp:positionV>
                <wp:extent cx="752475" cy="393065"/>
                <wp:effectExtent l="421640" t="94615" r="26035" b="26670"/>
                <wp:wrapNone/>
                <wp:docPr id="1" name="矩形标注 1"/>
                <wp:cNvGraphicFramePr/>
                <a:graphic xmlns:a="http://schemas.openxmlformats.org/drawingml/2006/main">
                  <a:graphicData uri="http://schemas.microsoft.com/office/word/2010/wordprocessingShape">
                    <wps:wsp>
                      <wps:cNvSpPr/>
                      <wps:spPr>
                        <a:xfrm>
                          <a:off x="4046220" y="1155065"/>
                          <a:ext cx="752475" cy="393065"/>
                        </a:xfrm>
                        <a:prstGeom prst="wedgeRectCallout">
                          <a:avLst>
                            <a:gd name="adj1" fmla="val -104345"/>
                            <a:gd name="adj2" fmla="val -70840"/>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4E22CC15">
                            <w:pPr>
                              <w:jc w:val="center"/>
                              <w:rPr>
                                <w:rFonts w:hint="eastAsia" w:eastAsia="宋体"/>
                                <w:lang w:val="en-US" w:eastAsia="zh-CN"/>
                              </w:rPr>
                            </w:pPr>
                            <w:r>
                              <w:rPr>
                                <w:rFonts w:hint="eastAsia"/>
                                <w:lang w:val="en-US" w:eastAsia="zh-CN"/>
                              </w:rPr>
                              <w:t>梁家村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76.85pt;margin-top:213.55pt;height:30.95pt;width:59.25pt;z-index:251692032;v-text-anchor:middle;mso-width-relative:page;mso-height-relative:page;" fillcolor="#FFFFFF [3212]" filled="t" stroked="t" coordsize="21600,21600" o:gfxdata="UEsDBAoAAAAAAIdO4kAAAAAAAAAAAAAAAAAEAAAAZHJzL1BLAwQUAAAACACHTuJAo7XxFdoAAAAM&#10;AQAADwAAAGRycy9kb3ducmV2LnhtbE2PPU/DMBCGdyT+g3VIbNR2+Ega4nQAdWJADSAY3fiaBOxz&#10;FLtN+fe4Uxnv7tF7z1utjs6yA05h8KRALgQwpNabgToF72/rmwJYiJqMtp5QwS8GWNWXF5UujZ9p&#10;g4cmdiyFUCi1gj7GseQ8tD06HRZ+REq3nZ+cjmmcOm4mPadwZ3kmxAN3eqD0odcjPvXY/jR7pwB3&#10;m2Ltm2x+br/Dy8erlcPXp1Tq+kqKR2ARj/EMw0k/qUOdnLZ+TyYwq2B5f5snVMFdlktgJ0LkWQZs&#10;m1bFUgCvK/6/RP0HUEsDBBQAAAAIAIdO4kDaZSb5rgIAAFkFAAAOAAAAZHJzL2Uyb0RvYy54bWyt&#10;VM1u2zAMvg/YOwi6t3Zcu2mDOkWQIMOAYi3WDTsrsmR70N8kJU73AnuMDjtt5533OOteY5TstmnX&#10;Qw/zQSZN+iP5kdTJ6VYKtGHWtVqVeLSfYsQU1VWr6hK/f7fcO8LIeaIqIrRiJb5iDp9OX7446cyE&#10;ZbrRomIWAYhyk86UuPHeTJLE0YZJ4va1YQqMXFtJPKi2TipLOkCXIsnS9DDptK2M1ZQ5B18XvREP&#10;iPY5gJrzlrKFpmvJlO9RLRPEQ0muaY3D05gt54z6c84d80iUGCr18YQgIK/CmUxPyKS2xDQtHVIg&#10;z0nhUU2StAqC3kEtiCdobdt/oGRLrXaa+32qZdIXEhmBKkbpI24uG2JYrAWoduaOdPf/YOmbzYVF&#10;bQWTgJEiEhr+5/rH71/fbr5+ufn5HY0CQ51xE3C8NBd20ByIodwttzK8oRC0LXGe5odZBtxeAd6o&#10;KNLDomeYbT2i4DAusnxcYETB4eD4YLAn90DGOv+KaYmCUOKOVTV7C12cEyH02keOyebM+Uh2NaRM&#10;qo+QPpcCerchAu2N0vwgH2LXO17ZA69xepTHEYAEBlCQblMIEZwWbbVshYiKrVdzYRFEKPEyPqE6&#10;+OWBm1CoK3FW5CkQQQmsCIfRBFEaoNmpGiMiatg96m2s58HfbjdIGp+ngoQkF8Q1fTIRYXATClIK&#10;Het7FCS/XW2Hxq10dQUNt7rfBGfosgWoM+L8BbFAH+QMl4M/h4MLDYXoQcKo0fbzU9+DP0wkWDHq&#10;YJWgyE9rYhlG4rWCWT0e5UAz8lHJi3EYELtrWe1a1FrONRAMDYXsohj8vbgVudXyA9whsxAVTERR&#10;iN3TOShz36843EKUzWbRDfbNEH+mLg0N4KGhSs/WXvPWhy4Gonp2BgU2LjZ3uB3CSu/q0ev+Rpz+&#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KO18RXaAAAADAEAAA8AAAAAAAAAAQAgAAAAIgAAAGRy&#10;cy9kb3ducmV2LnhtbFBLAQIUABQAAAAIAIdO4kDaZSb5rgIAAFkFAAAOAAAAAAAAAAEAIAAAACkB&#10;AABkcnMvZTJvRG9jLnhtbFBLBQYAAAAABgAGAFkBAABJBgAAAAA=&#10;" adj="-11739,-4501">
                <v:fill on="t" focussize="0,0"/>
                <v:stroke weight="2pt" color="#000000 [3213]" joinstyle="round"/>
                <v:imagedata o:title=""/>
                <o:lock v:ext="edit" aspectratio="f"/>
                <v:textbox>
                  <w:txbxContent>
                    <w:p w14:paraId="4E22CC15">
                      <w:pPr>
                        <w:jc w:val="center"/>
                        <w:rPr>
                          <w:rFonts w:hint="eastAsia" w:eastAsia="宋体"/>
                          <w:lang w:val="en-US" w:eastAsia="zh-CN"/>
                        </w:rPr>
                      </w:pPr>
                      <w:r>
                        <w:rPr>
                          <w:rFonts w:hint="eastAsia"/>
                          <w:lang w:val="en-US" w:eastAsia="zh-CN"/>
                        </w:rPr>
                        <w:t>梁家村</w:t>
                      </w:r>
                    </w:p>
                  </w:txbxContent>
                </v:textbox>
              </v:shape>
            </w:pict>
          </mc:Fallback>
        </mc:AlternateContent>
      </w:r>
      <w:r>
        <w:rPr>
          <w:color w:val="auto"/>
          <w:sz w:val="24"/>
        </w:rPr>
        <mc:AlternateContent>
          <mc:Choice Requires="wps">
            <w:drawing>
              <wp:anchor distT="0" distB="0" distL="114300" distR="114300" simplePos="0" relativeHeight="251693056" behindDoc="0" locked="0" layoutInCell="1" allowOverlap="1">
                <wp:simplePos x="0" y="0"/>
                <wp:positionH relativeFrom="column">
                  <wp:posOffset>2598420</wp:posOffset>
                </wp:positionH>
                <wp:positionV relativeFrom="paragraph">
                  <wp:posOffset>2483485</wp:posOffset>
                </wp:positionV>
                <wp:extent cx="752475" cy="393065"/>
                <wp:effectExtent l="12700" t="399415" r="187325" b="26670"/>
                <wp:wrapNone/>
                <wp:docPr id="2" name="矩形标注 2"/>
                <wp:cNvGraphicFramePr/>
                <a:graphic xmlns:a="http://schemas.openxmlformats.org/drawingml/2006/main">
                  <a:graphicData uri="http://schemas.microsoft.com/office/word/2010/wordprocessingShape">
                    <wps:wsp>
                      <wps:cNvSpPr/>
                      <wps:spPr>
                        <a:xfrm>
                          <a:off x="0" y="0"/>
                          <a:ext cx="752475" cy="393065"/>
                        </a:xfrm>
                        <a:prstGeom prst="wedgeRectCallout">
                          <a:avLst>
                            <a:gd name="adj1" fmla="val 72869"/>
                            <a:gd name="adj2" fmla="val -148384"/>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48CD8F57">
                            <w:pPr>
                              <w:jc w:val="center"/>
                              <w:rPr>
                                <w:rFonts w:hint="eastAsia" w:eastAsia="宋体"/>
                                <w:lang w:val="en-US" w:eastAsia="zh-CN"/>
                              </w:rPr>
                            </w:pPr>
                            <w:r>
                              <w:rPr>
                                <w:rFonts w:hint="eastAsia"/>
                                <w:lang w:val="en-US" w:eastAsia="zh-CN"/>
                              </w:rPr>
                              <w:t>新发村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04.6pt;margin-top:195.55pt;height:30.95pt;width:59.25pt;z-index:251693056;v-text-anchor:middle;mso-width-relative:page;mso-height-relative:page;" fillcolor="#FFFFFF [3212]" filled="t" stroked="t" coordsize="21600,21600" o:gfxdata="UEsDBAoAAAAAAIdO4kAAAAAAAAAAAAAAAAAEAAAAZHJzL1BLAwQUAAAACACHTuJASzCM89cAAAAL&#10;AQAADwAAAGRycy9kb3ducmV2LnhtbE2Py07DMBBF90j8gzVI7KjtlDY0xOmioguWpPkANzZxlHgc&#10;YvfB3zNdleXonrlzptxe/cjOdo59QAVyIYBZbIPpsVPQHPYvb8Bi0mj0GNAq+LURttXjQ6kLEy74&#10;Zc916hiVYCy0ApfSVHAeW2e9joswWaTsO8xeJxrnjptZX6jcjzwTYs297pEuOD3ZnbPtUJ88aTR1&#10;PmT9TuI+/Hx2H4dmPTih1POTFO/Akr2mOww3fdqBipyO4YQmslHBq9hkhCpYbqQERsQqy3NgR4pW&#10;SwG8Kvn/H6o/UEsDBBQAAAAIAIdO4kC3lm0ipAIAAEwFAAAOAAAAZHJzL2Uyb0RvYy54bWytVM1u&#10;EzEQviPxDpbv7SbbTZNG3VRRoiCkilYUxNnx2ruL/IftZFNegMcAcYIzZx6H8hqMvW6blh44sIfd&#10;mZ3xNzPfzPj0bCcF2jLrWq1KPDwcYMQU1VWr6hK/fbM6mGDkPFEVEVqxEl8zh89mz5+ddmbKct1o&#10;UTGLAES5aWdK3HhvplnmaMMkcYfaMAVGrq0kHlRbZ5UlHaBLkeWDwXHWaVsZqylzDv4ueyNOiPZf&#10;ADXnLWVLTTeSKd+jWiaIh5Jc0xqHZzFbzhn1F5w75pEoMVTq4xuCgLwO72x2Sqa1JaZpaUqB/EsK&#10;j2qSpFUQ9A5qSTxBG9v+BSVbarXT3B9SLbO+kMgIVDEcPOLmqiGGxVqAamfuSHf/D5a+2l5a1FYl&#10;zjFSRELDf3/+/uvn15svn25+fEN5YKgzbgqOV+bSJs2BGMrdcSvDFwpBu8jq9R2rbOcRhZ/jUV6M&#10;RxhRMB2dHA2ORwEzuz9srPMvmJYoCCXuWFWz19C5BRFCb3zklWzPnY8EVylNUr0fYsSlgH5tiUDj&#10;fHJ8kvq55wNl3fscDIvJ0aRI8RMmZHKbQQjgtGirVStEVGy9XgiLIECJV/FJhx+4CYU6YHBUDGCu&#10;KIGt4DCNIEoDzDpVY0REDetGvY3lPDjt9oMM4vNUkJDkkrimTyYiJDehgM/QpL4tQfK79S71aq2r&#10;a+ix1f3wO0NXLUCdE+cviQX2IGe4D/wFvLjQUIhOEkaNth+f+h/8YQjBilEH2wNFftgQyzASLxWM&#10;58mwKMK6RaUYjXNQ7L5lvW9RG7nQQDD0E7KLYvD34lbkVst3cG3MQ1QwEUUhdk9nUha+32q4eCib&#10;z6MbrJgh/lxdGRrAQ0OVnm+85q0PIxiI6tlJCixZnMx0IYQt3tej1/0lOPs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SzCM89cAAAALAQAADwAAAAAAAAABACAAAAAiAAAAZHJzL2Rvd25yZXYueG1s&#10;UEsBAhQAFAAAAAgAh07iQLeWbSKkAgAATAUAAA4AAAAAAAAAAQAgAAAAJgEAAGRycy9lMm9Eb2Mu&#10;eG1sUEsFBgAAAAAGAAYAWQEAADwGAAAAAA==&#10;" adj="26540,-21251">
                <v:fill on="t" focussize="0,0"/>
                <v:stroke weight="2pt" color="#000000 [3213]" joinstyle="round"/>
                <v:imagedata o:title=""/>
                <o:lock v:ext="edit" aspectratio="f"/>
                <v:textbox>
                  <w:txbxContent>
                    <w:p w14:paraId="48CD8F57">
                      <w:pPr>
                        <w:jc w:val="center"/>
                        <w:rPr>
                          <w:rFonts w:hint="eastAsia" w:eastAsia="宋体"/>
                          <w:lang w:val="en-US" w:eastAsia="zh-CN"/>
                        </w:rPr>
                      </w:pPr>
                      <w:r>
                        <w:rPr>
                          <w:rFonts w:hint="eastAsia"/>
                          <w:lang w:val="en-US" w:eastAsia="zh-CN"/>
                        </w:rPr>
                        <w:t>新发村</w:t>
                      </w:r>
                    </w:p>
                  </w:txbxContent>
                </v:textbox>
              </v:shape>
            </w:pict>
          </mc:Fallback>
        </mc:AlternateContent>
      </w:r>
      <w:r>
        <w:rPr>
          <w:color w:val="auto"/>
          <w:sz w:val="24"/>
        </w:rPr>
        <mc:AlternateContent>
          <mc:Choice Requires="wps">
            <w:drawing>
              <wp:anchor distT="0" distB="0" distL="114300" distR="114300" simplePos="0" relativeHeight="251667456" behindDoc="0" locked="0" layoutInCell="1" allowOverlap="1">
                <wp:simplePos x="0" y="0"/>
                <wp:positionH relativeFrom="column">
                  <wp:posOffset>7559040</wp:posOffset>
                </wp:positionH>
                <wp:positionV relativeFrom="paragraph">
                  <wp:posOffset>3662680</wp:posOffset>
                </wp:positionV>
                <wp:extent cx="285750" cy="161925"/>
                <wp:effectExtent l="13970" t="13970" r="24130" b="14605"/>
                <wp:wrapNone/>
                <wp:docPr id="67" name="矩形 74"/>
                <wp:cNvGraphicFramePr/>
                <a:graphic xmlns:a="http://schemas.openxmlformats.org/drawingml/2006/main">
                  <a:graphicData uri="http://schemas.microsoft.com/office/word/2010/wordprocessingShape">
                    <wps:wsp>
                      <wps:cNvSpPr/>
                      <wps:spPr>
                        <a:xfrm>
                          <a:off x="0" y="0"/>
                          <a:ext cx="285750" cy="161925"/>
                        </a:xfrm>
                        <a:prstGeom prst="rect">
                          <a:avLst/>
                        </a:prstGeom>
                        <a:solidFill>
                          <a:srgbClr val="FFFFFF"/>
                        </a:solidFill>
                        <a:ln w="28575" cap="flat" cmpd="sng">
                          <a:solidFill>
                            <a:srgbClr val="52C54A"/>
                          </a:solidFill>
                          <a:prstDash val="solid"/>
                          <a:miter/>
                          <a:headEnd type="none" w="med" len="med"/>
                          <a:tailEnd type="none" w="med" len="med"/>
                        </a:ln>
                      </wps:spPr>
                      <wps:bodyPr upright="1"/>
                    </wps:wsp>
                  </a:graphicData>
                </a:graphic>
              </wp:anchor>
            </w:drawing>
          </mc:Choice>
          <mc:Fallback>
            <w:pict>
              <v:rect id="矩形 74" o:spid="_x0000_s1026" o:spt="1" style="position:absolute;left:0pt;margin-left:595.2pt;margin-top:288.4pt;height:12.75pt;width:22.5pt;z-index:251667456;mso-width-relative:page;mso-height-relative:page;" fillcolor="#FFFFFF" filled="t" stroked="t" coordsize="21600,21600" o:gfxdata="UEsDBAoAAAAAAIdO4kAAAAAAAAAAAAAAAAAEAAAAZHJzL1BLAwQUAAAACACHTuJAO+BbGNoAAAAN&#10;AQAADwAAAGRycy9kb3ducmV2LnhtbE2PwU7DMBBE70j8g7VI3KidtAkQ4vRQCQlxQLRw4LhJtkkg&#10;tiPbbdq/Z3uC48w+zc6U65MZxZF8GJzVkCwUCLKNawfbafj8eL57ABEi2hZHZ0nDmQKsq+urEovW&#10;zXZLx13sBIfYUKCGPsapkDI0PRkMCzeR5dveeYORpe9k63HmcDPKVKlcGhwsf+hxok1Pzc/uYDTg&#10;Zpm9uW397l9XHr9fZvo670nr25tEPYGIdIp/MFzqc3WouFPtDrYNYmSdPKoVsxqy+5xHXJB0mbFV&#10;a8hVugRZlfL/iuoXUEsDBBQAAAAIAIdO4kB6/MDm/QEAACAEAAAOAAAAZHJzL2Uyb0RvYy54bWyt&#10;U0uOEzEQ3SNxB8t70ulokgytdEZoQtggGGmGAzi2u9uSf3I56eQ0SOw4BMdBXIOyu8l8YJEFvXCX&#10;7fLze6/Kq5uj0eQgAyhna1pOppRIy51Qtq3pl4ftm2tKIDIrmHZW1vQkgd6sX79a9b6SM9c5LWQg&#10;CGKh6n1Nuxh9VRTAO2kYTJyXFjcbFwyLOA1tIQLrEd3oYjadLoreBeGD4xIAVzfDJh0RwyWArmkU&#10;lxvH90baOKAGqVlESdApD3Sd2TaN5PFz04CMRNcUlcY84iUY79JYrFesagPzneIjBXYJhReaDFMW&#10;Lz1DbVhkZB/UX1BG8eDANXHCnSkGIdkRVFFOX3hz3zEvsxa0GvzZdPh/sPzT4S4QJWq6WFJimcGK&#10;//r6/eePb2R5ldzpPVSYdO/vwjgDDJPUYxNM+qMIcsyOns6OymMkHBdn1/PlHL3muFUuyrezecIs&#10;Hg/7APGDdIakoKYBC5Z9ZIePEIfUPynpLnBaia3SOk9Cu7vVgRwYFnebvxH9WZq2pB+ZIBGGLdtg&#10;q2BoPMoG2+YLnx2Bp8jz2e386t2/kBOzDYNuYJARUhqrjIoy5KiTTLy3gsSTR2ctviia2BgpKNES&#10;H2CKcmZkSl+SieZpix6mwgylSNHOiRMWcu+Dajs0ssx80w42TnZ8bPLUmU/nGenxYa9/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DvgWxjaAAAADQEAAA8AAAAAAAAAAQAgAAAAIgAAAGRycy9kb3du&#10;cmV2LnhtbFBLAQIUABQAAAAIAIdO4kB6/MDm/QEAACAEAAAOAAAAAAAAAAEAIAAAACkBAABkcnMv&#10;ZTJvRG9jLnhtbFBLBQYAAAAABgAGAFkBAACYBQAAAAA=&#10;">
                <v:fill on="t" focussize="0,0"/>
                <v:stroke weight="2.25pt" color="#52C54A" joinstyle="miter"/>
                <v:imagedata o:title=""/>
                <o:lock v:ext="edit" aspectratio="f"/>
              </v:rect>
            </w:pict>
          </mc:Fallback>
        </mc:AlternateContent>
      </w:r>
      <w:r>
        <w:rPr>
          <w:color w:val="auto"/>
          <w:sz w:val="24"/>
        </w:rPr>
        <mc:AlternateContent>
          <mc:Choice Requires="wps">
            <w:drawing>
              <wp:anchor distT="0" distB="0" distL="114300" distR="114300" simplePos="0" relativeHeight="251669504" behindDoc="0" locked="0" layoutInCell="1" allowOverlap="1">
                <wp:simplePos x="0" y="0"/>
                <wp:positionH relativeFrom="column">
                  <wp:posOffset>7559040</wp:posOffset>
                </wp:positionH>
                <wp:positionV relativeFrom="paragraph">
                  <wp:posOffset>4084955</wp:posOffset>
                </wp:positionV>
                <wp:extent cx="285750" cy="161925"/>
                <wp:effectExtent l="13970" t="13970" r="24130" b="14605"/>
                <wp:wrapNone/>
                <wp:docPr id="80" name="矩形 104"/>
                <wp:cNvGraphicFramePr/>
                <a:graphic xmlns:a="http://schemas.openxmlformats.org/drawingml/2006/main">
                  <a:graphicData uri="http://schemas.microsoft.com/office/word/2010/wordprocessingShape">
                    <wps:wsp>
                      <wps:cNvSpPr/>
                      <wps:spPr>
                        <a:xfrm>
                          <a:off x="0" y="0"/>
                          <a:ext cx="285750" cy="161925"/>
                        </a:xfrm>
                        <a:prstGeom prst="rect">
                          <a:avLst/>
                        </a:prstGeom>
                        <a:solidFill>
                          <a:srgbClr val="FFFFFF"/>
                        </a:solidFill>
                        <a:ln w="28575" cap="flat" cmpd="sng">
                          <a:solidFill>
                            <a:srgbClr val="0000FD"/>
                          </a:solidFill>
                          <a:prstDash val="solid"/>
                          <a:miter/>
                          <a:headEnd type="none" w="med" len="med"/>
                          <a:tailEnd type="none" w="med" len="med"/>
                        </a:ln>
                      </wps:spPr>
                      <wps:bodyPr upright="1"/>
                    </wps:wsp>
                  </a:graphicData>
                </a:graphic>
              </wp:anchor>
            </w:drawing>
          </mc:Choice>
          <mc:Fallback>
            <w:pict>
              <v:rect id="矩形 104" o:spid="_x0000_s1026" o:spt="1" style="position:absolute;left:0pt;margin-left:595.2pt;margin-top:321.65pt;height:12.75pt;width:22.5pt;z-index:251669504;mso-width-relative:page;mso-height-relative:page;" fillcolor="#FFFFFF" filled="t" stroked="t" coordsize="21600,21600" o:gfxdata="UEsDBAoAAAAAAIdO4kAAAAAAAAAAAAAAAAAEAAAAZHJzL1BLAwQUAAAACACHTuJASMvDZNoAAAAN&#10;AQAADwAAAGRycy9kb3ducmV2LnhtbE2PzU7DMBCE70i8g7VIXCpqp/lRCHEqgcShvVGKuLrJEkfE&#10;dhS7SfP2bE/0OLOfZmfK7cX0bMLRd85KiNYCGNraNZ1tJRw/359yYD4o26jeWZSwoIdtdX9XqqJx&#10;s/3A6RBaRiHWF0qCDmEoOPe1RqP82g1o6fbjRqMCybHlzahmCjc93wiRcaM6Sx+0GvBNY/17OBsJ&#10;Wbrv5u+Ur45fr8t+t5r0kuy0lI8PkXgBFvAS/mG41qfqUFGnkzvbxrOedPQsEmIpLYljYFdkE6dk&#10;ncjK8hx4VfLbFdUfUEsDBBQAAAAIAIdO4kC/lA62+gEAACEEAAAOAAAAZHJzL2Uyb0RvYy54bWyt&#10;U8uO0zAU3SPxD5b3NElFhxI1nQWlbBCMNMMHuLaTWPJLvm7Tfg0SOz6Cz0H8BtdO6DyYRReThXNt&#10;Xx+fc+716vpoNDnIAMrZhlazkhJpuRPKdg39drd9s6QEIrOCaWdlQ08S6PX69avV4Gs5d73TQgaC&#10;IBbqwTe0j9HXRQG8l4bBzHlpcbN1wbCI09AVIrAB0Y0u5mV5VQwuCB8clwC4uhk36YQYLgF0bau4&#10;3Di+N9LGETVIzSJKgl55oOvMtm0lj1/bFmQkuqGoNOYRL8F4l8ZivWJ1F5jvFZ8osEsoPNFkmLJ4&#10;6RlqwyIj+6D+gzKKBweujTPuTDEKyY6giqp84s1tz7zMWtBq8GfT4eVg+ZfDTSBKNHSJllhmsOJ/&#10;vv/8/esHqcq3yZ7BQ41Zt/4mTDPAMGk9tsGkP6ogx2zp6WypPEbCcXG+XLxbIDLHreqqej9fJMzi&#10;/rAPED9JZ0gKGhqwYtlIdvgMcUz9l5LuAqeV2Cqt8yR0uw86kAPD6m7zN6E/StOWDBMTJMKwZ1vs&#10;FQyNR91gu3zhoyPwELnEb7t5Djkx2zDoRwYZIaWx2qgoQ456ycRHK0g8ebTW4pOiiY2RghIt8QWm&#10;KGdGpvQlmWietuhhKsxYihTtnDhhJfc+qK5HI6vMN+1g52THpy5PrflwnpHuX/b6L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EjLw2TaAAAADQEAAA8AAAAAAAAAAQAgAAAAIgAAAGRycy9kb3ducmV2&#10;LnhtbFBLAQIUABQAAAAIAIdO4kC/lA62+gEAACEEAAAOAAAAAAAAAAEAIAAAACkBAABkcnMvZTJv&#10;RG9jLnhtbFBLBQYAAAAABgAGAFkBAACVBQAAAAA=&#10;">
                <v:fill on="t" focussize="0,0"/>
                <v:stroke weight="2.25pt" color="#0000FD" joinstyle="miter"/>
                <v:imagedata o:title=""/>
                <o:lock v:ext="edit" aspectratio="f"/>
              </v:rect>
            </w:pict>
          </mc:Fallback>
        </mc:AlternateContent>
      </w:r>
      <w:r>
        <w:rPr>
          <w:color w:val="auto"/>
          <w:sz w:val="24"/>
        </w:rPr>
        <mc:AlternateContent>
          <mc:Choice Requires="wps">
            <w:drawing>
              <wp:anchor distT="0" distB="0" distL="114300" distR="114300" simplePos="0" relativeHeight="251673600" behindDoc="0" locked="0" layoutInCell="1" allowOverlap="1">
                <wp:simplePos x="0" y="0"/>
                <wp:positionH relativeFrom="column">
                  <wp:posOffset>7546340</wp:posOffset>
                </wp:positionH>
                <wp:positionV relativeFrom="paragraph">
                  <wp:posOffset>4458970</wp:posOffset>
                </wp:positionV>
                <wp:extent cx="285750" cy="161925"/>
                <wp:effectExtent l="13970" t="13970" r="24130" b="14605"/>
                <wp:wrapNone/>
                <wp:docPr id="19" name="矩形 104"/>
                <wp:cNvGraphicFramePr/>
                <a:graphic xmlns:a="http://schemas.openxmlformats.org/drawingml/2006/main">
                  <a:graphicData uri="http://schemas.microsoft.com/office/word/2010/wordprocessingShape">
                    <wps:wsp>
                      <wps:cNvSpPr/>
                      <wps:spPr>
                        <a:xfrm>
                          <a:off x="0" y="0"/>
                          <a:ext cx="285750" cy="161925"/>
                        </a:xfrm>
                        <a:prstGeom prst="rect">
                          <a:avLst/>
                        </a:prstGeom>
                        <a:solidFill>
                          <a:srgbClr val="FFFFFF"/>
                        </a:solidFill>
                        <a:ln w="28575" cap="flat" cmpd="sng">
                          <a:solidFill>
                            <a:srgbClr val="FFFF00"/>
                          </a:solidFill>
                          <a:prstDash val="solid"/>
                          <a:miter/>
                          <a:headEnd type="none" w="med" len="med"/>
                          <a:tailEnd type="none" w="med" len="med"/>
                        </a:ln>
                      </wps:spPr>
                      <wps:bodyPr upright="1"/>
                    </wps:wsp>
                  </a:graphicData>
                </a:graphic>
              </wp:anchor>
            </w:drawing>
          </mc:Choice>
          <mc:Fallback>
            <w:pict>
              <v:rect id="矩形 104" o:spid="_x0000_s1026" o:spt="1" style="position:absolute;left:0pt;margin-left:594.2pt;margin-top:351.1pt;height:12.75pt;width:22.5pt;z-index:251673600;mso-width-relative:page;mso-height-relative:page;" fillcolor="#FFFFFF" filled="t" stroked="t" coordsize="21600,21600" o:gfxdata="UEsDBAoAAAAAAIdO4kAAAAAAAAAAAAAAAAAEAAAAZHJzL1BLAwQUAAAACACHTuJA0mwotNYAAAAN&#10;AQAADwAAAGRycy9kb3ducmV2LnhtbE2PwU7DMBBE70j8g7VI3KgdFxEnxOkBBEckCh+wjU0SNbYj&#10;20kLX8/2BMeZfZqdaXZnN7HVxjQGr6HYCGDWd8GMvtfw+fFyp4CljN7gFLzV8G0T7NrrqwZrE07+&#10;3a773DMK8alGDUPOc8156gbrMG3CbD3dvkJ0mEnGnpuIJwp3E5dCPHCHo6cPA872abDdcb84DW/5&#10;VfWu+qlkZZ6PKi7YrRK1vr0pxCOwbM/5D4ZLfaoOLXU6hMWbxCbShVL3xGoohZTALojcbsk6kCXL&#10;Enjb8P8r2l9QSwMEFAAAAAgAh07iQExJATP8AQAAIQQAAA4AAABkcnMvZTJvRG9jLnhtbK1TzY7T&#10;MBC+I/EOlu80SUWX3ajpHijlgmClhQdwbSex5D953KZ9GiRuPASPg3gNxk7o0u6lh80hGWfGn7/v&#10;m/Hy/mA02csAytmGVrOSEmm5E8p2Df32dfPmlhKIzAqmnZUNPUqg96vXr5aDr+Xc9U4LGQiCWKgH&#10;39A+Rl8XBfBeGgYz56XFZOuCYRGXoStEYAOiG13My/KmGFwQPjguAfDvekzSCTFcA+jaVnG5dnxn&#10;pI0japCaRZQEvfJAV5lt20oev7QtyEh0Q1FpzG88BONteherJau7wHyv+ESBXUPhQpNhyuKhJ6g1&#10;i4zsgnoGZRQPDlwbZ9yZYhSSHUEVVXnhzWPPvMxa0GrwJ9Ph5WD55/1DIErgJNxRYpnBjv/5/vP3&#10;rx+kKt8mewYPNVY9+ocwrQDDpPXQBpO+qIIcsqXHk6XyEAnHn/PbxbsFms0xVd1Ud/NFwiyeNvsA&#10;8aN0hqSgoQE7lo1k+08Qx9J/JekscFqJjdI6L0K3fa8D2TPs7iY/E/pZmbZkmJggEYYz2+KsYGg8&#10;6gbb5QPPtsAlcplHBXmflSVmawb9yCCnEgFWGxVlsovVvWTigxUkHj1aa/FK0cTGSEGJlngDU5Qr&#10;I1P6mkokoS16mBoztiJFWyeO2MmdD6rr0cgqO5EyODnZ8WnK02j+v85ITzd79R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SbCi01gAAAA0BAAAPAAAAAAAAAAEAIAAAACIAAABkcnMvZG93bnJldi54&#10;bWxQSwECFAAUAAAACACHTuJATEkBM/wBAAAhBAAADgAAAAAAAAABACAAAAAlAQAAZHJzL2Uyb0Rv&#10;Yy54bWxQSwUGAAAAAAYABgBZAQAAkwUAAAAA&#10;">
                <v:fill on="t" focussize="0,0"/>
                <v:stroke weight="2.25pt" color="#FFFF00" joinstyle="miter"/>
                <v:imagedata o:title=""/>
                <o:lock v:ext="edit" aspectratio="f"/>
              </v:rect>
            </w:pict>
          </mc:Fallback>
        </mc:AlternateContent>
      </w:r>
      <w:r>
        <w:rPr>
          <w:color w:val="auto"/>
          <w:sz w:val="24"/>
        </w:rPr>
        <mc:AlternateContent>
          <mc:Choice Requires="wps">
            <w:drawing>
              <wp:anchor distT="0" distB="0" distL="114300" distR="114300" simplePos="0" relativeHeight="251668480" behindDoc="0" locked="0" layoutInCell="1" allowOverlap="1">
                <wp:simplePos x="0" y="0"/>
                <wp:positionH relativeFrom="column">
                  <wp:posOffset>7566025</wp:posOffset>
                </wp:positionH>
                <wp:positionV relativeFrom="paragraph">
                  <wp:posOffset>3268980</wp:posOffset>
                </wp:positionV>
                <wp:extent cx="285750" cy="161925"/>
                <wp:effectExtent l="13970" t="13970" r="24130" b="14605"/>
                <wp:wrapNone/>
                <wp:docPr id="79" name="矩形 103"/>
                <wp:cNvGraphicFramePr/>
                <a:graphic xmlns:a="http://schemas.openxmlformats.org/drawingml/2006/main">
                  <a:graphicData uri="http://schemas.microsoft.com/office/word/2010/wordprocessingShape">
                    <wps:wsp>
                      <wps:cNvSpPr/>
                      <wps:spPr>
                        <a:xfrm>
                          <a:off x="0" y="0"/>
                          <a:ext cx="285750" cy="161925"/>
                        </a:xfrm>
                        <a:prstGeom prst="rect">
                          <a:avLst/>
                        </a:prstGeom>
                        <a:solidFill>
                          <a:srgbClr val="FFFFFF"/>
                        </a:solidFill>
                        <a:ln w="28575" cap="flat" cmpd="sng">
                          <a:solidFill>
                            <a:srgbClr val="FF0000"/>
                          </a:solidFill>
                          <a:prstDash val="solid"/>
                          <a:miter/>
                          <a:headEnd type="none" w="med" len="med"/>
                          <a:tailEnd type="none" w="med" len="med"/>
                        </a:ln>
                      </wps:spPr>
                      <wps:bodyPr upright="1"/>
                    </wps:wsp>
                  </a:graphicData>
                </a:graphic>
              </wp:anchor>
            </w:drawing>
          </mc:Choice>
          <mc:Fallback>
            <w:pict>
              <v:rect id="矩形 103" o:spid="_x0000_s1026" o:spt="1" style="position:absolute;left:0pt;margin-left:595.75pt;margin-top:257.4pt;height:12.75pt;width:22.5pt;z-index:251668480;mso-width-relative:page;mso-height-relative:page;" fillcolor="#FFFFFF" filled="t" stroked="t" coordsize="21600,21600" o:gfxdata="UEsDBAoAAAAAAIdO4kAAAAAAAAAAAAAAAAAEAAAAZHJzL1BLAwQUAAAACACHTuJA3lCNcdkAAAAN&#10;AQAADwAAAGRycy9kb3ducmV2LnhtbE2PzU7DMBCE70i8g7VI3Kid/kQQ4vQA4gAcEGkewI23cSC2&#10;I9tN2rdne6LHmf00O1NuT3ZgE4bYeychWwhg6Fqve9dJaHZvD4/AYlJOq8E7lHDGCNvq9qZUhfaz&#10;+8apTh2jEBcLJcGkNBacx9agVXHhR3R0O/hgVSIZOq6DmincDnwpRM6t6h19MGrEF4Ptb320Eqb2&#10;nDdYzz/i9cPEz/fuK+yag5T3d5l4BpbwlP5huNSn6lBRp70/Oh3ZQDp7yjbESthkaxpxQZarnKw9&#10;WWuxAl6V/HpF9QdQSwMEFAAAAAgAh07iQBE4LsP5AQAAIQQAAA4AAABkcnMvZTJvRG9jLnhtbK1T&#10;y47TMBTdI/EPlvc0SVHnETWdBaVsEIw08AGu7SSW/JKv27Rfg8SOj+BzEL/BtRM6dGYWXZCFc21f&#10;H59z7vXy7mA02csAytmGVrOSEmm5E8p2Df36ZfPmhhKIzAqmnZUNPUqgd6vXr5aDr+Xc9U4LGQiC&#10;WKgH39A+Rl8XBfBeGgYz56XFzdYFwyJOQ1eIwAZEN7qYl+VVMbggfHBcAuDqetykE2K4BNC1reJy&#10;7fjOSBtH1CA1iygJeuWBrjLbtpU8fm5bkJHohqLSmEe8BONtGovVktVdYL5XfKLALqHwRJNhyuKl&#10;J6g1i4zsgnoGZRQPDlwbZ9yZYhSSHUEVVfnEm4eeeZm1oNXgT6bD/4Pln/b3gSjR0OtbSiwzWPHf&#10;3378+vmdVOXbZM/gocasB38fphlgmLQe2mDSH1WQQ7b0eLJUHiLhuDi/WVwv0GyOW9VVdTtfJMzi&#10;8bAPED9IZ0gKGhqwYtlItv8IcUz9m5LuAqeV2Cit8yR023c6kD3D6m7yN6GfpWlLhokJEmHYsy32&#10;CobGo26wXb7w7AicI5f4vYScmK0Z9CODjJDSWG1UlCFHvWTivRUkHj1aa/FJ0cTGSEGJlvgCU5Qz&#10;I1P6kkw0T1v0MBVmLEWKtk4csZI7H1TXo5FV5pt2sHOy41OXp9b8d56RHl/26g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eUI1x2QAAAA0BAAAPAAAAAAAAAAEAIAAAACIAAABkcnMvZG93bnJldi54&#10;bWxQSwECFAAUAAAACACHTuJAETguw/kBAAAhBAAADgAAAAAAAAABACAAAAAoAQAAZHJzL2Uyb0Rv&#10;Yy54bWxQSwUGAAAAAAYABgBZAQAAkwUAAAAA&#10;">
                <v:fill on="t" focussize="0,0"/>
                <v:stroke weight="2.25pt" color="#FF0000" joinstyle="miter"/>
                <v:imagedata o:title=""/>
                <o:lock v:ext="edit" aspectratio="f"/>
              </v:rect>
            </w:pict>
          </mc:Fallback>
        </mc:AlternateContent>
      </w:r>
      <w:r>
        <w:rPr>
          <w:color w:val="auto"/>
          <w:sz w:val="21"/>
        </w:rPr>
        <mc:AlternateContent>
          <mc:Choice Requires="wps">
            <w:drawing>
              <wp:anchor distT="0" distB="0" distL="114300" distR="114300" simplePos="0" relativeHeight="251666432" behindDoc="0" locked="0" layoutInCell="1" allowOverlap="1">
                <wp:simplePos x="0" y="0"/>
                <wp:positionH relativeFrom="column">
                  <wp:posOffset>7344410</wp:posOffset>
                </wp:positionH>
                <wp:positionV relativeFrom="paragraph">
                  <wp:posOffset>2807970</wp:posOffset>
                </wp:positionV>
                <wp:extent cx="1285875" cy="1960245"/>
                <wp:effectExtent l="5080" t="5080" r="4445" b="15875"/>
                <wp:wrapNone/>
                <wp:docPr id="66" name="自选图形 109"/>
                <wp:cNvGraphicFramePr/>
                <a:graphic xmlns:a="http://schemas.openxmlformats.org/drawingml/2006/main">
                  <a:graphicData uri="http://schemas.microsoft.com/office/word/2010/wordprocessingShape">
                    <wps:wsp>
                      <wps:cNvSpPr/>
                      <wps:spPr>
                        <a:xfrm>
                          <a:off x="0" y="0"/>
                          <a:ext cx="1143000" cy="1960245"/>
                        </a:xfrm>
                        <a:prstGeom prst="flowChartProcess">
                          <a:avLst/>
                        </a:prstGeom>
                        <a:solidFill>
                          <a:srgbClr val="FFFFFF"/>
                        </a:solidFill>
                        <a:ln w="9525" cap="flat" cmpd="sng">
                          <a:solidFill>
                            <a:srgbClr val="000000"/>
                          </a:solidFill>
                          <a:prstDash val="solid"/>
                          <a:miter/>
                          <a:headEnd type="none" w="med" len="med"/>
                          <a:tailEnd type="none" w="med" len="med"/>
                        </a:ln>
                        <a:effectLst/>
                      </wps:spPr>
                      <wps:txbx>
                        <w:txbxContent>
                          <w:p w14:paraId="302CF234">
                            <w:pPr>
                              <w:spacing w:line="360" w:lineRule="auto"/>
                              <w:jc w:val="center"/>
                              <w:rPr>
                                <w:rFonts w:hint="eastAsia"/>
                                <w:b/>
                                <w:bCs/>
                                <w:sz w:val="28"/>
                                <w:szCs w:val="36"/>
                                <w:lang w:eastAsia="zh-CN"/>
                              </w:rPr>
                            </w:pPr>
                            <w:r>
                              <w:rPr>
                                <w:rFonts w:hint="eastAsia"/>
                                <w:b/>
                                <w:bCs/>
                                <w:sz w:val="28"/>
                                <w:szCs w:val="36"/>
                                <w:lang w:eastAsia="zh-CN"/>
                              </w:rPr>
                              <w:t>图例</w:t>
                            </w:r>
                          </w:p>
                          <w:p w14:paraId="0FBBE75D">
                            <w:pPr>
                              <w:spacing w:line="360" w:lineRule="auto"/>
                              <w:ind w:firstLine="632" w:firstLineChars="300"/>
                              <w:jc w:val="right"/>
                              <w:rPr>
                                <w:rFonts w:hint="eastAsia"/>
                                <w:lang w:eastAsia="zh-CN"/>
                              </w:rPr>
                            </w:pPr>
                            <w:r>
                              <w:rPr>
                                <w:rFonts w:hint="eastAsia"/>
                                <w:b/>
                                <w:bCs/>
                                <w:lang w:eastAsia="zh-CN"/>
                              </w:rPr>
                              <w:t>厂界</w:t>
                            </w:r>
                          </w:p>
                          <w:p w14:paraId="5D9D0AEE">
                            <w:pPr>
                              <w:spacing w:line="360" w:lineRule="auto"/>
                              <w:ind w:firstLine="632" w:firstLineChars="300"/>
                              <w:jc w:val="right"/>
                              <w:rPr>
                                <w:rFonts w:hint="eastAsia"/>
                                <w:b/>
                                <w:bCs/>
                                <w:lang w:val="en-US" w:eastAsia="zh-CN"/>
                              </w:rPr>
                            </w:pPr>
                            <w:r>
                              <w:rPr>
                                <w:rFonts w:hint="eastAsia"/>
                                <w:b/>
                                <w:bCs/>
                                <w:lang w:val="en-US" w:eastAsia="zh-CN"/>
                              </w:rPr>
                              <w:t>大气环境</w:t>
                            </w:r>
                          </w:p>
                          <w:p w14:paraId="7182B4BC">
                            <w:pPr>
                              <w:spacing w:line="360" w:lineRule="auto"/>
                              <w:ind w:firstLine="632" w:firstLineChars="300"/>
                              <w:jc w:val="right"/>
                              <w:rPr>
                                <w:rFonts w:hint="default"/>
                                <w:lang w:val="en-US" w:eastAsia="zh-CN"/>
                              </w:rPr>
                            </w:pPr>
                            <w:r>
                              <w:rPr>
                                <w:rFonts w:hint="eastAsia"/>
                                <w:b/>
                                <w:bCs/>
                                <w:lang w:val="en-US" w:eastAsia="zh-CN"/>
                              </w:rPr>
                              <w:t>保护范围</w:t>
                            </w:r>
                          </w:p>
                          <w:p w14:paraId="43A6A4F7">
                            <w:pPr>
                              <w:spacing w:line="360" w:lineRule="auto"/>
                              <w:ind w:firstLine="632" w:firstLineChars="300"/>
                              <w:jc w:val="right"/>
                              <w:rPr>
                                <w:rFonts w:hint="eastAsia"/>
                                <w:b/>
                                <w:bCs/>
                                <w:lang w:val="en-US" w:eastAsia="zh-CN"/>
                              </w:rPr>
                            </w:pPr>
                            <w:r>
                              <w:rPr>
                                <w:rFonts w:hint="eastAsia"/>
                                <w:b/>
                                <w:bCs/>
                                <w:lang w:val="en-US" w:eastAsia="zh-CN"/>
                              </w:rPr>
                              <w:t>声环境</w:t>
                            </w:r>
                          </w:p>
                          <w:p w14:paraId="25464D57">
                            <w:pPr>
                              <w:spacing w:line="360" w:lineRule="auto"/>
                              <w:ind w:firstLine="632" w:firstLineChars="300"/>
                              <w:jc w:val="right"/>
                              <w:rPr>
                                <w:rFonts w:hint="eastAsia"/>
                                <w:lang w:eastAsia="zh-CN"/>
                              </w:rPr>
                            </w:pPr>
                            <w:r>
                              <w:rPr>
                                <w:rFonts w:hint="eastAsia"/>
                                <w:b/>
                                <w:bCs/>
                                <w:lang w:val="en-US" w:eastAsia="zh-CN"/>
                              </w:rPr>
                              <w:t>保护范围</w:t>
                            </w:r>
                          </w:p>
                          <w:p w14:paraId="41DA7C2B">
                            <w:pPr>
                              <w:spacing w:line="360" w:lineRule="auto"/>
                              <w:ind w:firstLine="632" w:firstLineChars="300"/>
                              <w:jc w:val="right"/>
                              <w:rPr>
                                <w:rFonts w:hint="default"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敏感目标</w:t>
                            </w:r>
                          </w:p>
                        </w:txbxContent>
                      </wps:txbx>
                      <wps:bodyPr upright="1"/>
                    </wps:wsp>
                  </a:graphicData>
                </a:graphic>
              </wp:anchor>
            </w:drawing>
          </mc:Choice>
          <mc:Fallback>
            <w:pict>
              <v:shape id="自选图形 109" o:spid="_x0000_s1026" o:spt="109" type="#_x0000_t109" style="position:absolute;left:0pt;margin-left:578.3pt;margin-top:221.1pt;height:154.35pt;width:101.25pt;z-index:251666432;mso-width-relative:page;mso-height-relative:page;" fillcolor="#FFFFFF" filled="t" stroked="t" coordsize="21600,21600" o:gfxdata="UEsDBAoAAAAAAIdO4kAAAAAAAAAAAAAAAAAEAAAAZHJzL1BLAwQUAAAACACHTuJAA2A6UNwAAAAN&#10;AQAADwAAAGRycy9kb3ducmV2LnhtbE2PMU/DMBCFdyT+g3VILBW1kyahDXE6IAXRoQOBhe0SmyQi&#10;Pkexm5Z/jzvB+HSf3vuu2F/MyBY9u8GShGgtgGlqrRqok/DxXj1sgTmPpHC0pCX8aAf78vamwFzZ&#10;M73ppfYdCyXkcpTQez/lnLu21wbd2k6awu3LzgZ9iHPH1YznUG5GHguRcYMDhYUeJ/3c6/a7PhkJ&#10;8XZVv9Cxek2ag6owjT6X1eYg5f1dJJ6AeX3xfzBc9YM6lMGpsSdSjo0hR2mWBVZCksQxsCuySXcR&#10;sEbCYyp2wMuC//+i/AVQSwMEFAAAAAgAh07iQLsU2CweAgAATQQAAA4AAABkcnMvZTJvRG9jLnht&#10;bK1UzY7TMBC+I/EOlu80SdlWNGq6hy3lgqDSwgO4jp1Y8p9st0lv3BDPwI0j7wBvs9LyFoydUNrl&#10;0gM5OOPM+Jv5vhlnedsriQ7MeWF0hYtJjhHT1NRCNxX++GHz4hVGPhBdE2k0q/CReXy7ev5s2dmS&#10;TU1rZM0cAhDty85WuA3BllnmacsU8RNjmQYnN06RAFvXZLUjHaArmU3zfJ51xtXWGcq8h6/rwYlH&#10;RHcNoOFcULY2dK+YDgOqY5IEoORbYT1epWo5ZzS859yzgGSFgWlIKyQBexfXbLUkZeOIbQUdSyDX&#10;lPCEkyJCQ9IT1JoEgvZO/AOlBHXGGx4m1KhsIJIUARZF/kSb+5ZYlriA1N6eRPf/D5a+O2wdEnWF&#10;53OMNFHQ8cfP3399+vLw9efDj2+oyBdRpM76EmLv7daNOw9mZNxzp+IbuKA+CXs8Ccv6gCh8LIqb&#10;l3kOmlPwFYt5Pr2ZRdTs73HrfHjDjELRqDCXprtriQvbYVKSuOTw1ofh2J/wmNkbKeqNkDJtXLO7&#10;kw4dCHR8k54x00WY1Kir8GI2nUFRBMaYw/iAqSxI4XWT8l2c8OfAQCbyGWq5CIuFrYlvhwKSK4aR&#10;UonAXLJaRurXukbhaEFtDbcMx2IUqzGSDC5ltFJkIEJeEwk6Sh2TsDTyo0qxZ0OXohX6XQ+g0dyZ&#10;+ghd31snmhbELhKR6IEpS10Zb0Qc4/M92Od/gd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A2A6&#10;UNwAAAANAQAADwAAAAAAAAABACAAAAAiAAAAZHJzL2Rvd25yZXYueG1sUEsBAhQAFAAAAAgAh07i&#10;QLsU2CweAgAATQQAAA4AAAAAAAAAAQAgAAAAKwEAAGRycy9lMm9Eb2MueG1sUEsFBgAAAAAGAAYA&#10;WQEAALsFAAAAAA==&#10;">
                <v:fill on="t" focussize="0,0"/>
                <v:stroke color="#000000" joinstyle="miter"/>
                <v:imagedata o:title=""/>
                <o:lock v:ext="edit" aspectratio="f"/>
                <v:textbox>
                  <w:txbxContent>
                    <w:p w14:paraId="302CF234">
                      <w:pPr>
                        <w:spacing w:line="360" w:lineRule="auto"/>
                        <w:jc w:val="center"/>
                        <w:rPr>
                          <w:rFonts w:hint="eastAsia"/>
                          <w:b/>
                          <w:bCs/>
                          <w:sz w:val="28"/>
                          <w:szCs w:val="36"/>
                          <w:lang w:eastAsia="zh-CN"/>
                        </w:rPr>
                      </w:pPr>
                      <w:r>
                        <w:rPr>
                          <w:rFonts w:hint="eastAsia"/>
                          <w:b/>
                          <w:bCs/>
                          <w:sz w:val="28"/>
                          <w:szCs w:val="36"/>
                          <w:lang w:eastAsia="zh-CN"/>
                        </w:rPr>
                        <w:t>图例</w:t>
                      </w:r>
                    </w:p>
                    <w:p w14:paraId="0FBBE75D">
                      <w:pPr>
                        <w:spacing w:line="360" w:lineRule="auto"/>
                        <w:ind w:firstLine="632" w:firstLineChars="300"/>
                        <w:jc w:val="right"/>
                        <w:rPr>
                          <w:rFonts w:hint="eastAsia"/>
                          <w:lang w:eastAsia="zh-CN"/>
                        </w:rPr>
                      </w:pPr>
                      <w:r>
                        <w:rPr>
                          <w:rFonts w:hint="eastAsia"/>
                          <w:b/>
                          <w:bCs/>
                          <w:lang w:eastAsia="zh-CN"/>
                        </w:rPr>
                        <w:t>厂界</w:t>
                      </w:r>
                    </w:p>
                    <w:p w14:paraId="5D9D0AEE">
                      <w:pPr>
                        <w:spacing w:line="360" w:lineRule="auto"/>
                        <w:ind w:firstLine="632" w:firstLineChars="300"/>
                        <w:jc w:val="right"/>
                        <w:rPr>
                          <w:rFonts w:hint="eastAsia"/>
                          <w:b/>
                          <w:bCs/>
                          <w:lang w:val="en-US" w:eastAsia="zh-CN"/>
                        </w:rPr>
                      </w:pPr>
                      <w:r>
                        <w:rPr>
                          <w:rFonts w:hint="eastAsia"/>
                          <w:b/>
                          <w:bCs/>
                          <w:lang w:val="en-US" w:eastAsia="zh-CN"/>
                        </w:rPr>
                        <w:t>大气环境</w:t>
                      </w:r>
                    </w:p>
                    <w:p w14:paraId="7182B4BC">
                      <w:pPr>
                        <w:spacing w:line="360" w:lineRule="auto"/>
                        <w:ind w:firstLine="632" w:firstLineChars="300"/>
                        <w:jc w:val="right"/>
                        <w:rPr>
                          <w:rFonts w:hint="default"/>
                          <w:lang w:val="en-US" w:eastAsia="zh-CN"/>
                        </w:rPr>
                      </w:pPr>
                      <w:r>
                        <w:rPr>
                          <w:rFonts w:hint="eastAsia"/>
                          <w:b/>
                          <w:bCs/>
                          <w:lang w:val="en-US" w:eastAsia="zh-CN"/>
                        </w:rPr>
                        <w:t>保护范围</w:t>
                      </w:r>
                    </w:p>
                    <w:p w14:paraId="43A6A4F7">
                      <w:pPr>
                        <w:spacing w:line="360" w:lineRule="auto"/>
                        <w:ind w:firstLine="632" w:firstLineChars="300"/>
                        <w:jc w:val="right"/>
                        <w:rPr>
                          <w:rFonts w:hint="eastAsia"/>
                          <w:b/>
                          <w:bCs/>
                          <w:lang w:val="en-US" w:eastAsia="zh-CN"/>
                        </w:rPr>
                      </w:pPr>
                      <w:r>
                        <w:rPr>
                          <w:rFonts w:hint="eastAsia"/>
                          <w:b/>
                          <w:bCs/>
                          <w:lang w:val="en-US" w:eastAsia="zh-CN"/>
                        </w:rPr>
                        <w:t>声环境</w:t>
                      </w:r>
                    </w:p>
                    <w:p w14:paraId="25464D57">
                      <w:pPr>
                        <w:spacing w:line="360" w:lineRule="auto"/>
                        <w:ind w:firstLine="632" w:firstLineChars="300"/>
                        <w:jc w:val="right"/>
                        <w:rPr>
                          <w:rFonts w:hint="eastAsia"/>
                          <w:lang w:eastAsia="zh-CN"/>
                        </w:rPr>
                      </w:pPr>
                      <w:r>
                        <w:rPr>
                          <w:rFonts w:hint="eastAsia"/>
                          <w:b/>
                          <w:bCs/>
                          <w:lang w:val="en-US" w:eastAsia="zh-CN"/>
                        </w:rPr>
                        <w:t>保护范围</w:t>
                      </w:r>
                    </w:p>
                    <w:p w14:paraId="41DA7C2B">
                      <w:pPr>
                        <w:spacing w:line="360" w:lineRule="auto"/>
                        <w:ind w:firstLine="632" w:firstLineChars="300"/>
                        <w:jc w:val="right"/>
                        <w:rPr>
                          <w:rFonts w:hint="default"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敏感目标</w:t>
                      </w:r>
                    </w:p>
                  </w:txbxContent>
                </v:textbox>
              </v:shape>
            </w:pict>
          </mc:Fallback>
        </mc:AlternateContent>
      </w:r>
      <w:r>
        <w:rPr>
          <w:color w:val="auto"/>
        </w:rPr>
        <w:drawing>
          <wp:inline distT="0" distB="0" distL="114300" distR="114300">
            <wp:extent cx="5542280" cy="4752340"/>
            <wp:effectExtent l="0" t="0" r="1270" b="10160"/>
            <wp:docPr id="19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4"/>
                    <pic:cNvPicPr>
                      <a:picLocks noChangeAspect="1"/>
                    </pic:cNvPicPr>
                  </pic:nvPicPr>
                  <pic:blipFill>
                    <a:blip r:embed="rId28"/>
                    <a:stretch>
                      <a:fillRect/>
                    </a:stretch>
                  </pic:blipFill>
                  <pic:spPr>
                    <a:xfrm>
                      <a:off x="0" y="0"/>
                      <a:ext cx="5542280" cy="4752340"/>
                    </a:xfrm>
                    <a:prstGeom prst="rect">
                      <a:avLst/>
                    </a:prstGeom>
                    <a:noFill/>
                    <a:ln>
                      <a:noFill/>
                    </a:ln>
                  </pic:spPr>
                </pic:pic>
              </a:graphicData>
            </a:graphic>
          </wp:inline>
        </w:drawing>
      </w:r>
    </w:p>
    <w:p w14:paraId="39B55F0D">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textAlignment w:val="auto"/>
        <w:outlineLvl w:val="0"/>
        <w:rPr>
          <w:rFonts w:hint="eastAsia" w:asciiTheme="minorEastAsia" w:hAnsiTheme="minorEastAsia" w:eastAsiaTheme="minorEastAsia" w:cstheme="minorEastAsia"/>
          <w:snapToGrid w:val="0"/>
          <w:color w:val="auto"/>
          <w:sz w:val="32"/>
          <w:szCs w:val="32"/>
          <w:highlight w:val="none"/>
        </w:rPr>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decimal"/>
          <w:cols w:space="425" w:num="1"/>
          <w:docGrid w:linePitch="312" w:charSpace="0"/>
        </w:sectPr>
      </w:pPr>
    </w:p>
    <w:bookmarkEnd w:id="33"/>
    <w:p w14:paraId="1F91D3FD">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jc w:val="both"/>
        <w:textAlignment w:val="auto"/>
        <w:outlineLvl w:val="0"/>
        <w:rPr>
          <w:rFonts w:hint="eastAsia" w:asciiTheme="minorEastAsia" w:hAnsiTheme="minorEastAsia" w:eastAsiaTheme="minorEastAsia" w:cstheme="minorEastAsia"/>
          <w:snapToGrid w:val="0"/>
          <w:color w:val="auto"/>
          <w:sz w:val="32"/>
          <w:szCs w:val="32"/>
          <w:lang w:val="en-US" w:eastAsia="zh-CN"/>
        </w:rPr>
      </w:pPr>
      <w:bookmarkStart w:id="34" w:name="_Toc7606"/>
      <w:r>
        <w:rPr>
          <w:rFonts w:hint="eastAsia" w:asciiTheme="minorEastAsia" w:hAnsiTheme="minorEastAsia" w:eastAsiaTheme="minorEastAsia" w:cstheme="minorEastAsia"/>
          <w:snapToGrid w:val="0"/>
          <w:color w:val="auto"/>
          <w:sz w:val="32"/>
          <w:szCs w:val="32"/>
          <w:lang w:eastAsia="zh-CN"/>
        </w:rPr>
        <w:t>附图</w:t>
      </w:r>
      <w:r>
        <w:rPr>
          <w:rFonts w:hint="eastAsia" w:asciiTheme="minorEastAsia" w:hAnsiTheme="minorEastAsia" w:eastAsiaTheme="minorEastAsia" w:cstheme="minorEastAsia"/>
          <w:snapToGrid w:val="0"/>
          <w:color w:val="auto"/>
          <w:sz w:val="32"/>
          <w:szCs w:val="32"/>
          <w:lang w:val="en-US" w:eastAsia="zh-CN"/>
        </w:rPr>
        <w:t>5：</w:t>
      </w:r>
      <w:bookmarkEnd w:id="34"/>
      <w:r>
        <w:rPr>
          <w:rFonts w:hint="eastAsia" w:asciiTheme="minorEastAsia" w:hAnsiTheme="minorEastAsia" w:eastAsiaTheme="minorEastAsia" w:cstheme="minorEastAsia"/>
          <w:snapToGrid w:val="0"/>
          <w:color w:val="auto"/>
          <w:sz w:val="32"/>
          <w:szCs w:val="32"/>
          <w:lang w:val="en-US" w:eastAsia="zh-CN"/>
        </w:rPr>
        <w:t>项目与鸡西市中心城区声环境功能区划分图位置关系</w:t>
      </w:r>
    </w:p>
    <w:p w14:paraId="38DFE766">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right="0" w:rightChars="0"/>
        <w:jc w:val="both"/>
        <w:textAlignment w:val="auto"/>
        <w:outlineLvl w:val="9"/>
        <w:rPr>
          <w:rFonts w:hint="eastAsia" w:ascii="宋体" w:hAnsi="Times New Roman" w:eastAsia="宋体" w:cs="宋体"/>
          <w:b/>
          <w:color w:val="auto"/>
          <w:kern w:val="0"/>
          <w:sz w:val="21"/>
          <w:szCs w:val="21"/>
          <w:lang w:val="en-US" w:eastAsia="zh-CN" w:bidi="ar-SA"/>
        </w:rPr>
      </w:pPr>
      <w:r>
        <w:rPr>
          <w:color w:val="auto"/>
          <w:sz w:val="24"/>
        </w:rPr>
        <mc:AlternateContent>
          <mc:Choice Requires="wps">
            <w:drawing>
              <wp:anchor distT="0" distB="0" distL="114300" distR="114300" simplePos="0" relativeHeight="251665408" behindDoc="0" locked="0" layoutInCell="1" allowOverlap="1">
                <wp:simplePos x="0" y="0"/>
                <wp:positionH relativeFrom="column">
                  <wp:posOffset>2233295</wp:posOffset>
                </wp:positionH>
                <wp:positionV relativeFrom="paragraph">
                  <wp:posOffset>1015365</wp:posOffset>
                </wp:positionV>
                <wp:extent cx="1084580" cy="318770"/>
                <wp:effectExtent l="4445" t="4445" r="15875" b="438785"/>
                <wp:wrapNone/>
                <wp:docPr id="61" name="自选图形 119"/>
                <wp:cNvGraphicFramePr/>
                <a:graphic xmlns:a="http://schemas.openxmlformats.org/drawingml/2006/main">
                  <a:graphicData uri="http://schemas.microsoft.com/office/word/2010/wordprocessingShape">
                    <wps:wsp>
                      <wps:cNvSpPr/>
                      <wps:spPr>
                        <a:xfrm>
                          <a:off x="0" y="0"/>
                          <a:ext cx="1084580" cy="318770"/>
                        </a:xfrm>
                        <a:prstGeom prst="wedgeRectCallout">
                          <a:avLst>
                            <a:gd name="adj1" fmla="val -39542"/>
                            <a:gd name="adj2" fmla="val 180519"/>
                          </a:avLst>
                        </a:prstGeom>
                        <a:solidFill>
                          <a:srgbClr val="FFFFFF"/>
                        </a:solidFill>
                        <a:ln w="6350" cap="flat" cmpd="sng">
                          <a:solidFill>
                            <a:srgbClr val="000000"/>
                          </a:solidFill>
                          <a:prstDash val="solid"/>
                          <a:miter/>
                          <a:headEnd type="none" w="med" len="med"/>
                          <a:tailEnd type="none" w="med" len="med"/>
                        </a:ln>
                        <a:effectLst/>
                      </wps:spPr>
                      <wps:txbx>
                        <w:txbxContent>
                          <w:p w14:paraId="382D859D">
                            <w:pPr>
                              <w:rPr>
                                <w:rFonts w:hint="eastAsia" w:eastAsia="宋体"/>
                                <w:sz w:val="22"/>
                                <w:szCs w:val="28"/>
                                <w:lang w:val="en-US" w:eastAsia="zh-CN"/>
                              </w:rPr>
                            </w:pPr>
                            <w:r>
                              <w:rPr>
                                <w:rFonts w:hint="eastAsia"/>
                                <w:sz w:val="22"/>
                                <w:szCs w:val="28"/>
                                <w:lang w:val="en-US" w:eastAsia="zh-CN"/>
                              </w:rPr>
                              <w:t>本项目所在地</w:t>
                            </w:r>
                          </w:p>
                        </w:txbxContent>
                      </wps:txbx>
                      <wps:bodyPr upright="1"/>
                    </wps:wsp>
                  </a:graphicData>
                </a:graphic>
              </wp:anchor>
            </w:drawing>
          </mc:Choice>
          <mc:Fallback>
            <w:pict>
              <v:shape id="自选图形 119" o:spid="_x0000_s1026" o:spt="61" type="#_x0000_t61" style="position:absolute;left:0pt;margin-left:175.85pt;margin-top:79.95pt;height:25.1pt;width:85.4pt;z-index:251665408;mso-width-relative:page;mso-height-relative:page;" fillcolor="#FFFFFF" filled="t" stroked="t" coordsize="21600,21600" o:gfxdata="UEsDBAoAAAAAAIdO4kAAAAAAAAAAAAAAAAAEAAAAZHJzL1BLAwQUAAAACACHTuJAr1BtS9YAAAAL&#10;AQAADwAAAGRycy9kb3ducmV2LnhtbE2PQU7DMBBF90jcwRokdtR2UKBN43SB1AM0pXvXHpIUexzF&#10;Ths4PWYFy9F/+v9NvVu8Y1ec4hBIgVwJYEgm2IE6Be/H/dMaWEyarHaBUMEXRtg193e1rmy40QGv&#10;bepYLqFYaQV9SmPFeTQ9eh1XYUTK2UeYvE75nDpuJ33L5d7xQogX7vVAeaHXI771aD7b2Ss4zSbg&#10;wVm5X7r2tE7mIorvo1KPD1JsgSVc0h8Mv/pZHZrsdA4z2cicgudSvmY0B+VmAywTZVGUwM4KCikk&#10;8Kbm/39ofgBQSwMEFAAAAAgAh07iQIDXo0BEAgAAnwQAAA4AAABkcnMvZTJvRG9jLnhtbK1UzXLT&#10;MBC+M8M7aHRvbCdNm2bi9NAQLgx0KDyAIsm2GP2NpMTOjRvDM3DjyDvA23QG3oKVbNK0cMgBH+yV&#10;tPp2v293vbjulEQ77rwwusTFKMeIa2qY0HWJ379bn80w8oFoRqTRvMR77vH18vmzRWvnfGwaIxl3&#10;CEC0n7e2xE0Idp5lnjZcET8ylms4rIxTJMDS1RlzpAV0JbNxnl9krXHMOkO597C76g/xgOhOATRV&#10;JShfGbpVXIce1XFJAlDyjbAeL1O2VcVpeFNVngckSwxMQ3pDELA38Z0tF2ReO2IbQYcUyCkpPOGk&#10;iNAQ9AC1IoGgrRN/QSlBnfGmCiNqVNYTSYoAiyJ/os1dQyxPXEBqbw+i+/8HS1/vbh0SrMQXBUaa&#10;KKj4z0/ffn38fP/lx/33r6gorqJIrfVz8L2zt25YeTAj465yKn6BC+qSsPuDsLwLiMJmkc/OpzPQ&#10;nMLZpJhdXibls4fb1vnwkhuFolHilrOav4Xq3RApzTYkbcnulQ9JZDZkStgHyLpSEmq2IxKdTa6m&#10;5+OhqEdO42OnYpZPe1IQf8AE608GMYA3UrC1kDItXL25kQ5BgBKv0xMjwJVHblKjFlScTCNNAoNR&#10;QUOCqSyI63WdKDy64Y+B8/T8CzgmtiK+6RNICD1DJQJ3qYEbTtgLzVDYW6ifhrnFMRnFGUaSw5hH&#10;K3kGIuQpnsBO6siepyEC4SPl2AV93aMVuk0Hu9HcGLaHPtpaJ+oG6lckIvEE+jZpNcxYHIzjdQJ9&#10;+K8sf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vUG1L1gAAAAsBAAAPAAAAAAAAAAEAIAAAACIA&#10;AABkcnMvZG93bnJldi54bWxQSwECFAAUAAAACACHTuJAgNejQEQCAACfBAAADgAAAAAAAAABACAA&#10;AAAlAQAAZHJzL2Uyb0RvYy54bWxQSwUGAAAAAAYABgBZAQAA2wUAAAAA&#10;" adj="2259,49792">
                <v:fill on="t" focussize="0,0"/>
                <v:stroke weight="0.5pt" color="#000000" joinstyle="miter"/>
                <v:imagedata o:title=""/>
                <o:lock v:ext="edit" aspectratio="f"/>
                <v:textbox>
                  <w:txbxContent>
                    <w:p w14:paraId="382D859D">
                      <w:pPr>
                        <w:rPr>
                          <w:rFonts w:hint="eastAsia" w:eastAsia="宋体"/>
                          <w:sz w:val="22"/>
                          <w:szCs w:val="28"/>
                          <w:lang w:val="en-US" w:eastAsia="zh-CN"/>
                        </w:rPr>
                      </w:pPr>
                      <w:r>
                        <w:rPr>
                          <w:rFonts w:hint="eastAsia"/>
                          <w:sz w:val="22"/>
                          <w:szCs w:val="28"/>
                          <w:lang w:val="en-US" w:eastAsia="zh-CN"/>
                        </w:rPr>
                        <w:t>本项目所在地</w:t>
                      </w:r>
                    </w:p>
                  </w:txbxContent>
                </v:textbox>
              </v:shape>
            </w:pict>
          </mc:Fallback>
        </mc:AlternateContent>
      </w:r>
      <w:r>
        <w:rPr>
          <w:color w:val="auto"/>
          <w:sz w:val="24"/>
        </w:rPr>
        <mc:AlternateContent>
          <mc:Choice Requires="wps">
            <w:drawing>
              <wp:anchor distT="0" distB="0" distL="114300" distR="114300" simplePos="0" relativeHeight="251664384" behindDoc="0" locked="0" layoutInCell="1" allowOverlap="1">
                <wp:simplePos x="0" y="0"/>
                <wp:positionH relativeFrom="column">
                  <wp:posOffset>2306955</wp:posOffset>
                </wp:positionH>
                <wp:positionV relativeFrom="paragraph">
                  <wp:posOffset>1766570</wp:posOffset>
                </wp:positionV>
                <wp:extent cx="76200" cy="76200"/>
                <wp:effectExtent l="13970" t="15875" r="24130" b="22225"/>
                <wp:wrapNone/>
                <wp:docPr id="60" name="自选图形 118"/>
                <wp:cNvGraphicFramePr/>
                <a:graphic xmlns:a="http://schemas.openxmlformats.org/drawingml/2006/main">
                  <a:graphicData uri="http://schemas.microsoft.com/office/word/2010/wordprocessingShape">
                    <wps:wsp>
                      <wps:cNvSpPr/>
                      <wps:spPr>
                        <a:xfrm>
                          <a:off x="0" y="0"/>
                          <a:ext cx="76200" cy="76200"/>
                        </a:xfrm>
                        <a:prstGeom prst="star5">
                          <a:avLst/>
                        </a:prstGeom>
                        <a:solidFill>
                          <a:srgbClr val="FF0000"/>
                        </a:solidFill>
                        <a:ln w="6350" cap="flat" cmpd="sng">
                          <a:solidFill>
                            <a:srgbClr val="FF0000"/>
                          </a:solidFill>
                          <a:prstDash val="solid"/>
                          <a:miter/>
                          <a:headEnd type="none" w="med" len="med"/>
                          <a:tailEnd type="none" w="med" len="med"/>
                        </a:ln>
                        <a:effectLst/>
                      </wps:spPr>
                      <wps:bodyPr upright="1"/>
                    </wps:wsp>
                  </a:graphicData>
                </a:graphic>
              </wp:anchor>
            </w:drawing>
          </mc:Choice>
          <mc:Fallback>
            <w:pict>
              <v:shape id="自选图形 118" o:spid="_x0000_s1026" style="position:absolute;left:0pt;margin-left:181.65pt;margin-top:139.1pt;height:6pt;width:6pt;z-index:251664384;mso-width-relative:page;mso-height-relative:page;" fillcolor="#FF0000" filled="t" stroked="t" coordsize="76200,76200" o:gfxdata="UEsDBAoAAAAAAIdO4kAAAAAAAAAAAAAAAAAEAAAAZHJzL1BLAwQUAAAACACHTuJABFD0qtsAAAAL&#10;AQAADwAAAGRycy9kb3ducmV2LnhtbE2PwU7DMAyG70i8Q2QkbixZK9qtNN0BqYC4oI1JaLesydqO&#10;xqmatN3eHnOCo39/+v0531xsxyYz+NahhOVCADNYOd1iLWH/WT6sgPmgUKvOoZFwNR42xe1NrjLt&#10;ZtyaaRdqRiXoMyWhCaHPOPdVY6zyC9cbpN3JDVYFGoea60HNVG47HgmRcKtapAuN6s1zY6rv3Wgl&#10;6PpaivM47w/r9/Lwkrx+vKVfk5T3d0vxBCyYS/iD4Vef1KEgp6MbUXvWSYiTOCZUQpSuImBExOkj&#10;JUdK1iICXuT8/w/FD1BLAwQUAAAACACHTuJAMAHQAgQCAAAzBAAADgAAAGRycy9lMm9Eb2MueG1s&#10;rVO9jhMxEO6ReAfLPdnk0IXTKpsrCKFBcNLBAzj27K4l/8njZJOODvEMdJS8A7zNSfAWjL0h3B1N&#10;Crbwztjjb+b7Zry43lvDdhBRe9fw2WTKGTjplXZdwz+8Xz+74gyTcEoY76DhB0B+vXz6ZDGEGi58&#10;742CyAjEYT2EhvcphbqqUPZgBU58AEeHrY9WJHJjV6koBkK3prqYTufV4KMK0UtApN3VeMiPiPEc&#10;QN+2WsLKy60Fl0bUCEYkooS9DsiXpdq2BZnetS1CYqbhxDSVlZKQvclrtVyIuosi9FoeSxDnlPCI&#10;kxXaUdIT1EokwbZR/wNltYwefZsm0ttqJFIUIRaz6SNtbnsRoHAhqTGcRMf/Byvf7m4i06rhc5LE&#10;CUsd//np26+Pn+++/Lj7/pXNZldZpCFgTbG34SYePSQzM9630eY/cWH7IuzhJCzsE5O0+WJOnedM&#10;0sloEkb192qImF6DtywbDafpi5dFTbF7g2mM/ROTU6E3Wq21McWJ3ealiWwnqMXr9ZS+XDDBPwgz&#10;jg1E8vllrkPQ3LY0L2TaQNzRdSXfgxt4HnAubCWwHwsoCONUWZ0giyXqHoR65RRLh0DyOnpWPBdj&#10;QXFmgF5htkpkEtqcE0nsjMvQUGb8qFJu0tiWbG28OlBvtyHqridZZ0WWfEKzVAQ6zn0e1vs+2fff&#10;+vI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BFD0qtsAAAALAQAADwAAAAAAAAABACAAAAAiAAAA&#10;ZHJzL2Rvd25yZXYueG1sUEsBAhQAFAAAAAgAh07iQDAB0AIEAgAAMwQAAA4AAAAAAAAAAQAgAAAA&#10;KgEAAGRycy9lMm9Eb2MueG1sUEsFBgAAAAAGAAYAWQEAAKAFAAAAAA==&#10;" path="m0,29105l29105,29105,38100,0,47094,29105,76199,29105,52652,47093,61647,76199,38100,58211,14552,76199,23547,47093xe">
                <v:path o:connectlocs="38100,0;0,29105;14552,76199;61647,76199;76199,29105" o:connectangles="247,164,82,82,0"/>
                <v:fill on="t" focussize="0,0"/>
                <v:stroke weight="0.5pt" color="#FF0000" joinstyle="miter"/>
                <v:imagedata o:title=""/>
                <o:lock v:ext="edit" aspectratio="f"/>
              </v:shape>
            </w:pict>
          </mc:Fallback>
        </mc:AlternateContent>
      </w:r>
      <w:r>
        <w:rPr>
          <w:rFonts w:eastAsia="仿宋_GB2312"/>
          <w:color w:val="auto"/>
          <w:sz w:val="28"/>
          <w:szCs w:val="28"/>
        </w:rPr>
        <w:drawing>
          <wp:inline distT="0" distB="0" distL="0" distR="0">
            <wp:extent cx="5620385" cy="4789805"/>
            <wp:effectExtent l="0" t="0" r="18415" b="10795"/>
            <wp:docPr id="72" name="图片 3" descr="鸡西市中心城区声环境功能区划分示意图20200805（去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 descr="鸡西市中心城区声环境功能区划分示意图20200805（去示意图）"/>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620385" cy="4789805"/>
                    </a:xfrm>
                    <a:prstGeom prst="rect">
                      <a:avLst/>
                    </a:prstGeom>
                    <a:noFill/>
                    <a:ln>
                      <a:noFill/>
                    </a:ln>
                  </pic:spPr>
                </pic:pic>
              </a:graphicData>
            </a:graphic>
          </wp:inline>
        </w:drawing>
      </w:r>
    </w:p>
    <w:p w14:paraId="235B877B">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right="0" w:rightChars="0"/>
        <w:jc w:val="center"/>
        <w:textAlignment w:val="auto"/>
        <w:outlineLvl w:val="0"/>
        <w:rPr>
          <w:rFonts w:hint="default" w:ascii="宋体" w:hAnsi="Times New Roman" w:eastAsia="宋体" w:cs="宋体"/>
          <w:b/>
          <w:color w:val="auto"/>
          <w:kern w:val="0"/>
          <w:sz w:val="21"/>
          <w:szCs w:val="21"/>
          <w:lang w:val="en-US" w:eastAsia="zh-CN" w:bidi="ar-SA"/>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p>
    <w:p w14:paraId="585D35BF">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textAlignment w:val="auto"/>
        <w:outlineLvl w:val="0"/>
        <w:rPr>
          <w:rFonts w:hint="eastAsia" w:asciiTheme="minorEastAsia" w:hAnsiTheme="minorEastAsia" w:eastAsiaTheme="minorEastAsia" w:cstheme="minorEastAsia"/>
          <w:snapToGrid w:val="0"/>
          <w:color w:val="auto"/>
          <w:sz w:val="32"/>
          <w:szCs w:val="32"/>
          <w:highlight w:val="none"/>
          <w:lang w:val="en-US" w:eastAsia="zh-CN"/>
        </w:rPr>
      </w:pPr>
      <w:bookmarkStart w:id="35" w:name="_Toc32505"/>
      <w:r>
        <w:rPr>
          <w:rFonts w:hint="eastAsia" w:asciiTheme="minorEastAsia" w:hAnsiTheme="minorEastAsia" w:eastAsiaTheme="minorEastAsia" w:cstheme="minorEastAsia"/>
          <w:snapToGrid w:val="0"/>
          <w:color w:val="auto"/>
          <w:sz w:val="32"/>
          <w:szCs w:val="32"/>
          <w:highlight w:val="none"/>
          <w:lang w:eastAsia="zh-CN"/>
        </w:rPr>
        <w:t>附图</w:t>
      </w:r>
      <w:r>
        <w:rPr>
          <w:rFonts w:hint="eastAsia" w:asciiTheme="minorEastAsia" w:hAnsiTheme="minorEastAsia" w:eastAsiaTheme="minorEastAsia" w:cstheme="minorEastAsia"/>
          <w:snapToGrid w:val="0"/>
          <w:color w:val="auto"/>
          <w:sz w:val="32"/>
          <w:szCs w:val="32"/>
          <w:highlight w:val="none"/>
          <w:lang w:val="en-US" w:eastAsia="zh-CN"/>
        </w:rPr>
        <w:t>6：项目四周图片</w:t>
      </w:r>
      <w:bookmarkEnd w:id="35"/>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6AE2A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2C40F899">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heme="minorEastAsia" w:hAnsiTheme="minorEastAsia" w:eastAsiaTheme="minorEastAsia" w:cstheme="minorEastAsia"/>
                <w:snapToGrid w:val="0"/>
                <w:color w:val="auto"/>
                <w:kern w:val="0"/>
                <w:sz w:val="24"/>
                <w:szCs w:val="24"/>
                <w:highlight w:val="none"/>
                <w:vertAlign w:val="baseline"/>
                <w:lang w:val="en-US" w:eastAsia="zh-CN"/>
              </w:rPr>
            </w:pPr>
            <w:r>
              <w:rPr>
                <w:rFonts w:hint="default" w:asciiTheme="minorEastAsia" w:hAnsiTheme="minorEastAsia" w:eastAsiaTheme="minorEastAsia" w:cstheme="minorEastAsia"/>
                <w:snapToGrid w:val="0"/>
                <w:color w:val="auto"/>
                <w:kern w:val="0"/>
                <w:sz w:val="24"/>
                <w:szCs w:val="24"/>
                <w:highlight w:val="none"/>
                <w:vertAlign w:val="baseline"/>
                <w:lang w:val="en-US" w:eastAsia="zh-CN"/>
              </w:rPr>
              <w:drawing>
                <wp:inline distT="0" distB="0" distL="114300" distR="114300">
                  <wp:extent cx="2528570" cy="1896745"/>
                  <wp:effectExtent l="0" t="0" r="5080" b="8255"/>
                  <wp:docPr id="184" name="图片 184" descr="东2 梁家停车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东2 梁家停车场"/>
                          <pic:cNvPicPr>
                            <a:picLocks noChangeAspect="1"/>
                          </pic:cNvPicPr>
                        </pic:nvPicPr>
                        <pic:blipFill>
                          <a:blip r:embed="rId30"/>
                          <a:stretch>
                            <a:fillRect/>
                          </a:stretch>
                        </pic:blipFill>
                        <pic:spPr>
                          <a:xfrm>
                            <a:off x="0" y="0"/>
                            <a:ext cx="2528570" cy="1896745"/>
                          </a:xfrm>
                          <a:prstGeom prst="rect">
                            <a:avLst/>
                          </a:prstGeom>
                        </pic:spPr>
                      </pic:pic>
                    </a:graphicData>
                  </a:graphic>
                </wp:inline>
              </w:drawing>
            </w:r>
          </w:p>
        </w:tc>
        <w:tc>
          <w:tcPr>
            <w:tcW w:w="4261" w:type="dxa"/>
          </w:tcPr>
          <w:p w14:paraId="4EA0795E">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heme="minorEastAsia" w:hAnsiTheme="minorEastAsia" w:eastAsiaTheme="minorEastAsia" w:cstheme="minorEastAsia"/>
                <w:snapToGrid w:val="0"/>
                <w:color w:val="auto"/>
                <w:kern w:val="0"/>
                <w:sz w:val="24"/>
                <w:szCs w:val="24"/>
                <w:highlight w:val="none"/>
                <w:vertAlign w:val="baseline"/>
                <w:lang w:val="en-US" w:eastAsia="zh-CN"/>
              </w:rPr>
            </w:pPr>
            <w:r>
              <w:rPr>
                <w:rFonts w:hint="default" w:asciiTheme="minorEastAsia" w:hAnsiTheme="minorEastAsia" w:eastAsiaTheme="minorEastAsia" w:cstheme="minorEastAsia"/>
                <w:snapToGrid w:val="0"/>
                <w:color w:val="auto"/>
                <w:kern w:val="0"/>
                <w:sz w:val="24"/>
                <w:szCs w:val="24"/>
                <w:highlight w:val="none"/>
                <w:vertAlign w:val="baseline"/>
                <w:lang w:val="en-US" w:eastAsia="zh-CN"/>
              </w:rPr>
              <w:drawing>
                <wp:inline distT="0" distB="0" distL="114300" distR="114300">
                  <wp:extent cx="2548255" cy="1911350"/>
                  <wp:effectExtent l="0" t="0" r="4445" b="12700"/>
                  <wp:docPr id="183" name="图片 183" descr="南 塑料压块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南 塑料压块厂"/>
                          <pic:cNvPicPr>
                            <a:picLocks noChangeAspect="1"/>
                          </pic:cNvPicPr>
                        </pic:nvPicPr>
                        <pic:blipFill>
                          <a:blip r:embed="rId31"/>
                          <a:stretch>
                            <a:fillRect/>
                          </a:stretch>
                        </pic:blipFill>
                        <pic:spPr>
                          <a:xfrm>
                            <a:off x="0" y="0"/>
                            <a:ext cx="2548255" cy="1911350"/>
                          </a:xfrm>
                          <a:prstGeom prst="rect">
                            <a:avLst/>
                          </a:prstGeom>
                        </pic:spPr>
                      </pic:pic>
                    </a:graphicData>
                  </a:graphic>
                </wp:inline>
              </w:drawing>
            </w:r>
          </w:p>
        </w:tc>
      </w:tr>
      <w:tr w14:paraId="4168BA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27B66C44">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heme="minorEastAsia" w:hAnsiTheme="minorEastAsia" w:eastAsiaTheme="minorEastAsia" w:cstheme="minorEastAsia"/>
                <w:snapToGrid w:val="0"/>
                <w:color w:val="auto"/>
                <w:kern w:val="0"/>
                <w:sz w:val="24"/>
                <w:szCs w:val="24"/>
                <w:highlight w:val="none"/>
                <w:vertAlign w:val="baseline"/>
                <w:lang w:val="en-US" w:eastAsia="zh-CN"/>
              </w:rPr>
            </w:pPr>
            <w:r>
              <w:rPr>
                <w:rFonts w:hint="eastAsia" w:cs="Times New Roman"/>
                <w:color w:val="auto"/>
                <w:sz w:val="24"/>
                <w:szCs w:val="24"/>
                <w:highlight w:val="none"/>
                <w:lang w:eastAsia="zh-CN"/>
              </w:rPr>
              <w:t>厂区东侧为</w:t>
            </w:r>
            <w:r>
              <w:rPr>
                <w:rFonts w:hint="eastAsia" w:cs="Times New Roman"/>
                <w:color w:val="auto"/>
                <w:sz w:val="24"/>
                <w:szCs w:val="24"/>
                <w:highlight w:val="none"/>
                <w:lang w:val="en-US" w:eastAsia="zh-CN"/>
              </w:rPr>
              <w:t>梁家停车场</w:t>
            </w:r>
          </w:p>
        </w:tc>
        <w:tc>
          <w:tcPr>
            <w:tcW w:w="4261" w:type="dxa"/>
          </w:tcPr>
          <w:p w14:paraId="57BDB5F9">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heme="minorEastAsia" w:hAnsiTheme="minorEastAsia" w:eastAsiaTheme="minorEastAsia" w:cstheme="minorEastAsia"/>
                <w:snapToGrid w:val="0"/>
                <w:color w:val="auto"/>
                <w:kern w:val="0"/>
                <w:sz w:val="24"/>
                <w:szCs w:val="24"/>
                <w:highlight w:val="none"/>
                <w:vertAlign w:val="baseline"/>
                <w:lang w:val="en-US" w:eastAsia="zh-CN"/>
              </w:rPr>
            </w:pPr>
            <w:r>
              <w:rPr>
                <w:rFonts w:hint="eastAsia" w:cs="Times New Roman"/>
                <w:color w:val="auto"/>
                <w:sz w:val="24"/>
                <w:szCs w:val="24"/>
                <w:highlight w:val="none"/>
                <w:lang w:eastAsia="zh-CN"/>
              </w:rPr>
              <w:t>厂区南侧为</w:t>
            </w:r>
            <w:r>
              <w:rPr>
                <w:rFonts w:hint="eastAsia" w:cs="Times New Roman"/>
                <w:color w:val="auto"/>
                <w:sz w:val="24"/>
                <w:szCs w:val="24"/>
                <w:highlight w:val="none"/>
                <w:lang w:val="en-US" w:eastAsia="zh-CN"/>
              </w:rPr>
              <w:t>废铁回收站</w:t>
            </w:r>
          </w:p>
        </w:tc>
      </w:tr>
      <w:tr w14:paraId="414D9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8BEB397">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heme="minorEastAsia" w:hAnsiTheme="minorEastAsia" w:eastAsiaTheme="minorEastAsia" w:cstheme="minorEastAsia"/>
                <w:snapToGrid w:val="0"/>
                <w:color w:val="auto"/>
                <w:kern w:val="0"/>
                <w:sz w:val="24"/>
                <w:szCs w:val="24"/>
                <w:highlight w:val="none"/>
                <w:vertAlign w:val="baseline"/>
                <w:lang w:val="en-US" w:eastAsia="zh-CN"/>
              </w:rPr>
            </w:pPr>
            <w:r>
              <w:rPr>
                <w:rFonts w:hint="default" w:asciiTheme="minorEastAsia" w:hAnsiTheme="minorEastAsia" w:eastAsiaTheme="minorEastAsia" w:cstheme="minorEastAsia"/>
                <w:snapToGrid w:val="0"/>
                <w:color w:val="auto"/>
                <w:kern w:val="0"/>
                <w:sz w:val="24"/>
                <w:szCs w:val="24"/>
                <w:highlight w:val="none"/>
                <w:vertAlign w:val="baseline"/>
                <w:lang w:val="en-US" w:eastAsia="zh-CN"/>
              </w:rPr>
              <w:drawing>
                <wp:inline distT="0" distB="0" distL="114300" distR="114300">
                  <wp:extent cx="2548255" cy="1911350"/>
                  <wp:effectExtent l="0" t="0" r="4445" b="12700"/>
                  <wp:docPr id="185" name="图片 185" descr="西 地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西 地秤"/>
                          <pic:cNvPicPr>
                            <a:picLocks noChangeAspect="1"/>
                          </pic:cNvPicPr>
                        </pic:nvPicPr>
                        <pic:blipFill>
                          <a:blip r:embed="rId32"/>
                          <a:stretch>
                            <a:fillRect/>
                          </a:stretch>
                        </pic:blipFill>
                        <pic:spPr>
                          <a:xfrm>
                            <a:off x="0" y="0"/>
                            <a:ext cx="2548255" cy="1911350"/>
                          </a:xfrm>
                          <a:prstGeom prst="rect">
                            <a:avLst/>
                          </a:prstGeom>
                        </pic:spPr>
                      </pic:pic>
                    </a:graphicData>
                  </a:graphic>
                </wp:inline>
              </w:drawing>
            </w:r>
          </w:p>
        </w:tc>
        <w:tc>
          <w:tcPr>
            <w:tcW w:w="4261" w:type="dxa"/>
          </w:tcPr>
          <w:p w14:paraId="7EBAD5B3">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heme="minorEastAsia" w:hAnsiTheme="minorEastAsia" w:eastAsiaTheme="minorEastAsia" w:cstheme="minorEastAsia"/>
                <w:snapToGrid w:val="0"/>
                <w:color w:val="auto"/>
                <w:kern w:val="0"/>
                <w:sz w:val="24"/>
                <w:szCs w:val="24"/>
                <w:highlight w:val="none"/>
                <w:vertAlign w:val="baseline"/>
                <w:lang w:val="en-US" w:eastAsia="zh-CN"/>
              </w:rPr>
            </w:pPr>
            <w:r>
              <w:rPr>
                <w:rFonts w:hint="default" w:asciiTheme="minorEastAsia" w:hAnsiTheme="minorEastAsia" w:eastAsiaTheme="minorEastAsia" w:cstheme="minorEastAsia"/>
                <w:snapToGrid w:val="0"/>
                <w:color w:val="auto"/>
                <w:kern w:val="0"/>
                <w:sz w:val="24"/>
                <w:szCs w:val="24"/>
                <w:highlight w:val="none"/>
                <w:vertAlign w:val="baseline"/>
                <w:lang w:val="en-US" w:eastAsia="zh-CN"/>
              </w:rPr>
              <w:drawing>
                <wp:inline distT="0" distB="0" distL="114300" distR="114300">
                  <wp:extent cx="2548255" cy="1911350"/>
                  <wp:effectExtent l="0" t="0" r="4445" b="12700"/>
                  <wp:docPr id="181" name="图片 181" descr="北 隔路民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北 隔路民房"/>
                          <pic:cNvPicPr>
                            <a:picLocks noChangeAspect="1"/>
                          </pic:cNvPicPr>
                        </pic:nvPicPr>
                        <pic:blipFill>
                          <a:blip r:embed="rId33"/>
                          <a:stretch>
                            <a:fillRect/>
                          </a:stretch>
                        </pic:blipFill>
                        <pic:spPr>
                          <a:xfrm>
                            <a:off x="0" y="0"/>
                            <a:ext cx="2548255" cy="1911350"/>
                          </a:xfrm>
                          <a:prstGeom prst="rect">
                            <a:avLst/>
                          </a:prstGeom>
                        </pic:spPr>
                      </pic:pic>
                    </a:graphicData>
                  </a:graphic>
                </wp:inline>
              </w:drawing>
            </w:r>
          </w:p>
        </w:tc>
      </w:tr>
      <w:tr w14:paraId="451884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05FA4C4E">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heme="minorEastAsia" w:hAnsiTheme="minorEastAsia" w:eastAsiaTheme="minorEastAsia" w:cstheme="minorEastAsia"/>
                <w:snapToGrid w:val="0"/>
                <w:color w:val="auto"/>
                <w:kern w:val="0"/>
                <w:sz w:val="24"/>
                <w:szCs w:val="24"/>
                <w:highlight w:val="none"/>
                <w:vertAlign w:val="baseline"/>
                <w:lang w:val="en-US" w:eastAsia="zh-CN"/>
              </w:rPr>
            </w:pPr>
            <w:r>
              <w:rPr>
                <w:rFonts w:hint="eastAsia" w:cs="Times New Roman"/>
                <w:color w:val="auto"/>
                <w:sz w:val="24"/>
                <w:szCs w:val="24"/>
                <w:highlight w:val="none"/>
                <w:lang w:eastAsia="zh-CN"/>
              </w:rPr>
              <w:t>厂区</w:t>
            </w:r>
            <w:r>
              <w:rPr>
                <w:rFonts w:hint="eastAsia" w:cs="Times New Roman"/>
                <w:color w:val="auto"/>
                <w:sz w:val="24"/>
                <w:szCs w:val="24"/>
                <w:highlight w:val="none"/>
                <w:lang w:val="en-US" w:eastAsia="zh-CN"/>
              </w:rPr>
              <w:t>西侧为民房</w:t>
            </w:r>
          </w:p>
        </w:tc>
        <w:tc>
          <w:tcPr>
            <w:tcW w:w="4261" w:type="dxa"/>
          </w:tcPr>
          <w:p w14:paraId="4E182763">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heme="minorEastAsia" w:hAnsiTheme="minorEastAsia" w:eastAsiaTheme="minorEastAsia" w:cstheme="minorEastAsia"/>
                <w:snapToGrid w:val="0"/>
                <w:color w:val="auto"/>
                <w:kern w:val="0"/>
                <w:sz w:val="24"/>
                <w:szCs w:val="24"/>
                <w:highlight w:val="none"/>
                <w:vertAlign w:val="baseline"/>
                <w:lang w:val="en-US" w:eastAsia="zh-CN"/>
              </w:rPr>
            </w:pPr>
            <w:r>
              <w:rPr>
                <w:rFonts w:hint="eastAsia" w:asciiTheme="minorEastAsia" w:hAnsiTheme="minorEastAsia" w:eastAsiaTheme="minorEastAsia" w:cstheme="minorEastAsia"/>
                <w:snapToGrid w:val="0"/>
                <w:color w:val="auto"/>
                <w:kern w:val="0"/>
                <w:sz w:val="24"/>
                <w:szCs w:val="24"/>
                <w:highlight w:val="none"/>
                <w:vertAlign w:val="baseline"/>
                <w:lang w:val="en-US" w:eastAsia="zh-CN"/>
              </w:rPr>
              <w:t>厂区北侧隔道为民房</w:t>
            </w:r>
          </w:p>
        </w:tc>
      </w:tr>
    </w:tbl>
    <w:p w14:paraId="2C864995">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textAlignment w:val="auto"/>
        <w:outlineLvl w:val="9"/>
        <w:rPr>
          <w:rFonts w:hint="default" w:asciiTheme="minorEastAsia" w:hAnsiTheme="minorEastAsia" w:eastAsiaTheme="minorEastAsia" w:cstheme="minorEastAsia"/>
          <w:snapToGrid w:val="0"/>
          <w:color w:val="auto"/>
          <w:kern w:val="0"/>
          <w:sz w:val="24"/>
          <w:szCs w:val="24"/>
          <w:highlight w:val="none"/>
          <w:lang w:val="en-US" w:eastAsia="zh-CN"/>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p>
    <w:p w14:paraId="5F22547E">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jc w:val="both"/>
        <w:textAlignment w:val="auto"/>
        <w:outlineLvl w:val="0"/>
        <w:rPr>
          <w:rFonts w:hint="eastAsia" w:asciiTheme="minorEastAsia" w:hAnsiTheme="minorEastAsia" w:eastAsiaTheme="minorEastAsia" w:cstheme="minorEastAsia"/>
          <w:snapToGrid w:val="0"/>
          <w:color w:val="auto"/>
          <w:sz w:val="32"/>
          <w:szCs w:val="32"/>
          <w:lang w:val="en-US" w:eastAsia="zh-CN"/>
        </w:rPr>
      </w:pPr>
      <w:bookmarkStart w:id="36" w:name="_Toc17086"/>
      <w:r>
        <w:rPr>
          <w:rFonts w:hint="eastAsia" w:asciiTheme="minorEastAsia" w:hAnsiTheme="minorEastAsia" w:eastAsiaTheme="minorEastAsia" w:cstheme="minorEastAsia"/>
          <w:snapToGrid w:val="0"/>
          <w:color w:val="auto"/>
          <w:sz w:val="32"/>
          <w:szCs w:val="32"/>
        </w:rPr>
        <w:t>附件</w:t>
      </w:r>
      <w:bookmarkEnd w:id="36"/>
      <w:r>
        <w:rPr>
          <w:rFonts w:hint="eastAsia" w:asciiTheme="minorEastAsia" w:hAnsiTheme="minorEastAsia" w:eastAsiaTheme="minorEastAsia" w:cstheme="minorEastAsia"/>
          <w:snapToGrid w:val="0"/>
          <w:color w:val="auto"/>
          <w:sz w:val="32"/>
          <w:szCs w:val="32"/>
          <w:lang w:val="en-US" w:eastAsia="zh-CN"/>
        </w:rPr>
        <w:t>1</w:t>
      </w:r>
      <w:r>
        <w:rPr>
          <w:rFonts w:hint="eastAsia" w:asciiTheme="minorEastAsia" w:hAnsiTheme="minorEastAsia" w:eastAsiaTheme="minorEastAsia" w:cstheme="minorEastAsia"/>
          <w:snapToGrid w:val="0"/>
          <w:color w:val="auto"/>
          <w:sz w:val="32"/>
          <w:szCs w:val="32"/>
          <w:lang w:eastAsia="zh-CN"/>
        </w:rPr>
        <w:t>：</w:t>
      </w:r>
      <w:r>
        <w:rPr>
          <w:rFonts w:hint="eastAsia" w:asciiTheme="minorEastAsia" w:hAnsiTheme="minorEastAsia" w:eastAsiaTheme="minorEastAsia" w:cstheme="minorEastAsia"/>
          <w:snapToGrid w:val="0"/>
          <w:color w:val="auto"/>
          <w:sz w:val="32"/>
          <w:szCs w:val="32"/>
          <w:lang w:val="en-US" w:eastAsia="zh-CN"/>
        </w:rPr>
        <w:t>营业执照</w:t>
      </w:r>
    </w:p>
    <w:p w14:paraId="4235D190">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jc w:val="center"/>
        <w:textAlignment w:val="auto"/>
        <w:outlineLvl w:val="9"/>
        <w:rPr>
          <w:rFonts w:hint="eastAsia" w:asciiTheme="minorEastAsia" w:hAnsiTheme="minorEastAsia" w:eastAsiaTheme="minorEastAsia" w:cstheme="minorEastAsia"/>
          <w:color w:val="auto"/>
          <w:sz w:val="24"/>
          <w:lang w:eastAsia="zh-CN"/>
        </w:rPr>
      </w:pPr>
      <w:r>
        <w:rPr>
          <w:rFonts w:hint="eastAsia" w:asciiTheme="minorEastAsia" w:hAnsiTheme="minorEastAsia" w:eastAsiaTheme="minorEastAsia" w:cstheme="minorEastAsia"/>
          <w:color w:val="auto"/>
          <w:sz w:val="24"/>
          <w:lang w:eastAsia="zh-CN"/>
        </w:rPr>
        <w:drawing>
          <wp:inline distT="0" distB="0" distL="114300" distR="114300">
            <wp:extent cx="4817110" cy="7002780"/>
            <wp:effectExtent l="0" t="0" r="7620" b="2540"/>
            <wp:docPr id="27" name="图片 27"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营业执照"/>
                    <pic:cNvPicPr>
                      <a:picLocks noChangeAspect="1"/>
                    </pic:cNvPicPr>
                  </pic:nvPicPr>
                  <pic:blipFill>
                    <a:blip r:embed="rId34"/>
                    <a:srcRect l="10974" t="20023" r="5108" b="10597"/>
                    <a:stretch>
                      <a:fillRect/>
                    </a:stretch>
                  </pic:blipFill>
                  <pic:spPr>
                    <a:xfrm rot="16200000">
                      <a:off x="0" y="0"/>
                      <a:ext cx="4817110" cy="7002780"/>
                    </a:xfrm>
                    <a:prstGeom prst="rect">
                      <a:avLst/>
                    </a:prstGeom>
                  </pic:spPr>
                </pic:pic>
              </a:graphicData>
            </a:graphic>
          </wp:inline>
        </w:drawing>
      </w:r>
    </w:p>
    <w:p w14:paraId="180D3AE9">
      <w:pPr>
        <w:keepLines w:val="0"/>
        <w:pageBreakBefore w:val="0"/>
        <w:topLinePunct w:val="0"/>
        <w:bidi w:val="0"/>
        <w:spacing w:beforeAutospacing="0" w:afterAutospacing="0" w:line="360" w:lineRule="auto"/>
        <w:ind w:right="0" w:rightChars="0"/>
        <w:jc w:val="both"/>
        <w:rPr>
          <w:rFonts w:hint="eastAsia"/>
          <w:color w:val="auto"/>
          <w:lang w:eastAsia="zh-CN"/>
        </w:rPr>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decimal"/>
          <w:cols w:space="425" w:num="1"/>
          <w:docGrid w:linePitch="312" w:charSpace="0"/>
        </w:sectPr>
      </w:pPr>
    </w:p>
    <w:p w14:paraId="3DC65CFE">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textAlignment w:val="auto"/>
        <w:outlineLvl w:val="0"/>
        <w:rPr>
          <w:rFonts w:hint="eastAsia" w:asciiTheme="minorEastAsia" w:hAnsiTheme="minorEastAsia" w:eastAsiaTheme="minorEastAsia" w:cstheme="minorEastAsia"/>
          <w:snapToGrid w:val="0"/>
          <w:color w:val="auto"/>
          <w:sz w:val="32"/>
          <w:szCs w:val="32"/>
          <w:lang w:val="en-US" w:eastAsia="zh-CN"/>
        </w:rPr>
      </w:pPr>
      <w:bookmarkStart w:id="37" w:name="_Toc18228"/>
      <w:r>
        <w:rPr>
          <w:rFonts w:hint="eastAsia" w:asciiTheme="minorEastAsia" w:hAnsiTheme="minorEastAsia" w:eastAsiaTheme="minorEastAsia" w:cstheme="minorEastAsia"/>
          <w:snapToGrid w:val="0"/>
          <w:color w:val="auto"/>
          <w:sz w:val="32"/>
          <w:szCs w:val="32"/>
        </w:rPr>
        <w:t>附件</w:t>
      </w:r>
      <w:r>
        <w:rPr>
          <w:rFonts w:hint="eastAsia" w:asciiTheme="minorEastAsia" w:hAnsiTheme="minorEastAsia" w:eastAsiaTheme="minorEastAsia" w:cstheme="minorEastAsia"/>
          <w:snapToGrid w:val="0"/>
          <w:color w:val="auto"/>
          <w:sz w:val="32"/>
          <w:szCs w:val="32"/>
          <w:lang w:val="en-US" w:eastAsia="zh-CN"/>
        </w:rPr>
        <w:t>2：土地证</w:t>
      </w:r>
    </w:p>
    <w:p w14:paraId="60F31B3F">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textAlignment w:val="auto"/>
        <w:outlineLvl w:val="9"/>
        <w:rPr>
          <w:rFonts w:hint="eastAsia" w:asciiTheme="minorEastAsia" w:hAnsiTheme="minorEastAsia" w:eastAsiaTheme="minorEastAsia" w:cstheme="minorEastAsia"/>
          <w:snapToGrid w:val="0"/>
          <w:color w:val="auto"/>
          <w:sz w:val="32"/>
          <w:szCs w:val="32"/>
          <w:lang w:val="en-US" w:eastAsia="zh-CN"/>
        </w:rPr>
      </w:pPr>
      <w:r>
        <w:rPr>
          <w:rFonts w:hint="eastAsia" w:asciiTheme="minorEastAsia" w:hAnsiTheme="minorEastAsia" w:eastAsiaTheme="minorEastAsia" w:cstheme="minorEastAsia"/>
          <w:snapToGrid w:val="0"/>
          <w:color w:val="auto"/>
          <w:sz w:val="32"/>
          <w:szCs w:val="32"/>
          <w:lang w:val="en-US" w:eastAsia="zh-CN"/>
        </w:rPr>
        <w:drawing>
          <wp:inline distT="0" distB="0" distL="114300" distR="114300">
            <wp:extent cx="5307330" cy="6991350"/>
            <wp:effectExtent l="0" t="0" r="7620" b="0"/>
            <wp:docPr id="46" name="图片 46" descr="0aa03322ccee244fb65c087d38ab1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0aa03322ccee244fb65c087d38ab17c"/>
                    <pic:cNvPicPr>
                      <a:picLocks noChangeAspect="1"/>
                    </pic:cNvPicPr>
                  </pic:nvPicPr>
                  <pic:blipFill>
                    <a:blip r:embed="rId35"/>
                    <a:srcRect t="12949" r="5012" b="16631"/>
                    <a:stretch>
                      <a:fillRect/>
                    </a:stretch>
                  </pic:blipFill>
                  <pic:spPr>
                    <a:xfrm>
                      <a:off x="0" y="0"/>
                      <a:ext cx="5307330" cy="6991350"/>
                    </a:xfrm>
                    <a:prstGeom prst="rect">
                      <a:avLst/>
                    </a:prstGeom>
                  </pic:spPr>
                </pic:pic>
              </a:graphicData>
            </a:graphic>
          </wp:inline>
        </w:drawing>
      </w:r>
    </w:p>
    <w:p w14:paraId="7ADD8D5F">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textAlignment w:val="auto"/>
        <w:outlineLvl w:val="9"/>
        <w:rPr>
          <w:rFonts w:hint="eastAsia" w:asciiTheme="minorEastAsia" w:hAnsiTheme="minorEastAsia" w:eastAsiaTheme="minorEastAsia" w:cstheme="minorEastAsia"/>
          <w:snapToGrid w:val="0"/>
          <w:color w:val="auto"/>
          <w:sz w:val="32"/>
          <w:szCs w:val="32"/>
          <w:lang w:val="en-US" w:eastAsia="zh-CN"/>
        </w:rPr>
      </w:pPr>
      <w:r>
        <w:rPr>
          <w:rFonts w:hint="eastAsia" w:asciiTheme="minorEastAsia" w:hAnsiTheme="minorEastAsia" w:eastAsiaTheme="minorEastAsia" w:cstheme="minorEastAsia"/>
          <w:snapToGrid w:val="0"/>
          <w:color w:val="auto"/>
          <w:sz w:val="32"/>
          <w:szCs w:val="32"/>
          <w:lang w:val="en-US" w:eastAsia="zh-CN"/>
        </w:rPr>
        <w:drawing>
          <wp:inline distT="0" distB="0" distL="114300" distR="114300">
            <wp:extent cx="5276850" cy="3853180"/>
            <wp:effectExtent l="0" t="0" r="0" b="13970"/>
            <wp:docPr id="45" name="图片 45" descr="09e6028a13a7c76743529db62a862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09e6028a13a7c76743529db62a8628d"/>
                    <pic:cNvPicPr>
                      <a:picLocks noChangeAspect="1"/>
                    </pic:cNvPicPr>
                  </pic:nvPicPr>
                  <pic:blipFill>
                    <a:blip r:embed="rId36"/>
                    <a:srcRect l="7515" r="15404"/>
                    <a:stretch>
                      <a:fillRect/>
                    </a:stretch>
                  </pic:blipFill>
                  <pic:spPr>
                    <a:xfrm>
                      <a:off x="0" y="0"/>
                      <a:ext cx="5276850" cy="3853180"/>
                    </a:xfrm>
                    <a:prstGeom prst="rect">
                      <a:avLst/>
                    </a:prstGeom>
                  </pic:spPr>
                </pic:pic>
              </a:graphicData>
            </a:graphic>
          </wp:inline>
        </w:drawing>
      </w:r>
    </w:p>
    <w:p w14:paraId="79984706">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textAlignment w:val="auto"/>
        <w:outlineLvl w:val="9"/>
        <w:rPr>
          <w:rFonts w:hint="eastAsia" w:asciiTheme="minorEastAsia" w:hAnsiTheme="minorEastAsia" w:eastAsiaTheme="minorEastAsia" w:cstheme="minorEastAsia"/>
          <w:snapToGrid w:val="0"/>
          <w:color w:val="auto"/>
          <w:sz w:val="32"/>
          <w:szCs w:val="32"/>
          <w:lang w:val="en-US" w:eastAsia="zh-CN"/>
        </w:rPr>
      </w:pPr>
      <w:r>
        <w:rPr>
          <w:rFonts w:hint="eastAsia" w:asciiTheme="minorEastAsia" w:hAnsiTheme="minorEastAsia" w:eastAsiaTheme="minorEastAsia" w:cstheme="minorEastAsia"/>
          <w:snapToGrid w:val="0"/>
          <w:color w:val="auto"/>
          <w:sz w:val="32"/>
          <w:szCs w:val="32"/>
          <w:lang w:val="en-US" w:eastAsia="zh-CN"/>
        </w:rPr>
        <w:drawing>
          <wp:inline distT="0" distB="0" distL="114300" distR="114300">
            <wp:extent cx="5267325" cy="3439160"/>
            <wp:effectExtent l="0" t="0" r="9525" b="8890"/>
            <wp:docPr id="49" name="图片 49" descr="6690ff9e8901424e7c96dd48474a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6690ff9e8901424e7c96dd48474a022"/>
                    <pic:cNvPicPr>
                      <a:picLocks noChangeAspect="1"/>
                    </pic:cNvPicPr>
                  </pic:nvPicPr>
                  <pic:blipFill>
                    <a:blip r:embed="rId37"/>
                    <a:srcRect l="6057" r="7599"/>
                    <a:stretch>
                      <a:fillRect/>
                    </a:stretch>
                  </pic:blipFill>
                  <pic:spPr>
                    <a:xfrm>
                      <a:off x="0" y="0"/>
                      <a:ext cx="5267325" cy="3439160"/>
                    </a:xfrm>
                    <a:prstGeom prst="rect">
                      <a:avLst/>
                    </a:prstGeom>
                  </pic:spPr>
                </pic:pic>
              </a:graphicData>
            </a:graphic>
          </wp:inline>
        </w:drawing>
      </w:r>
    </w:p>
    <w:p w14:paraId="1FB9D1DE">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textAlignment w:val="auto"/>
        <w:outlineLvl w:val="9"/>
        <w:rPr>
          <w:rFonts w:hint="default" w:asciiTheme="minorEastAsia" w:hAnsiTheme="minorEastAsia" w:eastAsiaTheme="minorEastAsia" w:cstheme="minorEastAsia"/>
          <w:snapToGrid w:val="0"/>
          <w:color w:val="auto"/>
          <w:sz w:val="32"/>
          <w:szCs w:val="32"/>
          <w:lang w:val="en-US" w:eastAsia="zh-CN"/>
        </w:rPr>
      </w:pPr>
    </w:p>
    <w:p w14:paraId="0D9E8361">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textAlignment w:val="auto"/>
        <w:outlineLvl w:val="9"/>
        <w:rPr>
          <w:rFonts w:hint="eastAsia" w:asciiTheme="minorEastAsia" w:hAnsiTheme="minorEastAsia" w:eastAsiaTheme="minorEastAsia" w:cstheme="minorEastAsia"/>
          <w:snapToGrid w:val="0"/>
          <w:color w:val="auto"/>
          <w:sz w:val="32"/>
          <w:szCs w:val="32"/>
          <w:lang w:eastAsia="zh-CN"/>
        </w:rPr>
      </w:pPr>
    </w:p>
    <w:p w14:paraId="1EDC7752">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textAlignment w:val="auto"/>
        <w:outlineLvl w:val="9"/>
        <w:rPr>
          <w:rFonts w:hint="eastAsia" w:asciiTheme="minorEastAsia" w:hAnsiTheme="minorEastAsia" w:eastAsiaTheme="minorEastAsia" w:cstheme="minorEastAsia"/>
          <w:snapToGrid w:val="0"/>
          <w:color w:val="auto"/>
          <w:sz w:val="32"/>
          <w:szCs w:val="32"/>
          <w:lang w:eastAsia="zh-CN"/>
        </w:rPr>
      </w:pPr>
    </w:p>
    <w:p w14:paraId="34016D5E">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right="0" w:rightChars="0"/>
        <w:textAlignment w:val="auto"/>
        <w:outlineLvl w:val="0"/>
        <w:rPr>
          <w:rFonts w:hint="eastAsia" w:asciiTheme="minorEastAsia" w:hAnsiTheme="minorEastAsia" w:eastAsiaTheme="minorEastAsia" w:cstheme="minorEastAsia"/>
          <w:snapToGrid w:val="0"/>
          <w:color w:val="auto"/>
          <w:sz w:val="32"/>
          <w:szCs w:val="32"/>
        </w:rPr>
        <w:sectPr>
          <w:pgSz w:w="11906" w:h="16838"/>
          <w:pgMar w:top="1440" w:right="1800" w:bottom="1440" w:left="1800" w:header="851" w:footer="850" w:gutter="0"/>
          <w:pgBorders>
            <w:top w:val="none" w:sz="0" w:space="0"/>
            <w:left w:val="none" w:sz="0" w:space="0"/>
            <w:bottom w:val="none" w:sz="0" w:space="0"/>
            <w:right w:val="none" w:sz="0" w:space="0"/>
          </w:pgBorders>
          <w:pgNumType w:fmt="decimal"/>
          <w:cols w:space="425" w:num="1"/>
          <w:docGrid w:linePitch="312" w:charSpace="0"/>
        </w:sectPr>
      </w:pPr>
    </w:p>
    <w:bookmarkEnd w:id="37"/>
    <w:p w14:paraId="59A89051">
      <w:pPr>
        <w:pStyle w:val="29"/>
        <w:keepNext w:val="0"/>
        <w:keepLines w:val="0"/>
        <w:pageBreakBefore w:val="0"/>
        <w:widowControl/>
        <w:kinsoku/>
        <w:wordWrap/>
        <w:overflowPunct/>
        <w:topLinePunct w:val="0"/>
        <w:autoSpaceDE/>
        <w:autoSpaceDN/>
        <w:bidi w:val="0"/>
        <w:adjustRightInd/>
        <w:snapToGrid w:val="0"/>
        <w:spacing w:beforeAutospacing="0" w:after="0" w:afterAutospacing="0" w:line="360" w:lineRule="auto"/>
        <w:ind w:left="0" w:leftChars="0" w:right="0" w:rightChars="0" w:firstLine="0" w:firstLineChars="0"/>
        <w:textAlignment w:val="auto"/>
        <w:outlineLvl w:val="0"/>
        <w:rPr>
          <w:rFonts w:hint="eastAsia" w:asciiTheme="minorEastAsia" w:hAnsiTheme="minorEastAsia" w:eastAsiaTheme="minorEastAsia" w:cstheme="minorEastAsia"/>
          <w:snapToGrid w:val="0"/>
          <w:color w:val="auto"/>
          <w:kern w:val="0"/>
          <w:sz w:val="32"/>
          <w:szCs w:val="32"/>
          <w:highlight w:val="none"/>
          <w:lang w:val="en-US" w:eastAsia="zh-CN" w:bidi="ar-SA"/>
        </w:rPr>
      </w:pPr>
      <w:bookmarkStart w:id="38" w:name="_Toc30519"/>
      <w:r>
        <w:rPr>
          <w:rFonts w:hint="eastAsia" w:asciiTheme="minorEastAsia" w:hAnsiTheme="minorEastAsia" w:eastAsiaTheme="minorEastAsia" w:cstheme="minorEastAsia"/>
          <w:snapToGrid w:val="0"/>
          <w:color w:val="auto"/>
          <w:kern w:val="0"/>
          <w:sz w:val="32"/>
          <w:szCs w:val="32"/>
          <w:highlight w:val="none"/>
          <w:lang w:val="en-US" w:eastAsia="zh-CN" w:bidi="ar-SA"/>
        </w:rPr>
        <w:t>附件3：租赁合同</w:t>
      </w:r>
    </w:p>
    <w:p w14:paraId="5F25621E">
      <w:pPr>
        <w:jc w:val="center"/>
        <w:rPr>
          <w:rFonts w:hint="default"/>
          <w:color w:val="auto"/>
          <w:lang w:val="en-US" w:eastAsia="zh-CN"/>
        </w:rPr>
      </w:pPr>
      <w:r>
        <w:rPr>
          <w:rFonts w:hint="default"/>
          <w:color w:val="auto"/>
          <w:lang w:val="en-US" w:eastAsia="zh-CN"/>
        </w:rPr>
        <w:drawing>
          <wp:inline distT="0" distB="0" distL="114300" distR="114300">
            <wp:extent cx="5372100" cy="7954645"/>
            <wp:effectExtent l="0" t="0" r="0" b="8255"/>
            <wp:docPr id="4" name="图片 4" descr="b7f93700ae20bad04bad64fdec06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b7f93700ae20bad04bad64fdec06337"/>
                    <pic:cNvPicPr>
                      <a:picLocks noChangeAspect="1"/>
                    </pic:cNvPicPr>
                  </pic:nvPicPr>
                  <pic:blipFill>
                    <a:blip r:embed="rId38"/>
                    <a:srcRect l="8610" t="16958" r="7736" b="13367"/>
                    <a:stretch>
                      <a:fillRect/>
                    </a:stretch>
                  </pic:blipFill>
                  <pic:spPr>
                    <a:xfrm>
                      <a:off x="0" y="0"/>
                      <a:ext cx="5372100" cy="7954645"/>
                    </a:xfrm>
                    <a:prstGeom prst="rect">
                      <a:avLst/>
                    </a:prstGeom>
                  </pic:spPr>
                </pic:pic>
              </a:graphicData>
            </a:graphic>
          </wp:inline>
        </w:drawing>
      </w:r>
    </w:p>
    <w:p w14:paraId="3298061F">
      <w:pPr>
        <w:pStyle w:val="29"/>
        <w:keepNext w:val="0"/>
        <w:keepLines w:val="0"/>
        <w:pageBreakBefore w:val="0"/>
        <w:widowControl/>
        <w:kinsoku/>
        <w:wordWrap/>
        <w:overflowPunct/>
        <w:topLinePunct w:val="0"/>
        <w:autoSpaceDE/>
        <w:autoSpaceDN/>
        <w:bidi w:val="0"/>
        <w:adjustRightInd/>
        <w:snapToGrid w:val="0"/>
        <w:spacing w:beforeAutospacing="0" w:after="0" w:afterAutospacing="0" w:line="360" w:lineRule="auto"/>
        <w:ind w:left="0" w:leftChars="0" w:right="0" w:rightChars="0" w:firstLine="0" w:firstLineChars="0"/>
        <w:textAlignment w:val="auto"/>
        <w:outlineLvl w:val="9"/>
        <w:rPr>
          <w:rFonts w:hint="eastAsia" w:asciiTheme="minorEastAsia" w:hAnsiTheme="minorEastAsia" w:eastAsiaTheme="minorEastAsia" w:cstheme="minorEastAsia"/>
          <w:snapToGrid w:val="0"/>
          <w:color w:val="auto"/>
          <w:kern w:val="0"/>
          <w:sz w:val="32"/>
          <w:szCs w:val="32"/>
          <w:highlight w:val="none"/>
          <w:lang w:val="en-US" w:eastAsia="zh-CN" w:bidi="ar-SA"/>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type="lines" w:linePitch="312" w:charSpace="0"/>
        </w:sectPr>
      </w:pPr>
    </w:p>
    <w:p w14:paraId="62003244">
      <w:pPr>
        <w:pStyle w:val="29"/>
        <w:keepNext w:val="0"/>
        <w:keepLines w:val="0"/>
        <w:pageBreakBefore w:val="0"/>
        <w:widowControl/>
        <w:kinsoku/>
        <w:wordWrap/>
        <w:overflowPunct/>
        <w:topLinePunct w:val="0"/>
        <w:autoSpaceDE/>
        <w:autoSpaceDN/>
        <w:bidi w:val="0"/>
        <w:adjustRightInd/>
        <w:snapToGrid w:val="0"/>
        <w:spacing w:beforeAutospacing="0" w:after="0" w:afterAutospacing="0" w:line="360" w:lineRule="auto"/>
        <w:ind w:left="0" w:leftChars="0" w:right="0" w:rightChars="0" w:firstLine="0" w:firstLineChars="0"/>
        <w:textAlignment w:val="auto"/>
        <w:outlineLvl w:val="0"/>
        <w:rPr>
          <w:rFonts w:hint="eastAsia" w:asciiTheme="minorEastAsia" w:hAnsiTheme="minorEastAsia" w:eastAsiaTheme="minorEastAsia" w:cstheme="minorEastAsia"/>
          <w:snapToGrid w:val="0"/>
          <w:color w:val="auto"/>
          <w:kern w:val="0"/>
          <w:sz w:val="32"/>
          <w:szCs w:val="32"/>
          <w:lang w:val="en-US" w:eastAsia="zh-CN" w:bidi="ar-SA"/>
        </w:rPr>
      </w:pPr>
      <w:r>
        <w:rPr>
          <w:rFonts w:hint="eastAsia" w:asciiTheme="minorEastAsia" w:hAnsiTheme="minorEastAsia" w:eastAsiaTheme="minorEastAsia" w:cstheme="minorEastAsia"/>
          <w:snapToGrid w:val="0"/>
          <w:color w:val="auto"/>
          <w:kern w:val="0"/>
          <w:sz w:val="32"/>
          <w:szCs w:val="32"/>
          <w:highlight w:val="none"/>
          <w:lang w:val="en-US" w:eastAsia="zh-CN" w:bidi="ar-SA"/>
        </w:rPr>
        <w:t>附件4：</w:t>
      </w:r>
      <w:r>
        <w:rPr>
          <w:rFonts w:hint="eastAsia" w:asciiTheme="minorEastAsia" w:hAnsiTheme="minorEastAsia" w:eastAsiaTheme="minorEastAsia" w:cstheme="minorEastAsia"/>
          <w:snapToGrid w:val="0"/>
          <w:color w:val="auto"/>
          <w:kern w:val="0"/>
          <w:sz w:val="32"/>
          <w:szCs w:val="32"/>
          <w:lang w:val="en-US" w:eastAsia="zh-CN" w:bidi="ar-SA"/>
        </w:rPr>
        <w:t>生物质颗粒检测报告</w:t>
      </w:r>
    </w:p>
    <w:p w14:paraId="22AECF9F">
      <w:pPr>
        <w:rPr>
          <w:rFonts w:hint="default" w:ascii="Times New Roman" w:hAnsi="Times New Roman" w:eastAsia="黑体" w:cs="Times New Roman"/>
          <w:snapToGrid w:val="0"/>
          <w:color w:val="auto"/>
          <w:sz w:val="32"/>
          <w:szCs w:val="32"/>
          <w:lang w:eastAsia="zh-CN"/>
        </w:rPr>
      </w:pPr>
      <w:r>
        <w:rPr>
          <w:rFonts w:hint="default" w:ascii="Times New Roman" w:hAnsi="Times New Roman" w:eastAsia="黑体" w:cs="Times New Roman"/>
          <w:snapToGrid w:val="0"/>
          <w:color w:val="auto"/>
          <w:sz w:val="32"/>
          <w:szCs w:val="32"/>
          <w:lang w:eastAsia="zh-CN"/>
        </w:rPr>
        <w:drawing>
          <wp:inline distT="0" distB="0" distL="114300" distR="114300">
            <wp:extent cx="5668010" cy="7599680"/>
            <wp:effectExtent l="0" t="0" r="8890" b="1270"/>
            <wp:docPr id="33" name="图片 33" descr="附件4  生物质检测报告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附件4  生物质检测报告_页面_1"/>
                    <pic:cNvPicPr>
                      <a:picLocks noChangeAspect="1"/>
                    </pic:cNvPicPr>
                  </pic:nvPicPr>
                  <pic:blipFill>
                    <a:blip r:embed="rId39"/>
                    <a:srcRect l="16069" t="10881" r="15243" b="24002"/>
                    <a:stretch>
                      <a:fillRect/>
                    </a:stretch>
                  </pic:blipFill>
                  <pic:spPr>
                    <a:xfrm>
                      <a:off x="0" y="0"/>
                      <a:ext cx="5668010" cy="7599680"/>
                    </a:xfrm>
                    <a:prstGeom prst="rect">
                      <a:avLst/>
                    </a:prstGeom>
                  </pic:spPr>
                </pic:pic>
              </a:graphicData>
            </a:graphic>
          </wp:inline>
        </w:drawing>
      </w:r>
    </w:p>
    <w:p w14:paraId="74444DC9">
      <w:pPr>
        <w:rPr>
          <w:rFonts w:hint="default" w:ascii="Times New Roman" w:hAnsi="Times New Roman" w:eastAsia="黑体" w:cs="Times New Roman"/>
          <w:snapToGrid w:val="0"/>
          <w:color w:val="auto"/>
          <w:sz w:val="32"/>
          <w:szCs w:val="32"/>
          <w:lang w:eastAsia="zh-CN"/>
        </w:rPr>
      </w:pPr>
      <w:r>
        <w:rPr>
          <w:rFonts w:hint="default" w:ascii="Times New Roman" w:hAnsi="Times New Roman" w:eastAsia="黑体" w:cs="Times New Roman"/>
          <w:snapToGrid w:val="0"/>
          <w:color w:val="auto"/>
          <w:sz w:val="32"/>
          <w:szCs w:val="32"/>
          <w:lang w:eastAsia="zh-CN"/>
        </w:rPr>
        <w:drawing>
          <wp:inline distT="0" distB="0" distL="114300" distR="114300">
            <wp:extent cx="5674995" cy="7661910"/>
            <wp:effectExtent l="0" t="0" r="1905" b="15240"/>
            <wp:docPr id="42" name="图片 42" descr="附件4  生物质检测报告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附件4  生物质检测报告_页面_2"/>
                    <pic:cNvPicPr>
                      <a:picLocks noChangeAspect="1"/>
                    </pic:cNvPicPr>
                  </pic:nvPicPr>
                  <pic:blipFill>
                    <a:blip r:embed="rId40"/>
                    <a:srcRect l="15390" t="8801" r="15390" b="25122"/>
                    <a:stretch>
                      <a:fillRect/>
                    </a:stretch>
                  </pic:blipFill>
                  <pic:spPr>
                    <a:xfrm>
                      <a:off x="0" y="0"/>
                      <a:ext cx="5674995" cy="7661910"/>
                    </a:xfrm>
                    <a:prstGeom prst="rect">
                      <a:avLst/>
                    </a:prstGeom>
                  </pic:spPr>
                </pic:pic>
              </a:graphicData>
            </a:graphic>
          </wp:inline>
        </w:drawing>
      </w:r>
    </w:p>
    <w:p w14:paraId="5944DA91">
      <w:pPr>
        <w:pStyle w:val="29"/>
        <w:keepNext w:val="0"/>
        <w:keepLines w:val="0"/>
        <w:pageBreakBefore w:val="0"/>
        <w:widowControl/>
        <w:kinsoku/>
        <w:wordWrap/>
        <w:overflowPunct/>
        <w:topLinePunct w:val="0"/>
        <w:autoSpaceDE/>
        <w:autoSpaceDN/>
        <w:bidi w:val="0"/>
        <w:adjustRightInd/>
        <w:snapToGrid w:val="0"/>
        <w:spacing w:beforeAutospacing="0" w:after="0" w:afterAutospacing="0" w:line="360" w:lineRule="auto"/>
        <w:ind w:left="0" w:leftChars="0" w:right="0" w:rightChars="0" w:firstLine="0" w:firstLineChars="0"/>
        <w:textAlignment w:val="auto"/>
        <w:outlineLvl w:val="9"/>
        <w:rPr>
          <w:rFonts w:hint="eastAsia" w:asciiTheme="minorEastAsia" w:hAnsiTheme="minorEastAsia" w:eastAsiaTheme="minorEastAsia" w:cstheme="minorEastAsia"/>
          <w:snapToGrid w:val="0"/>
          <w:color w:val="auto"/>
          <w:kern w:val="0"/>
          <w:sz w:val="32"/>
          <w:szCs w:val="32"/>
          <w:highlight w:val="none"/>
          <w:lang w:val="en-US" w:eastAsia="zh-CN" w:bidi="ar-SA"/>
        </w:rPr>
      </w:pPr>
      <w:r>
        <w:rPr>
          <w:rFonts w:hint="default" w:ascii="Times New Roman" w:hAnsi="Times New Roman" w:eastAsia="黑体" w:cs="Times New Roman"/>
          <w:snapToGrid w:val="0"/>
          <w:color w:val="auto"/>
          <w:sz w:val="32"/>
          <w:szCs w:val="32"/>
          <w:lang w:eastAsia="zh-CN"/>
        </w:rPr>
        <w:drawing>
          <wp:inline distT="0" distB="0" distL="114300" distR="114300">
            <wp:extent cx="5674995" cy="7726045"/>
            <wp:effectExtent l="0" t="0" r="1905" b="8255"/>
            <wp:docPr id="43" name="图片 43" descr="附件4  生物质检测报告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附件4  生物质检测报告_页面_3"/>
                    <pic:cNvPicPr>
                      <a:picLocks noChangeAspect="1"/>
                    </pic:cNvPicPr>
                  </pic:nvPicPr>
                  <pic:blipFill>
                    <a:blip r:embed="rId41"/>
                    <a:srcRect l="15164" t="9121" r="16521" b="25122"/>
                    <a:stretch>
                      <a:fillRect/>
                    </a:stretch>
                  </pic:blipFill>
                  <pic:spPr>
                    <a:xfrm>
                      <a:off x="0" y="0"/>
                      <a:ext cx="5674995" cy="7726045"/>
                    </a:xfrm>
                    <a:prstGeom prst="rect">
                      <a:avLst/>
                    </a:prstGeom>
                  </pic:spPr>
                </pic:pic>
              </a:graphicData>
            </a:graphic>
          </wp:inline>
        </w:drawing>
      </w:r>
    </w:p>
    <w:p w14:paraId="0EA2A83D">
      <w:pPr>
        <w:pStyle w:val="29"/>
        <w:ind w:left="0" w:leftChars="0" w:firstLine="0" w:firstLineChars="0"/>
        <w:rPr>
          <w:rFonts w:hint="eastAsia"/>
          <w:color w:val="auto"/>
          <w:lang w:val="en-US" w:eastAsia="zh-CN"/>
        </w:rPr>
      </w:pPr>
    </w:p>
    <w:p w14:paraId="7F971D75">
      <w:pPr>
        <w:rPr>
          <w:rFonts w:hint="eastAsia"/>
          <w:color w:val="auto"/>
          <w:lang w:val="en-US" w:eastAsia="zh-CN"/>
        </w:rPr>
      </w:pPr>
    </w:p>
    <w:p w14:paraId="541C9089">
      <w:pPr>
        <w:pStyle w:val="29"/>
        <w:rPr>
          <w:rFonts w:hint="eastAsia"/>
          <w:color w:val="auto"/>
          <w:lang w:val="en-US" w:eastAsia="zh-CN"/>
        </w:rPr>
      </w:pPr>
    </w:p>
    <w:p w14:paraId="12DB6335">
      <w:pPr>
        <w:rPr>
          <w:rFonts w:hint="eastAsia"/>
          <w:color w:val="auto"/>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type="lines" w:linePitch="312" w:charSpace="0"/>
        </w:sectPr>
      </w:pPr>
    </w:p>
    <w:bookmarkEnd w:id="38"/>
    <w:p w14:paraId="60D2919C">
      <w:pPr>
        <w:pStyle w:val="29"/>
        <w:keepNext w:val="0"/>
        <w:keepLines w:val="0"/>
        <w:pageBreakBefore w:val="0"/>
        <w:widowControl/>
        <w:kinsoku/>
        <w:wordWrap/>
        <w:overflowPunct/>
        <w:topLinePunct w:val="0"/>
        <w:autoSpaceDE/>
        <w:autoSpaceDN/>
        <w:bidi w:val="0"/>
        <w:adjustRightInd/>
        <w:snapToGrid w:val="0"/>
        <w:spacing w:beforeAutospacing="0" w:after="0" w:afterAutospacing="0" w:line="360" w:lineRule="auto"/>
        <w:ind w:left="0" w:leftChars="0" w:right="0" w:rightChars="0" w:firstLine="0" w:firstLineChars="0"/>
        <w:textAlignment w:val="auto"/>
        <w:outlineLvl w:val="0"/>
        <w:rPr>
          <w:rFonts w:hint="eastAsia" w:asciiTheme="minorEastAsia" w:hAnsiTheme="minorEastAsia" w:eastAsiaTheme="minorEastAsia" w:cstheme="minorEastAsia"/>
          <w:snapToGrid w:val="0"/>
          <w:color w:val="auto"/>
          <w:kern w:val="0"/>
          <w:sz w:val="32"/>
          <w:szCs w:val="32"/>
          <w:lang w:val="en-US" w:eastAsia="zh-CN" w:bidi="ar-SA"/>
        </w:rPr>
      </w:pPr>
      <w:bookmarkStart w:id="39" w:name="_Toc26861"/>
      <w:r>
        <w:rPr>
          <w:rFonts w:hint="eastAsia" w:asciiTheme="minorEastAsia" w:hAnsiTheme="minorEastAsia" w:eastAsiaTheme="minorEastAsia" w:cstheme="minorEastAsia"/>
          <w:snapToGrid w:val="0"/>
          <w:color w:val="auto"/>
          <w:kern w:val="0"/>
          <w:sz w:val="32"/>
          <w:szCs w:val="32"/>
          <w:lang w:val="en-US" w:eastAsia="zh-CN" w:bidi="ar-SA"/>
        </w:rPr>
        <w:t>附件5：检测报告</w:t>
      </w:r>
      <w:bookmarkEnd w:id="39"/>
    </w:p>
    <w:p w14:paraId="32D8D1B4">
      <w:pPr>
        <w:rPr>
          <w:rFonts w:hint="eastAsia"/>
          <w:color w:val="auto"/>
          <w:lang w:val="en-US" w:eastAsia="zh-CN"/>
        </w:rPr>
      </w:pPr>
      <w:r>
        <w:rPr>
          <w:rFonts w:hint="eastAsia" w:asciiTheme="minorEastAsia" w:hAnsiTheme="minorEastAsia" w:eastAsiaTheme="minorEastAsia" w:cstheme="minorEastAsia"/>
          <w:snapToGrid w:val="0"/>
          <w:color w:val="auto"/>
          <w:kern w:val="0"/>
          <w:sz w:val="32"/>
          <w:szCs w:val="32"/>
          <w:lang w:val="en-US" w:eastAsia="zh-CN" w:bidi="ar-SA"/>
        </w:rPr>
        <w:drawing>
          <wp:inline distT="0" distB="0" distL="114300" distR="114300">
            <wp:extent cx="5613400" cy="7933690"/>
            <wp:effectExtent l="0" t="0" r="10160" b="6350"/>
            <wp:docPr id="25" name="图片 25" descr="241029-02木森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241029-02木森_page-0001"/>
                    <pic:cNvPicPr>
                      <a:picLocks noChangeAspect="1"/>
                    </pic:cNvPicPr>
                  </pic:nvPicPr>
                  <pic:blipFill>
                    <a:blip r:embed="rId42"/>
                    <a:stretch>
                      <a:fillRect/>
                    </a:stretch>
                  </pic:blipFill>
                  <pic:spPr>
                    <a:xfrm>
                      <a:off x="0" y="0"/>
                      <a:ext cx="5613400" cy="7933690"/>
                    </a:xfrm>
                    <a:prstGeom prst="rect">
                      <a:avLst/>
                    </a:prstGeom>
                  </pic:spPr>
                </pic:pic>
              </a:graphicData>
            </a:graphic>
          </wp:inline>
        </w:drawing>
      </w:r>
    </w:p>
    <w:p w14:paraId="676E42BD">
      <w:pPr>
        <w:pStyle w:val="29"/>
        <w:keepNext w:val="0"/>
        <w:keepLines w:val="0"/>
        <w:pageBreakBefore w:val="0"/>
        <w:widowControl/>
        <w:kinsoku/>
        <w:wordWrap/>
        <w:overflowPunct/>
        <w:topLinePunct w:val="0"/>
        <w:autoSpaceDE/>
        <w:autoSpaceDN/>
        <w:bidi w:val="0"/>
        <w:adjustRightInd/>
        <w:snapToGrid w:val="0"/>
        <w:spacing w:beforeAutospacing="0" w:after="0" w:afterAutospacing="0" w:line="360" w:lineRule="auto"/>
        <w:ind w:left="0" w:leftChars="0" w:right="0" w:rightChars="0" w:firstLine="0" w:firstLineChars="0"/>
        <w:textAlignment w:val="auto"/>
        <w:outlineLvl w:val="9"/>
        <w:rPr>
          <w:rFonts w:hint="eastAsia" w:asciiTheme="minorEastAsia" w:hAnsiTheme="minorEastAsia" w:eastAsiaTheme="minorEastAsia" w:cstheme="minorEastAsia"/>
          <w:snapToGrid w:val="0"/>
          <w:color w:val="auto"/>
          <w:kern w:val="0"/>
          <w:sz w:val="32"/>
          <w:szCs w:val="32"/>
          <w:lang w:val="en-US" w:eastAsia="zh-CN" w:bidi="ar-SA"/>
        </w:rPr>
      </w:pPr>
      <w:r>
        <w:rPr>
          <w:rFonts w:hint="eastAsia" w:asciiTheme="minorEastAsia" w:hAnsiTheme="minorEastAsia" w:eastAsiaTheme="minorEastAsia" w:cstheme="minorEastAsia"/>
          <w:snapToGrid w:val="0"/>
          <w:color w:val="auto"/>
          <w:kern w:val="0"/>
          <w:sz w:val="32"/>
          <w:szCs w:val="32"/>
          <w:lang w:val="en-US" w:eastAsia="zh-CN" w:bidi="ar-SA"/>
        </w:rPr>
        <w:drawing>
          <wp:inline distT="0" distB="0" distL="114300" distR="114300">
            <wp:extent cx="5613400" cy="7933690"/>
            <wp:effectExtent l="0" t="0" r="10160" b="6350"/>
            <wp:docPr id="23" name="图片 23" descr="241029-02木森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241029-02木森_page-0002"/>
                    <pic:cNvPicPr>
                      <a:picLocks noChangeAspect="1"/>
                    </pic:cNvPicPr>
                  </pic:nvPicPr>
                  <pic:blipFill>
                    <a:blip r:embed="rId43"/>
                    <a:stretch>
                      <a:fillRect/>
                    </a:stretch>
                  </pic:blipFill>
                  <pic:spPr>
                    <a:xfrm>
                      <a:off x="0" y="0"/>
                      <a:ext cx="5613400" cy="7933690"/>
                    </a:xfrm>
                    <a:prstGeom prst="rect">
                      <a:avLst/>
                    </a:prstGeom>
                  </pic:spPr>
                </pic:pic>
              </a:graphicData>
            </a:graphic>
          </wp:inline>
        </w:drawing>
      </w:r>
      <w:r>
        <w:rPr>
          <w:rFonts w:hint="eastAsia" w:asciiTheme="minorEastAsia" w:hAnsiTheme="minorEastAsia" w:eastAsiaTheme="minorEastAsia" w:cstheme="minorEastAsia"/>
          <w:snapToGrid w:val="0"/>
          <w:color w:val="auto"/>
          <w:kern w:val="0"/>
          <w:sz w:val="32"/>
          <w:szCs w:val="32"/>
          <w:lang w:val="en-US" w:eastAsia="zh-CN" w:bidi="ar-SA"/>
        </w:rPr>
        <w:drawing>
          <wp:inline distT="0" distB="0" distL="114300" distR="114300">
            <wp:extent cx="5613400" cy="7933690"/>
            <wp:effectExtent l="0" t="0" r="10160" b="6350"/>
            <wp:docPr id="15" name="图片 15" descr="241029-02木森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41029-02木森_page-0003"/>
                    <pic:cNvPicPr>
                      <a:picLocks noChangeAspect="1"/>
                    </pic:cNvPicPr>
                  </pic:nvPicPr>
                  <pic:blipFill>
                    <a:blip r:embed="rId44"/>
                    <a:stretch>
                      <a:fillRect/>
                    </a:stretch>
                  </pic:blipFill>
                  <pic:spPr>
                    <a:xfrm>
                      <a:off x="0" y="0"/>
                      <a:ext cx="5613400" cy="7933690"/>
                    </a:xfrm>
                    <a:prstGeom prst="rect">
                      <a:avLst/>
                    </a:prstGeom>
                  </pic:spPr>
                </pic:pic>
              </a:graphicData>
            </a:graphic>
          </wp:inline>
        </w:drawing>
      </w:r>
      <w:r>
        <w:rPr>
          <w:rFonts w:hint="eastAsia" w:asciiTheme="minorEastAsia" w:hAnsiTheme="minorEastAsia" w:eastAsiaTheme="minorEastAsia" w:cstheme="minorEastAsia"/>
          <w:snapToGrid w:val="0"/>
          <w:color w:val="auto"/>
          <w:kern w:val="0"/>
          <w:sz w:val="32"/>
          <w:szCs w:val="32"/>
          <w:lang w:val="en-US" w:eastAsia="zh-CN" w:bidi="ar-SA"/>
        </w:rPr>
        <w:drawing>
          <wp:inline distT="0" distB="0" distL="114300" distR="114300">
            <wp:extent cx="5613400" cy="7933690"/>
            <wp:effectExtent l="0" t="0" r="10160" b="6350"/>
            <wp:docPr id="14" name="图片 14" descr="241029-02木森_p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241029-02木森_page-0004"/>
                    <pic:cNvPicPr>
                      <a:picLocks noChangeAspect="1"/>
                    </pic:cNvPicPr>
                  </pic:nvPicPr>
                  <pic:blipFill>
                    <a:blip r:embed="rId45"/>
                    <a:stretch>
                      <a:fillRect/>
                    </a:stretch>
                  </pic:blipFill>
                  <pic:spPr>
                    <a:xfrm>
                      <a:off x="0" y="0"/>
                      <a:ext cx="5613400" cy="7933690"/>
                    </a:xfrm>
                    <a:prstGeom prst="rect">
                      <a:avLst/>
                    </a:prstGeom>
                  </pic:spPr>
                </pic:pic>
              </a:graphicData>
            </a:graphic>
          </wp:inline>
        </w:drawing>
      </w:r>
      <w:r>
        <w:rPr>
          <w:rFonts w:hint="eastAsia" w:asciiTheme="minorEastAsia" w:hAnsiTheme="minorEastAsia" w:eastAsiaTheme="minorEastAsia" w:cstheme="minorEastAsia"/>
          <w:snapToGrid w:val="0"/>
          <w:color w:val="auto"/>
          <w:kern w:val="0"/>
          <w:sz w:val="32"/>
          <w:szCs w:val="32"/>
          <w:lang w:val="en-US" w:eastAsia="zh-CN" w:bidi="ar-SA"/>
        </w:rPr>
        <w:drawing>
          <wp:inline distT="0" distB="0" distL="114300" distR="114300">
            <wp:extent cx="5613400" cy="7933690"/>
            <wp:effectExtent l="0" t="0" r="10160" b="6350"/>
            <wp:docPr id="3" name="图片 3" descr="241029-02木森_page-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241029-02木森_page-0005"/>
                    <pic:cNvPicPr>
                      <a:picLocks noChangeAspect="1"/>
                    </pic:cNvPicPr>
                  </pic:nvPicPr>
                  <pic:blipFill>
                    <a:blip r:embed="rId46"/>
                    <a:stretch>
                      <a:fillRect/>
                    </a:stretch>
                  </pic:blipFill>
                  <pic:spPr>
                    <a:xfrm>
                      <a:off x="0" y="0"/>
                      <a:ext cx="5613400" cy="7933690"/>
                    </a:xfrm>
                    <a:prstGeom prst="rect">
                      <a:avLst/>
                    </a:prstGeom>
                  </pic:spPr>
                </pic:pic>
              </a:graphicData>
            </a:graphic>
          </wp:inline>
        </w:drawing>
      </w:r>
    </w:p>
    <w:p w14:paraId="2C16140A">
      <w:pPr>
        <w:pStyle w:val="29"/>
        <w:keepNext w:val="0"/>
        <w:keepLines w:val="0"/>
        <w:pageBreakBefore w:val="0"/>
        <w:widowControl/>
        <w:kinsoku/>
        <w:wordWrap/>
        <w:overflowPunct/>
        <w:topLinePunct w:val="0"/>
        <w:autoSpaceDE/>
        <w:autoSpaceDN/>
        <w:bidi w:val="0"/>
        <w:adjustRightInd/>
        <w:snapToGrid w:val="0"/>
        <w:spacing w:beforeAutospacing="0" w:after="0" w:afterAutospacing="0" w:line="360" w:lineRule="auto"/>
        <w:ind w:left="0" w:leftChars="0" w:right="0" w:rightChars="0" w:firstLine="0" w:firstLineChars="0"/>
        <w:textAlignment w:val="auto"/>
        <w:outlineLvl w:val="9"/>
        <w:rPr>
          <w:rFonts w:hint="eastAsia" w:asciiTheme="minorEastAsia" w:hAnsiTheme="minorEastAsia" w:eastAsiaTheme="minorEastAsia" w:cstheme="minorEastAsia"/>
          <w:snapToGrid w:val="0"/>
          <w:color w:val="auto"/>
          <w:kern w:val="0"/>
          <w:sz w:val="32"/>
          <w:szCs w:val="32"/>
          <w:lang w:val="en-US" w:eastAsia="zh-CN" w:bidi="ar-SA"/>
        </w:rPr>
      </w:pPr>
    </w:p>
    <w:p w14:paraId="579F2F95">
      <w:pPr>
        <w:pStyle w:val="29"/>
        <w:keepNext w:val="0"/>
        <w:keepLines w:val="0"/>
        <w:pageBreakBefore w:val="0"/>
        <w:widowControl/>
        <w:kinsoku/>
        <w:wordWrap/>
        <w:overflowPunct/>
        <w:topLinePunct w:val="0"/>
        <w:autoSpaceDE/>
        <w:autoSpaceDN/>
        <w:bidi w:val="0"/>
        <w:adjustRightInd/>
        <w:snapToGrid w:val="0"/>
        <w:spacing w:beforeAutospacing="0" w:after="0" w:afterAutospacing="0" w:line="360" w:lineRule="auto"/>
        <w:ind w:left="0" w:leftChars="0" w:right="0" w:rightChars="0" w:firstLine="0" w:firstLineChars="0"/>
        <w:textAlignment w:val="auto"/>
        <w:outlineLvl w:val="0"/>
        <w:rPr>
          <w:rFonts w:hint="eastAsia" w:asciiTheme="minorEastAsia" w:hAnsiTheme="minorEastAsia" w:eastAsiaTheme="minorEastAsia" w:cstheme="minorEastAsia"/>
          <w:snapToGrid w:val="0"/>
          <w:color w:val="auto"/>
          <w:kern w:val="0"/>
          <w:sz w:val="32"/>
          <w:szCs w:val="32"/>
          <w:lang w:val="en-US" w:eastAsia="zh-CN" w:bidi="ar-SA"/>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asciiTheme="minorEastAsia" w:hAnsiTheme="minorEastAsia" w:eastAsiaTheme="minorEastAsia" w:cstheme="minorEastAsia"/>
          <w:snapToGrid w:val="0"/>
          <w:color w:val="auto"/>
          <w:kern w:val="0"/>
          <w:sz w:val="32"/>
          <w:szCs w:val="32"/>
          <w:lang w:val="en-US" w:eastAsia="zh-CN" w:bidi="ar-SA"/>
        </w:rPr>
        <w:br w:type="page"/>
      </w:r>
    </w:p>
    <w:p w14:paraId="69C44C84">
      <w:pPr>
        <w:pStyle w:val="29"/>
        <w:keepNext w:val="0"/>
        <w:keepLines w:val="0"/>
        <w:pageBreakBefore w:val="0"/>
        <w:widowControl/>
        <w:kinsoku/>
        <w:wordWrap/>
        <w:overflowPunct/>
        <w:topLinePunct w:val="0"/>
        <w:autoSpaceDE/>
        <w:autoSpaceDN/>
        <w:bidi w:val="0"/>
        <w:adjustRightInd/>
        <w:snapToGrid w:val="0"/>
        <w:spacing w:beforeAutospacing="0" w:after="0" w:afterAutospacing="0" w:line="360" w:lineRule="auto"/>
        <w:ind w:left="0" w:leftChars="0" w:right="0" w:rightChars="0" w:firstLine="0" w:firstLineChars="0"/>
        <w:textAlignment w:val="auto"/>
        <w:outlineLvl w:val="0"/>
        <w:rPr>
          <w:rFonts w:hint="default" w:asciiTheme="minorEastAsia" w:hAnsiTheme="minorEastAsia" w:eastAsiaTheme="minorEastAsia" w:cstheme="minorEastAsia"/>
          <w:snapToGrid w:val="0"/>
          <w:color w:val="auto"/>
          <w:kern w:val="0"/>
          <w:sz w:val="32"/>
          <w:szCs w:val="32"/>
          <w:lang w:val="en-US" w:eastAsia="zh-CN" w:bidi="ar-SA"/>
        </w:rPr>
      </w:pPr>
      <w:bookmarkStart w:id="40" w:name="_Toc16139"/>
      <w:bookmarkStart w:id="41" w:name="_Toc8382"/>
      <w:bookmarkStart w:id="42" w:name="_Toc26020"/>
      <w:r>
        <w:rPr>
          <w:rFonts w:hint="eastAsia" w:asciiTheme="minorEastAsia" w:hAnsiTheme="minorEastAsia" w:eastAsiaTheme="minorEastAsia" w:cstheme="minorEastAsia"/>
          <w:snapToGrid w:val="0"/>
          <w:color w:val="auto"/>
          <w:kern w:val="0"/>
          <w:sz w:val="32"/>
          <w:szCs w:val="32"/>
          <w:lang w:val="en-US" w:eastAsia="zh-CN" w:bidi="ar-SA"/>
        </w:rPr>
        <w:t>附件6：生态环境分区管控分析报告</w:t>
      </w:r>
    </w:p>
    <w:p w14:paraId="6EAD1F1C">
      <w:pPr>
        <w:jc w:val="center"/>
        <w:rPr>
          <w:rFonts w:hint="eastAsia" w:asciiTheme="minorEastAsia" w:hAnsiTheme="minorEastAsia" w:eastAsiaTheme="minorEastAsia" w:cstheme="minorEastAsia"/>
          <w:snapToGrid w:val="0"/>
          <w:color w:val="auto"/>
          <w:kern w:val="0"/>
          <w:sz w:val="32"/>
          <w:szCs w:val="32"/>
          <w:lang w:val="en-US" w:eastAsia="zh-CN" w:bidi="ar-SA"/>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color w:val="auto"/>
          <w:lang w:val="en-US" w:eastAsia="zh-CN"/>
        </w:rPr>
        <w:drawing>
          <wp:inline distT="0" distB="0" distL="114300" distR="114300">
            <wp:extent cx="6943090" cy="4912360"/>
            <wp:effectExtent l="0" t="0" r="10160" b="2540"/>
            <wp:docPr id="37" name="图片 37" descr="鸡西市木森商贸有限责任公司农机拆解_2024年11月04日101809_分析报告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鸡西市木森商贸有限责任公司农机拆解_2024年11月04日101809_分析报告_page-0001"/>
                    <pic:cNvPicPr>
                      <a:picLocks noChangeAspect="1"/>
                    </pic:cNvPicPr>
                  </pic:nvPicPr>
                  <pic:blipFill>
                    <a:blip r:embed="rId47"/>
                    <a:stretch>
                      <a:fillRect/>
                    </a:stretch>
                  </pic:blipFill>
                  <pic:spPr>
                    <a:xfrm>
                      <a:off x="0" y="0"/>
                      <a:ext cx="6943090" cy="4912360"/>
                    </a:xfrm>
                    <a:prstGeom prst="rect">
                      <a:avLst/>
                    </a:prstGeom>
                  </pic:spPr>
                </pic:pic>
              </a:graphicData>
            </a:graphic>
          </wp:inline>
        </w:drawing>
      </w:r>
      <w:r>
        <w:rPr>
          <w:rFonts w:hint="eastAsia"/>
          <w:color w:val="auto"/>
          <w:lang w:val="en-US" w:eastAsia="zh-CN"/>
        </w:rPr>
        <w:drawing>
          <wp:inline distT="0" distB="0" distL="114300" distR="114300">
            <wp:extent cx="7933690" cy="5613400"/>
            <wp:effectExtent l="0" t="0" r="10160" b="6350"/>
            <wp:docPr id="30" name="图片 30" descr="鸡西市木森商贸有限责任公司农机拆解_2024年11月04日101809_分析报告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鸡西市木森商贸有限责任公司农机拆解_2024年11月04日101809_分析报告_page-0002"/>
                    <pic:cNvPicPr>
                      <a:picLocks noChangeAspect="1"/>
                    </pic:cNvPicPr>
                  </pic:nvPicPr>
                  <pic:blipFill>
                    <a:blip r:embed="rId48"/>
                    <a:stretch>
                      <a:fillRect/>
                    </a:stretch>
                  </pic:blipFill>
                  <pic:spPr>
                    <a:xfrm>
                      <a:off x="0" y="0"/>
                      <a:ext cx="7933690" cy="5613400"/>
                    </a:xfrm>
                    <a:prstGeom prst="rect">
                      <a:avLst/>
                    </a:prstGeom>
                  </pic:spPr>
                </pic:pic>
              </a:graphicData>
            </a:graphic>
          </wp:inline>
        </w:drawing>
      </w:r>
      <w:r>
        <w:rPr>
          <w:rFonts w:hint="eastAsia"/>
          <w:color w:val="auto"/>
          <w:lang w:val="en-US" w:eastAsia="zh-CN"/>
        </w:rPr>
        <w:drawing>
          <wp:inline distT="0" distB="0" distL="114300" distR="114300">
            <wp:extent cx="7933690" cy="5613400"/>
            <wp:effectExtent l="0" t="0" r="10160" b="6350"/>
            <wp:docPr id="24" name="图片 24" descr="鸡西市木森商贸有限责任公司农机拆解_2024年11月04日101809_分析报告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鸡西市木森商贸有限责任公司农机拆解_2024年11月04日101809_分析报告_page-0003"/>
                    <pic:cNvPicPr>
                      <a:picLocks noChangeAspect="1"/>
                    </pic:cNvPicPr>
                  </pic:nvPicPr>
                  <pic:blipFill>
                    <a:blip r:embed="rId49"/>
                    <a:stretch>
                      <a:fillRect/>
                    </a:stretch>
                  </pic:blipFill>
                  <pic:spPr>
                    <a:xfrm>
                      <a:off x="0" y="0"/>
                      <a:ext cx="7933690" cy="5613400"/>
                    </a:xfrm>
                    <a:prstGeom prst="rect">
                      <a:avLst/>
                    </a:prstGeom>
                  </pic:spPr>
                </pic:pic>
              </a:graphicData>
            </a:graphic>
          </wp:inline>
        </w:drawing>
      </w:r>
      <w:r>
        <w:rPr>
          <w:rFonts w:hint="eastAsia"/>
          <w:color w:val="auto"/>
          <w:lang w:val="en-US" w:eastAsia="zh-CN"/>
        </w:rPr>
        <w:drawing>
          <wp:inline distT="0" distB="0" distL="114300" distR="114300">
            <wp:extent cx="7933690" cy="5613400"/>
            <wp:effectExtent l="0" t="0" r="10160" b="6350"/>
            <wp:docPr id="22" name="图片 22" descr="鸡西市木森商贸有限责任公司农机拆解_2024年11月04日101809_分析报告_p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鸡西市木森商贸有限责任公司农机拆解_2024年11月04日101809_分析报告_page-0004"/>
                    <pic:cNvPicPr>
                      <a:picLocks noChangeAspect="1"/>
                    </pic:cNvPicPr>
                  </pic:nvPicPr>
                  <pic:blipFill>
                    <a:blip r:embed="rId50"/>
                    <a:stretch>
                      <a:fillRect/>
                    </a:stretch>
                  </pic:blipFill>
                  <pic:spPr>
                    <a:xfrm>
                      <a:off x="0" y="0"/>
                      <a:ext cx="7933690" cy="5613400"/>
                    </a:xfrm>
                    <a:prstGeom prst="rect">
                      <a:avLst/>
                    </a:prstGeom>
                  </pic:spPr>
                </pic:pic>
              </a:graphicData>
            </a:graphic>
          </wp:inline>
        </w:drawing>
      </w:r>
      <w:r>
        <w:rPr>
          <w:rFonts w:hint="eastAsia"/>
          <w:color w:val="auto"/>
          <w:lang w:val="en-US" w:eastAsia="zh-CN"/>
        </w:rPr>
        <w:drawing>
          <wp:inline distT="0" distB="0" distL="114300" distR="114300">
            <wp:extent cx="7933690" cy="5613400"/>
            <wp:effectExtent l="0" t="0" r="10160" b="6350"/>
            <wp:docPr id="21" name="图片 21" descr="鸡西市木森商贸有限责任公司农机拆解_2024年11月04日101809_分析报告_page-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鸡西市木森商贸有限责任公司农机拆解_2024年11月04日101809_分析报告_page-0005"/>
                    <pic:cNvPicPr>
                      <a:picLocks noChangeAspect="1"/>
                    </pic:cNvPicPr>
                  </pic:nvPicPr>
                  <pic:blipFill>
                    <a:blip r:embed="rId51"/>
                    <a:stretch>
                      <a:fillRect/>
                    </a:stretch>
                  </pic:blipFill>
                  <pic:spPr>
                    <a:xfrm>
                      <a:off x="0" y="0"/>
                      <a:ext cx="7933690" cy="5613400"/>
                    </a:xfrm>
                    <a:prstGeom prst="rect">
                      <a:avLst/>
                    </a:prstGeom>
                  </pic:spPr>
                </pic:pic>
              </a:graphicData>
            </a:graphic>
          </wp:inline>
        </w:drawing>
      </w:r>
      <w:r>
        <w:rPr>
          <w:rFonts w:hint="eastAsia"/>
          <w:color w:val="auto"/>
          <w:lang w:val="en-US" w:eastAsia="zh-CN"/>
        </w:rPr>
        <w:drawing>
          <wp:inline distT="0" distB="0" distL="114300" distR="114300">
            <wp:extent cx="7933690" cy="5613400"/>
            <wp:effectExtent l="0" t="0" r="10160" b="6350"/>
            <wp:docPr id="20" name="图片 20" descr="鸡西市木森商贸有限责任公司农机拆解_2024年11月04日101809_分析报告_page-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鸡西市木森商贸有限责任公司农机拆解_2024年11月04日101809_分析报告_page-0006"/>
                    <pic:cNvPicPr>
                      <a:picLocks noChangeAspect="1"/>
                    </pic:cNvPicPr>
                  </pic:nvPicPr>
                  <pic:blipFill>
                    <a:blip r:embed="rId52"/>
                    <a:stretch>
                      <a:fillRect/>
                    </a:stretch>
                  </pic:blipFill>
                  <pic:spPr>
                    <a:xfrm>
                      <a:off x="0" y="0"/>
                      <a:ext cx="7933690" cy="5613400"/>
                    </a:xfrm>
                    <a:prstGeom prst="rect">
                      <a:avLst/>
                    </a:prstGeom>
                  </pic:spPr>
                </pic:pic>
              </a:graphicData>
            </a:graphic>
          </wp:inline>
        </w:drawing>
      </w:r>
      <w:r>
        <w:rPr>
          <w:rFonts w:hint="eastAsia"/>
          <w:color w:val="auto"/>
          <w:lang w:val="en-US" w:eastAsia="zh-CN"/>
        </w:rPr>
        <w:drawing>
          <wp:inline distT="0" distB="0" distL="114300" distR="114300">
            <wp:extent cx="7933690" cy="5613400"/>
            <wp:effectExtent l="0" t="0" r="10160" b="6350"/>
            <wp:docPr id="18" name="图片 18" descr="鸡西市木森商贸有限责任公司农机拆解_2024年11月04日101809_分析报告_page-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鸡西市木森商贸有限责任公司农机拆解_2024年11月04日101809_分析报告_page-0007"/>
                    <pic:cNvPicPr>
                      <a:picLocks noChangeAspect="1"/>
                    </pic:cNvPicPr>
                  </pic:nvPicPr>
                  <pic:blipFill>
                    <a:blip r:embed="rId53"/>
                    <a:stretch>
                      <a:fillRect/>
                    </a:stretch>
                  </pic:blipFill>
                  <pic:spPr>
                    <a:xfrm>
                      <a:off x="0" y="0"/>
                      <a:ext cx="7933690" cy="5613400"/>
                    </a:xfrm>
                    <a:prstGeom prst="rect">
                      <a:avLst/>
                    </a:prstGeom>
                  </pic:spPr>
                </pic:pic>
              </a:graphicData>
            </a:graphic>
          </wp:inline>
        </w:drawing>
      </w:r>
      <w:r>
        <w:rPr>
          <w:rFonts w:hint="eastAsia"/>
          <w:color w:val="auto"/>
          <w:lang w:val="en-US" w:eastAsia="zh-CN"/>
        </w:rPr>
        <w:drawing>
          <wp:inline distT="0" distB="0" distL="114300" distR="114300">
            <wp:extent cx="7933690" cy="5613400"/>
            <wp:effectExtent l="0" t="0" r="10160" b="6350"/>
            <wp:docPr id="17" name="图片 17" descr="鸡西市木森商贸有限责任公司农机拆解_2024年11月04日101809_分析报告_page-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鸡西市木森商贸有限责任公司农机拆解_2024年11月04日101809_分析报告_page-0008"/>
                    <pic:cNvPicPr>
                      <a:picLocks noChangeAspect="1"/>
                    </pic:cNvPicPr>
                  </pic:nvPicPr>
                  <pic:blipFill>
                    <a:blip r:embed="rId54"/>
                    <a:stretch>
                      <a:fillRect/>
                    </a:stretch>
                  </pic:blipFill>
                  <pic:spPr>
                    <a:xfrm>
                      <a:off x="0" y="0"/>
                      <a:ext cx="7933690" cy="5613400"/>
                    </a:xfrm>
                    <a:prstGeom prst="rect">
                      <a:avLst/>
                    </a:prstGeom>
                  </pic:spPr>
                </pic:pic>
              </a:graphicData>
            </a:graphic>
          </wp:inline>
        </w:drawing>
      </w:r>
      <w:r>
        <w:rPr>
          <w:rFonts w:hint="eastAsia"/>
          <w:color w:val="auto"/>
          <w:lang w:val="en-US" w:eastAsia="zh-CN"/>
        </w:rPr>
        <w:drawing>
          <wp:inline distT="0" distB="0" distL="114300" distR="114300">
            <wp:extent cx="7933690" cy="5613400"/>
            <wp:effectExtent l="0" t="0" r="10160" b="6350"/>
            <wp:docPr id="7" name="图片 7" descr="鸡西市木森商贸有限责任公司农机拆解_2024年11月04日101809_分析报告_page-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鸡西市木森商贸有限责任公司农机拆解_2024年11月04日101809_分析报告_page-0009"/>
                    <pic:cNvPicPr>
                      <a:picLocks noChangeAspect="1"/>
                    </pic:cNvPicPr>
                  </pic:nvPicPr>
                  <pic:blipFill>
                    <a:blip r:embed="rId55"/>
                    <a:stretch>
                      <a:fillRect/>
                    </a:stretch>
                  </pic:blipFill>
                  <pic:spPr>
                    <a:xfrm>
                      <a:off x="0" y="0"/>
                      <a:ext cx="7933690" cy="5613400"/>
                    </a:xfrm>
                    <a:prstGeom prst="rect">
                      <a:avLst/>
                    </a:prstGeom>
                  </pic:spPr>
                </pic:pic>
              </a:graphicData>
            </a:graphic>
          </wp:inline>
        </w:drawing>
      </w:r>
    </w:p>
    <w:p w14:paraId="3A4F904C">
      <w:pPr>
        <w:pStyle w:val="29"/>
        <w:keepNext w:val="0"/>
        <w:keepLines w:val="0"/>
        <w:pageBreakBefore w:val="0"/>
        <w:widowControl/>
        <w:kinsoku/>
        <w:wordWrap/>
        <w:overflowPunct/>
        <w:topLinePunct w:val="0"/>
        <w:autoSpaceDE/>
        <w:autoSpaceDN/>
        <w:bidi w:val="0"/>
        <w:adjustRightInd/>
        <w:snapToGrid w:val="0"/>
        <w:spacing w:beforeAutospacing="0" w:after="0" w:afterAutospacing="0" w:line="360" w:lineRule="auto"/>
        <w:ind w:left="0" w:leftChars="0" w:right="0" w:rightChars="0" w:firstLine="0" w:firstLineChars="0"/>
        <w:textAlignment w:val="auto"/>
        <w:outlineLvl w:val="0"/>
        <w:rPr>
          <w:rFonts w:hint="default" w:asciiTheme="minorEastAsia" w:hAnsiTheme="minorEastAsia" w:eastAsiaTheme="minorEastAsia" w:cstheme="minorEastAsia"/>
          <w:snapToGrid w:val="0"/>
          <w:color w:val="auto"/>
          <w:kern w:val="0"/>
          <w:sz w:val="32"/>
          <w:szCs w:val="32"/>
          <w:lang w:val="en-US" w:eastAsia="zh-CN" w:bidi="ar-SA"/>
        </w:rPr>
      </w:pPr>
      <w:r>
        <w:rPr>
          <w:rFonts w:hint="eastAsia" w:asciiTheme="minorEastAsia" w:hAnsiTheme="minorEastAsia" w:eastAsiaTheme="minorEastAsia" w:cstheme="minorEastAsia"/>
          <w:snapToGrid w:val="0"/>
          <w:color w:val="auto"/>
          <w:kern w:val="0"/>
          <w:sz w:val="32"/>
          <w:szCs w:val="32"/>
          <w:lang w:val="en-US" w:eastAsia="zh-CN" w:bidi="ar-SA"/>
        </w:rPr>
        <w:t>附件7：总量计算说明</w:t>
      </w:r>
      <w:bookmarkEnd w:id="40"/>
      <w:bookmarkEnd w:id="41"/>
      <w:bookmarkEnd w:id="42"/>
    </w:p>
    <w:p w14:paraId="24CDA191">
      <w:pPr>
        <w:pStyle w:val="6"/>
        <w:keepLines w:val="0"/>
        <w:pageBreakBefore w:val="0"/>
        <w:topLinePunct w:val="0"/>
        <w:bidi w:val="0"/>
        <w:adjustRightInd w:val="0"/>
        <w:snapToGrid w:val="0"/>
        <w:spacing w:beforeAutospacing="0" w:afterAutospacing="0" w:line="360" w:lineRule="auto"/>
        <w:ind w:left="0" w:leftChars="0" w:right="0" w:rightChars="0" w:firstLine="480" w:firstLineChars="200"/>
        <w:outlineLvl w:val="9"/>
        <w:rPr>
          <w:rFonts w:hint="eastAsia" w:ascii="Times New Roman" w:hAnsi="Times New Roman" w:eastAsia="宋体" w:cs="Times New Roman"/>
          <w:color w:val="auto"/>
          <w:kern w:val="0"/>
          <w:sz w:val="24"/>
          <w:szCs w:val="24"/>
          <w:highlight w:val="none"/>
          <w:lang w:val="en-US" w:eastAsia="zh-CN" w:bidi="ar-SA"/>
        </w:rPr>
      </w:pPr>
      <w:bookmarkStart w:id="43" w:name="_Toc23519"/>
      <w:bookmarkStart w:id="44" w:name="_Toc1243"/>
      <w:bookmarkStart w:id="45" w:name="_Toc6361"/>
      <w:r>
        <w:rPr>
          <w:rFonts w:hint="eastAsia" w:ascii="Times New Roman" w:hAnsi="Times New Roman" w:eastAsia="宋体" w:cs="Times New Roman"/>
          <w:color w:val="auto"/>
          <w:kern w:val="0"/>
          <w:sz w:val="24"/>
          <w:szCs w:val="24"/>
          <w:highlight w:val="none"/>
          <w:lang w:val="en-US" w:eastAsia="zh-CN" w:bidi="ar-SA"/>
        </w:rPr>
        <w:t>一、核定量计算</w:t>
      </w:r>
      <w:bookmarkEnd w:id="43"/>
    </w:p>
    <w:p w14:paraId="2EEED39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（一）废气</w:t>
      </w:r>
    </w:p>
    <w:p w14:paraId="5BEF1DF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1、</w:t>
      </w:r>
      <w:r>
        <w:rPr>
          <w:rFonts w:hint="eastAsia" w:ascii="Times New Roman" w:hAnsi="Times New Roman" w:eastAsia="宋体" w:cs="Times New Roman"/>
          <w:color w:val="auto"/>
          <w:kern w:val="0"/>
          <w:sz w:val="24"/>
          <w:szCs w:val="24"/>
          <w:highlight w:val="none"/>
          <w:lang w:val="en-US" w:eastAsia="zh-CN" w:bidi="ar-SA"/>
        </w:rPr>
        <w:t>预处理过程挥发废气</w:t>
      </w:r>
    </w:p>
    <w:p w14:paraId="073392C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本项目废气主要来自于废机油、柴油及废防冻液的挥发。报废农机在入厂后，首先对农机进行检查，对出现泄漏的总成部件，收集泄漏的液体或封住泄漏处，故泄漏的废油液量很少。项目废油液抽取前和抽取后均在密闭容器内封存，可能产生VOCs的环节主要为预处理过程，排空油液的过程中油液的挥发。参照《散装液态石油产品损耗》</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GB11085-89</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中灌桶</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0.18%</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和零售加注时</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0.29%</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的两部分的损失率，按总体0.47%的损失率进行计算，类比同类项目，项目预处理中转量约为</w:t>
      </w:r>
      <w:r>
        <w:rPr>
          <w:rFonts w:hint="eastAsia" w:cs="Times New Roman"/>
          <w:color w:val="auto"/>
          <w:kern w:val="0"/>
          <w:sz w:val="24"/>
          <w:szCs w:val="24"/>
          <w:highlight w:val="none"/>
          <w:lang w:val="en-US" w:eastAsia="zh-CN" w:bidi="ar-SA"/>
        </w:rPr>
        <w:t>8</w:t>
      </w:r>
      <w:r>
        <w:rPr>
          <w:rFonts w:hint="eastAsia" w:ascii="Times New Roman" w:hAnsi="Times New Roman" w:eastAsia="宋体" w:cs="Times New Roman"/>
          <w:color w:val="auto"/>
          <w:kern w:val="0"/>
          <w:sz w:val="24"/>
          <w:szCs w:val="24"/>
          <w:highlight w:val="none"/>
          <w:lang w:val="en-US" w:eastAsia="zh-CN" w:bidi="ar-SA"/>
        </w:rPr>
        <w:t>t</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a，则VOCs产生量约为</w:t>
      </w:r>
      <w:r>
        <w:rPr>
          <w:rFonts w:hint="eastAsia" w:cs="Times New Roman"/>
          <w:color w:val="auto"/>
          <w:kern w:val="0"/>
          <w:sz w:val="24"/>
          <w:szCs w:val="24"/>
          <w:highlight w:val="none"/>
          <w:lang w:val="en-US" w:eastAsia="zh-CN" w:bidi="ar-SA"/>
        </w:rPr>
        <w:t>0.038</w:t>
      </w:r>
      <w:r>
        <w:rPr>
          <w:rFonts w:hint="eastAsia" w:ascii="Times New Roman" w:hAnsi="Times New Roman" w:eastAsia="宋体" w:cs="Times New Roman"/>
          <w:color w:val="auto"/>
          <w:kern w:val="0"/>
          <w:sz w:val="24"/>
          <w:szCs w:val="24"/>
          <w:highlight w:val="none"/>
          <w:lang w:val="en-US" w:eastAsia="zh-CN" w:bidi="ar-SA"/>
        </w:rPr>
        <w:t>t</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a</w:t>
      </w:r>
      <w:r>
        <w:rPr>
          <w:rFonts w:hint="eastAsia" w:cs="Times New Roman"/>
          <w:color w:val="auto"/>
          <w:kern w:val="0"/>
          <w:sz w:val="24"/>
          <w:szCs w:val="24"/>
          <w:highlight w:val="none"/>
          <w:lang w:val="en-US" w:eastAsia="zh-CN" w:bidi="ar-SA"/>
        </w:rPr>
        <w:t>（0.019</w:t>
      </w:r>
      <w:r>
        <w:rPr>
          <w:rFonts w:hint="eastAsia" w:ascii="Times New Roman" w:hAnsi="Times New Roman" w:eastAsia="宋体" w:cs="Times New Roman"/>
          <w:color w:val="auto"/>
          <w:kern w:val="0"/>
          <w:sz w:val="24"/>
          <w:szCs w:val="24"/>
          <w:highlight w:val="none"/>
          <w:lang w:val="en-US" w:eastAsia="zh-CN" w:bidi="ar-SA"/>
        </w:rPr>
        <w:t>kg</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h</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。项目采用油液抽取机抽取油液及防冻液，在工位上方设置集气罩，废气经集气罩收集后经活性炭吸附装置处理，后经15m高排气</w:t>
      </w:r>
      <w:r>
        <w:rPr>
          <w:rFonts w:hint="eastAsia" w:cs="Times New Roman"/>
          <w:color w:val="auto"/>
          <w:kern w:val="0"/>
          <w:sz w:val="24"/>
          <w:szCs w:val="24"/>
          <w:highlight w:val="none"/>
          <w:lang w:val="en-US" w:eastAsia="zh-CN" w:bidi="ar-SA"/>
        </w:rPr>
        <w:t>筒（DA001）</w:t>
      </w:r>
      <w:r>
        <w:rPr>
          <w:rFonts w:hint="eastAsia" w:ascii="Times New Roman" w:hAnsi="Times New Roman" w:eastAsia="宋体" w:cs="Times New Roman"/>
          <w:color w:val="auto"/>
          <w:kern w:val="0"/>
          <w:sz w:val="24"/>
          <w:szCs w:val="24"/>
          <w:highlight w:val="none"/>
          <w:lang w:val="en-US" w:eastAsia="zh-CN" w:bidi="ar-SA"/>
        </w:rPr>
        <w:t>排放，风机量为3000m</w:t>
      </w:r>
      <w:r>
        <w:rPr>
          <w:rFonts w:hint="eastAsia" w:cs="Times New Roman"/>
          <w:color w:val="auto"/>
          <w:kern w:val="0"/>
          <w:sz w:val="24"/>
          <w:szCs w:val="24"/>
          <w:highlight w:val="none"/>
          <w:vertAlign w:val="superscript"/>
          <w:lang w:val="en-US" w:eastAsia="zh-CN" w:bidi="ar-SA"/>
        </w:rPr>
        <w:t>3</w:t>
      </w:r>
      <w:r>
        <w:rPr>
          <w:rFonts w:hint="eastAsia" w:cs="Times New Roman"/>
          <w:color w:val="auto"/>
          <w:kern w:val="0"/>
          <w:sz w:val="24"/>
          <w:szCs w:val="24"/>
          <w:highlight w:val="none"/>
          <w:lang w:val="en-US" w:eastAsia="zh-CN" w:bidi="ar-SA"/>
        </w:rPr>
        <w:t>/h</w:t>
      </w:r>
      <w:r>
        <w:rPr>
          <w:rFonts w:hint="eastAsia" w:ascii="Times New Roman" w:hAnsi="Times New Roman" w:eastAsia="宋体" w:cs="Times New Roman"/>
          <w:color w:val="auto"/>
          <w:kern w:val="0"/>
          <w:sz w:val="24"/>
          <w:szCs w:val="24"/>
          <w:highlight w:val="none"/>
          <w:lang w:val="en-US" w:eastAsia="zh-CN" w:bidi="ar-SA"/>
        </w:rPr>
        <w:t>，收集效率约90%，处理效率约80%。</w:t>
      </w:r>
    </w:p>
    <w:p w14:paraId="4C3EEE5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则有组织</w:t>
      </w:r>
      <w:r>
        <w:rPr>
          <w:rFonts w:hint="eastAsia" w:cs="Times New Roman"/>
          <w:color w:val="auto"/>
          <w:kern w:val="0"/>
          <w:sz w:val="24"/>
          <w:szCs w:val="24"/>
          <w:highlight w:val="none"/>
          <w:lang w:val="en-US" w:eastAsia="zh-CN" w:bidi="ar-SA"/>
        </w:rPr>
        <w:t>非甲烷总烃</w:t>
      </w:r>
      <w:r>
        <w:rPr>
          <w:rFonts w:hint="eastAsia" w:ascii="Times New Roman" w:hAnsi="Times New Roman" w:eastAsia="宋体" w:cs="Times New Roman"/>
          <w:color w:val="auto"/>
          <w:kern w:val="0"/>
          <w:sz w:val="24"/>
          <w:szCs w:val="24"/>
          <w:highlight w:val="none"/>
          <w:lang w:val="en-US" w:eastAsia="zh-CN" w:bidi="ar-SA"/>
        </w:rPr>
        <w:t>核定排放量：</w:t>
      </w:r>
      <w:r>
        <w:rPr>
          <w:rFonts w:hint="eastAsia" w:cs="Times New Roman"/>
          <w:color w:val="auto"/>
          <w:kern w:val="0"/>
          <w:sz w:val="24"/>
          <w:szCs w:val="24"/>
          <w:highlight w:val="none"/>
          <w:lang w:val="en-US" w:eastAsia="zh-CN" w:bidi="ar-SA"/>
        </w:rPr>
        <w:t>3</w:t>
      </w:r>
      <w:r>
        <w:rPr>
          <w:rFonts w:hint="eastAsia" w:ascii="Times New Roman" w:hAnsi="Times New Roman" w:eastAsia="宋体" w:cs="Times New Roman"/>
          <w:color w:val="auto"/>
          <w:kern w:val="0"/>
          <w:sz w:val="24"/>
          <w:szCs w:val="24"/>
          <w:highlight w:val="none"/>
          <w:lang w:val="en-US" w:eastAsia="zh-CN" w:bidi="ar-SA"/>
        </w:rPr>
        <w:t>000m</w:t>
      </w:r>
      <w:r>
        <w:rPr>
          <w:rFonts w:hint="eastAsia" w:ascii="Times New Roman" w:hAnsi="Times New Roman" w:eastAsia="宋体" w:cs="Times New Roman"/>
          <w:color w:val="auto"/>
          <w:kern w:val="0"/>
          <w:sz w:val="24"/>
          <w:szCs w:val="24"/>
          <w:highlight w:val="none"/>
          <w:vertAlign w:val="superscript"/>
          <w:lang w:val="en-US" w:eastAsia="zh-CN" w:bidi="ar-SA"/>
        </w:rPr>
        <w:t>3</w:t>
      </w:r>
      <w:r>
        <w:rPr>
          <w:rFonts w:hint="eastAsia" w:ascii="Times New Roman" w:hAnsi="Times New Roman" w:eastAsia="宋体" w:cs="Times New Roman"/>
          <w:color w:val="auto"/>
          <w:kern w:val="0"/>
          <w:sz w:val="24"/>
          <w:szCs w:val="24"/>
          <w:highlight w:val="none"/>
          <w:lang w:val="en-US" w:eastAsia="zh-CN" w:bidi="ar-SA"/>
        </w:rPr>
        <w:t>/h×</w:t>
      </w:r>
      <w:r>
        <w:rPr>
          <w:rFonts w:hint="eastAsia" w:cs="Times New Roman"/>
          <w:color w:val="auto"/>
          <w:kern w:val="0"/>
          <w:sz w:val="24"/>
          <w:szCs w:val="24"/>
          <w:highlight w:val="none"/>
          <w:lang w:val="en-US" w:eastAsia="zh-CN" w:bidi="ar-SA"/>
        </w:rPr>
        <w:t>120</w:t>
      </w:r>
      <w:r>
        <w:rPr>
          <w:rFonts w:hint="eastAsia" w:ascii="Times New Roman" w:hAnsi="Times New Roman" w:eastAsia="宋体" w:cs="Times New Roman"/>
          <w:color w:val="auto"/>
          <w:kern w:val="0"/>
          <w:sz w:val="24"/>
          <w:szCs w:val="24"/>
          <w:highlight w:val="none"/>
          <w:lang w:val="en-US" w:eastAsia="zh-CN" w:bidi="ar-SA"/>
        </w:rPr>
        <w:t>mg/m</w:t>
      </w:r>
      <w:r>
        <w:rPr>
          <w:rFonts w:hint="eastAsia" w:ascii="Times New Roman" w:hAnsi="Times New Roman" w:eastAsia="宋体" w:cs="Times New Roman"/>
          <w:color w:val="auto"/>
          <w:kern w:val="0"/>
          <w:sz w:val="24"/>
          <w:szCs w:val="24"/>
          <w:highlight w:val="none"/>
          <w:vertAlign w:val="superscript"/>
          <w:lang w:val="en-US" w:eastAsia="zh-CN" w:bidi="ar-SA"/>
        </w:rPr>
        <w:t>3</w:t>
      </w:r>
      <w:r>
        <w:rPr>
          <w:rFonts w:hint="eastAsia" w:ascii="Times New Roman" w:hAnsi="Times New Roman" w:eastAsia="宋体" w:cs="Times New Roman"/>
          <w:color w:val="auto"/>
          <w:kern w:val="0"/>
          <w:sz w:val="24"/>
          <w:szCs w:val="24"/>
          <w:highlight w:val="none"/>
          <w:lang w:val="en-US" w:eastAsia="zh-CN" w:bidi="ar-SA"/>
        </w:rPr>
        <w:t>÷10</w:t>
      </w:r>
      <w:r>
        <w:rPr>
          <w:rFonts w:hint="eastAsia" w:ascii="Times New Roman" w:hAnsi="Times New Roman" w:eastAsia="宋体" w:cs="Times New Roman"/>
          <w:color w:val="auto"/>
          <w:kern w:val="0"/>
          <w:sz w:val="24"/>
          <w:szCs w:val="24"/>
          <w:highlight w:val="none"/>
          <w:vertAlign w:val="superscript"/>
          <w:lang w:val="en-US" w:eastAsia="zh-CN" w:bidi="ar-SA"/>
        </w:rPr>
        <w:t>9</w:t>
      </w:r>
      <w:r>
        <w:rPr>
          <w:rFonts w:hint="eastAsia" w:ascii="Times New Roman" w:hAnsi="Times New Roman" w:eastAsia="宋体" w:cs="Times New Roman"/>
          <w:color w:val="auto"/>
          <w:kern w:val="0"/>
          <w:sz w:val="24"/>
          <w:szCs w:val="24"/>
          <w:highlight w:val="none"/>
          <w:lang w:val="en-US" w:eastAsia="zh-CN" w:bidi="ar-SA"/>
        </w:rPr>
        <w:t>×</w:t>
      </w:r>
      <w:r>
        <w:rPr>
          <w:rFonts w:hint="eastAsia" w:cs="Times New Roman"/>
          <w:color w:val="auto"/>
          <w:kern w:val="0"/>
          <w:sz w:val="24"/>
          <w:szCs w:val="24"/>
          <w:highlight w:val="none"/>
          <w:lang w:val="en-US" w:eastAsia="zh-CN" w:bidi="ar-SA"/>
        </w:rPr>
        <w:t>2000</w:t>
      </w:r>
      <w:r>
        <w:rPr>
          <w:rFonts w:hint="eastAsia" w:ascii="Times New Roman" w:hAnsi="Times New Roman" w:eastAsia="宋体" w:cs="Times New Roman"/>
          <w:color w:val="auto"/>
          <w:kern w:val="0"/>
          <w:sz w:val="24"/>
          <w:szCs w:val="24"/>
          <w:highlight w:val="none"/>
          <w:lang w:val="en-US" w:eastAsia="zh-CN" w:bidi="ar-SA"/>
        </w:rPr>
        <w:t>h=</w:t>
      </w:r>
      <w:r>
        <w:rPr>
          <w:rFonts w:hint="eastAsia" w:cs="Times New Roman"/>
          <w:color w:val="auto"/>
          <w:kern w:val="0"/>
          <w:sz w:val="24"/>
          <w:szCs w:val="24"/>
          <w:highlight w:val="none"/>
          <w:lang w:val="en-US" w:eastAsia="zh-CN" w:bidi="ar-SA"/>
        </w:rPr>
        <w:t>0.72</w:t>
      </w:r>
      <w:r>
        <w:rPr>
          <w:rFonts w:hint="eastAsia" w:ascii="Times New Roman" w:hAnsi="Times New Roman" w:eastAsia="宋体" w:cs="Times New Roman"/>
          <w:color w:val="auto"/>
          <w:kern w:val="0"/>
          <w:sz w:val="24"/>
          <w:szCs w:val="24"/>
          <w:highlight w:val="none"/>
          <w:lang w:val="en-US" w:eastAsia="zh-CN" w:bidi="ar-SA"/>
        </w:rPr>
        <w:t>t/a</w:t>
      </w:r>
    </w:p>
    <w:p w14:paraId="709985D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②切割废气</w:t>
      </w:r>
    </w:p>
    <w:p w14:paraId="7505CF2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报废农机在拆解后较大部件需进行切割，切割采用离子切割。切割过程农机被切割位置的受热金属熔化，由于局部的高温作用部分金属离子直接以气态形式进入空气中或者被熔化金属中杂质燃烧产生的气体</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如C燃烧产生的CO</w:t>
      </w:r>
      <w:r>
        <w:rPr>
          <w:rFonts w:hint="eastAsia" w:cs="Times New Roman"/>
          <w:color w:val="auto"/>
          <w:kern w:val="0"/>
          <w:sz w:val="24"/>
          <w:szCs w:val="24"/>
          <w:highlight w:val="none"/>
          <w:vertAlign w:val="subscript"/>
          <w:lang w:val="en-US" w:eastAsia="zh-CN" w:bidi="ar-SA"/>
        </w:rPr>
        <w:t>2</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带入到空气中，金属离子在空气中随即冷却形成颗粒物因此而产生的切割烟尘环境影响较大。根据被切割件的性质特点，本项目切割烟尘主要成份为金属颗粒物（Fe</w:t>
      </w:r>
      <w:r>
        <w:rPr>
          <w:rFonts w:hint="eastAsia" w:ascii="Times New Roman" w:hAnsi="Times New Roman" w:eastAsia="宋体" w:cs="Times New Roman"/>
          <w:color w:val="auto"/>
          <w:kern w:val="0"/>
          <w:sz w:val="24"/>
          <w:szCs w:val="24"/>
          <w:highlight w:val="none"/>
          <w:vertAlign w:val="subscript"/>
          <w:lang w:val="en-US" w:eastAsia="zh-CN" w:bidi="ar-SA"/>
        </w:rPr>
        <w:t>2</w:t>
      </w:r>
      <w:r>
        <w:rPr>
          <w:rFonts w:hint="eastAsia" w:cs="Times New Roman"/>
          <w:color w:val="auto"/>
          <w:kern w:val="0"/>
          <w:sz w:val="24"/>
          <w:szCs w:val="24"/>
          <w:highlight w:val="none"/>
          <w:lang w:val="en-US" w:eastAsia="zh-CN" w:bidi="ar-SA"/>
        </w:rPr>
        <w:t>O</w:t>
      </w:r>
      <w:r>
        <w:rPr>
          <w:rFonts w:hint="eastAsia" w:cs="Times New Roman"/>
          <w:color w:val="auto"/>
          <w:kern w:val="0"/>
          <w:sz w:val="24"/>
          <w:szCs w:val="24"/>
          <w:highlight w:val="none"/>
          <w:vertAlign w:val="subscript"/>
          <w:lang w:val="en-US" w:eastAsia="zh-CN" w:bidi="ar-SA"/>
        </w:rPr>
        <w:t>3</w:t>
      </w:r>
      <w:r>
        <w:rPr>
          <w:rFonts w:hint="eastAsia" w:ascii="Times New Roman" w:hAnsi="Times New Roman" w:eastAsia="宋体" w:cs="Times New Roman"/>
          <w:color w:val="auto"/>
          <w:kern w:val="0"/>
          <w:sz w:val="24"/>
          <w:szCs w:val="24"/>
          <w:highlight w:val="none"/>
          <w:lang w:val="en-US" w:eastAsia="zh-CN" w:bidi="ar-SA"/>
        </w:rPr>
        <w:t>、FeO</w:t>
      </w:r>
      <w:r>
        <w:rPr>
          <w:rFonts w:hint="eastAsia" w:ascii="Times New Roman" w:hAnsi="Times New Roman" w:eastAsia="宋体" w:cs="Times New Roman"/>
          <w:color w:val="auto"/>
          <w:kern w:val="0"/>
          <w:sz w:val="24"/>
          <w:szCs w:val="24"/>
          <w:highlight w:val="none"/>
          <w:vertAlign w:val="subscript"/>
          <w:lang w:val="en-US" w:eastAsia="zh-CN" w:bidi="ar-SA"/>
        </w:rPr>
        <w:t>2</w:t>
      </w:r>
      <w:r>
        <w:rPr>
          <w:rFonts w:hint="eastAsia" w:ascii="Times New Roman" w:hAnsi="Times New Roman" w:eastAsia="宋体" w:cs="Times New Roman"/>
          <w:color w:val="auto"/>
          <w:kern w:val="0"/>
          <w:sz w:val="24"/>
          <w:szCs w:val="24"/>
          <w:highlight w:val="none"/>
          <w:lang w:val="en-US" w:eastAsia="zh-CN" w:bidi="ar-SA"/>
        </w:rPr>
        <w:t>、MnO</w:t>
      </w:r>
      <w:r>
        <w:rPr>
          <w:rFonts w:hint="eastAsia" w:ascii="Times New Roman" w:hAnsi="Times New Roman" w:eastAsia="宋体" w:cs="Times New Roman"/>
          <w:color w:val="auto"/>
          <w:kern w:val="0"/>
          <w:sz w:val="24"/>
          <w:szCs w:val="24"/>
          <w:highlight w:val="none"/>
          <w:vertAlign w:val="subscript"/>
          <w:lang w:val="en-US" w:eastAsia="zh-CN" w:bidi="ar-SA"/>
        </w:rPr>
        <w:t>2</w:t>
      </w:r>
      <w:r>
        <w:rPr>
          <w:rFonts w:hint="eastAsia" w:ascii="Times New Roman" w:hAnsi="Times New Roman" w:eastAsia="宋体" w:cs="Times New Roman"/>
          <w:color w:val="auto"/>
          <w:kern w:val="0"/>
          <w:sz w:val="24"/>
          <w:szCs w:val="24"/>
          <w:highlight w:val="none"/>
          <w:lang w:val="en-US" w:eastAsia="zh-CN" w:bidi="ar-SA"/>
        </w:rPr>
        <w:t>、</w:t>
      </w:r>
      <w:r>
        <w:rPr>
          <w:rFonts w:hint="eastAsia" w:cs="Times New Roman"/>
          <w:color w:val="auto"/>
          <w:kern w:val="0"/>
          <w:sz w:val="24"/>
          <w:szCs w:val="24"/>
          <w:highlight w:val="none"/>
          <w:lang w:val="en-US" w:eastAsia="zh-CN" w:bidi="ar-SA"/>
        </w:rPr>
        <w:t>SiO</w:t>
      </w:r>
      <w:r>
        <w:rPr>
          <w:rFonts w:hint="eastAsia" w:ascii="Times New Roman" w:hAnsi="Times New Roman" w:eastAsia="宋体" w:cs="Times New Roman"/>
          <w:color w:val="auto"/>
          <w:kern w:val="0"/>
          <w:sz w:val="24"/>
          <w:szCs w:val="24"/>
          <w:highlight w:val="none"/>
          <w:vertAlign w:val="subscript"/>
          <w:lang w:val="en-US" w:eastAsia="zh-CN" w:bidi="ar-SA"/>
        </w:rPr>
        <w:t>2</w:t>
      </w:r>
      <w:r>
        <w:rPr>
          <w:rFonts w:hint="eastAsia" w:ascii="Times New Roman" w:hAnsi="Times New Roman" w:eastAsia="宋体" w:cs="Times New Roman"/>
          <w:color w:val="auto"/>
          <w:kern w:val="0"/>
          <w:sz w:val="24"/>
          <w:szCs w:val="24"/>
          <w:highlight w:val="none"/>
          <w:lang w:val="en-US" w:eastAsia="zh-CN" w:bidi="ar-SA"/>
        </w:rPr>
        <w:t>）等参考《第二次全国污染源普查产排污核算系数手册》33-37</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431-434机械行业系数手册，采用等离子切割产生的颗粒物1.1kg</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t-原料，根据物料平衡分析，农机拆解得到钢铁约为</w:t>
      </w:r>
      <w:r>
        <w:rPr>
          <w:rFonts w:hint="eastAsia" w:cs="Times New Roman"/>
          <w:color w:val="auto"/>
          <w:kern w:val="0"/>
          <w:sz w:val="24"/>
          <w:szCs w:val="24"/>
          <w:highlight w:val="none"/>
          <w:lang w:val="en-US" w:eastAsia="zh-CN" w:bidi="ar-SA"/>
        </w:rPr>
        <w:t>2677.54</w:t>
      </w:r>
      <w:r>
        <w:rPr>
          <w:rFonts w:hint="eastAsia" w:ascii="Times New Roman" w:hAnsi="Times New Roman" w:eastAsia="宋体" w:cs="Times New Roman"/>
          <w:color w:val="auto"/>
          <w:kern w:val="0"/>
          <w:sz w:val="24"/>
          <w:szCs w:val="24"/>
          <w:highlight w:val="none"/>
          <w:lang w:val="en-US" w:eastAsia="zh-CN" w:bidi="ar-SA"/>
        </w:rPr>
        <w:t>t</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a，其中约5%需进行切割处理，则切割废气中粉尘总产生量为</w:t>
      </w:r>
      <w:r>
        <w:rPr>
          <w:rFonts w:hint="eastAsia" w:cs="Times New Roman"/>
          <w:color w:val="auto"/>
          <w:kern w:val="0"/>
          <w:sz w:val="24"/>
          <w:szCs w:val="24"/>
          <w:highlight w:val="none"/>
          <w:lang w:val="en-US" w:eastAsia="zh-CN" w:bidi="ar-SA"/>
        </w:rPr>
        <w:t>0.147</w:t>
      </w:r>
      <w:r>
        <w:rPr>
          <w:rFonts w:hint="eastAsia" w:ascii="Times New Roman" w:hAnsi="Times New Roman" w:eastAsia="宋体" w:cs="Times New Roman"/>
          <w:color w:val="auto"/>
          <w:kern w:val="0"/>
          <w:sz w:val="24"/>
          <w:szCs w:val="24"/>
          <w:highlight w:val="none"/>
          <w:lang w:val="en-US" w:eastAsia="zh-CN" w:bidi="ar-SA"/>
        </w:rPr>
        <w:t>t/a。切割工位设置集气罩，切割粉尘采用集气罩收集，经布袋除尘器处理后经15m高排气筒</w:t>
      </w:r>
      <w:r>
        <w:rPr>
          <w:rFonts w:hint="eastAsia" w:cs="Times New Roman"/>
          <w:color w:val="auto"/>
          <w:kern w:val="0"/>
          <w:sz w:val="24"/>
          <w:szCs w:val="24"/>
          <w:highlight w:val="none"/>
          <w:lang w:val="en-US" w:eastAsia="zh-CN" w:bidi="ar-SA"/>
        </w:rPr>
        <w:t>（DA001）</w:t>
      </w:r>
      <w:r>
        <w:rPr>
          <w:rFonts w:hint="eastAsia" w:ascii="Times New Roman" w:hAnsi="Times New Roman" w:eastAsia="宋体" w:cs="Times New Roman"/>
          <w:color w:val="auto"/>
          <w:kern w:val="0"/>
          <w:sz w:val="24"/>
          <w:szCs w:val="24"/>
          <w:highlight w:val="none"/>
          <w:lang w:val="en-US" w:eastAsia="zh-CN" w:bidi="ar-SA"/>
        </w:rPr>
        <w:t>排放，风机量为3000m</w:t>
      </w:r>
      <w:r>
        <w:rPr>
          <w:rFonts w:hint="eastAsia" w:ascii="Times New Roman" w:hAnsi="Times New Roman" w:eastAsia="宋体" w:cs="Times New Roman"/>
          <w:color w:val="auto"/>
          <w:kern w:val="0"/>
          <w:sz w:val="24"/>
          <w:szCs w:val="24"/>
          <w:highlight w:val="none"/>
          <w:vertAlign w:val="superscript"/>
          <w:lang w:val="en-US" w:eastAsia="zh-CN" w:bidi="ar-SA"/>
        </w:rPr>
        <w:t>3</w:t>
      </w:r>
      <w:r>
        <w:rPr>
          <w:rFonts w:hint="eastAsia" w:ascii="Times New Roman" w:hAnsi="Times New Roman" w:eastAsia="宋体" w:cs="Times New Roman"/>
          <w:color w:val="auto"/>
          <w:kern w:val="0"/>
          <w:sz w:val="24"/>
          <w:szCs w:val="24"/>
          <w:highlight w:val="none"/>
          <w:lang w:val="en-US" w:eastAsia="zh-CN" w:bidi="ar-SA"/>
        </w:rPr>
        <w:t>/h，收集效率约90%，处理效率约99%。因此项目无组织粉尘排放量约0.01</w:t>
      </w:r>
      <w:r>
        <w:rPr>
          <w:rFonts w:hint="eastAsia" w:cs="Times New Roman"/>
          <w:color w:val="auto"/>
          <w:kern w:val="0"/>
          <w:sz w:val="24"/>
          <w:szCs w:val="24"/>
          <w:highlight w:val="none"/>
          <w:lang w:val="en-US" w:eastAsia="zh-CN" w:bidi="ar-SA"/>
        </w:rPr>
        <w:t>5</w:t>
      </w:r>
      <w:r>
        <w:rPr>
          <w:rFonts w:hint="eastAsia" w:ascii="Times New Roman" w:hAnsi="Times New Roman" w:eastAsia="宋体" w:cs="Times New Roman"/>
          <w:color w:val="auto"/>
          <w:kern w:val="0"/>
          <w:sz w:val="24"/>
          <w:szCs w:val="24"/>
          <w:highlight w:val="none"/>
          <w:lang w:val="en-US" w:eastAsia="zh-CN" w:bidi="ar-SA"/>
        </w:rPr>
        <w:t>t</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a，有组织粉尘排放量为0.001</w:t>
      </w:r>
      <w:r>
        <w:rPr>
          <w:rFonts w:hint="eastAsia" w:cs="Times New Roman"/>
          <w:color w:val="auto"/>
          <w:kern w:val="0"/>
          <w:sz w:val="24"/>
          <w:szCs w:val="24"/>
          <w:highlight w:val="none"/>
          <w:lang w:val="en-US" w:eastAsia="zh-CN" w:bidi="ar-SA"/>
        </w:rPr>
        <w:t>3</w:t>
      </w:r>
      <w:r>
        <w:rPr>
          <w:rFonts w:hint="eastAsia" w:ascii="Times New Roman" w:hAnsi="Times New Roman" w:eastAsia="宋体" w:cs="Times New Roman"/>
          <w:color w:val="auto"/>
          <w:kern w:val="0"/>
          <w:sz w:val="24"/>
          <w:szCs w:val="24"/>
          <w:highlight w:val="none"/>
          <w:lang w:val="en-US" w:eastAsia="zh-CN" w:bidi="ar-SA"/>
        </w:rPr>
        <w:t>t</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a。</w:t>
      </w:r>
    </w:p>
    <w:p w14:paraId="64F38C2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则有组织</w:t>
      </w:r>
      <w:r>
        <w:rPr>
          <w:rFonts w:hint="eastAsia" w:cs="Times New Roman"/>
          <w:color w:val="auto"/>
          <w:kern w:val="0"/>
          <w:sz w:val="24"/>
          <w:szCs w:val="24"/>
          <w:highlight w:val="none"/>
          <w:lang w:val="en-US" w:eastAsia="zh-CN" w:bidi="ar-SA"/>
        </w:rPr>
        <w:t>粉尘</w:t>
      </w:r>
      <w:r>
        <w:rPr>
          <w:rFonts w:hint="eastAsia" w:ascii="Times New Roman" w:hAnsi="Times New Roman" w:eastAsia="宋体" w:cs="Times New Roman"/>
          <w:color w:val="auto"/>
          <w:kern w:val="0"/>
          <w:sz w:val="24"/>
          <w:szCs w:val="24"/>
          <w:highlight w:val="none"/>
          <w:lang w:val="en-US" w:eastAsia="zh-CN" w:bidi="ar-SA"/>
        </w:rPr>
        <w:t>核定排放量：</w:t>
      </w:r>
      <w:r>
        <w:rPr>
          <w:rFonts w:hint="eastAsia" w:cs="Times New Roman"/>
          <w:color w:val="auto"/>
          <w:kern w:val="0"/>
          <w:sz w:val="24"/>
          <w:szCs w:val="24"/>
          <w:highlight w:val="none"/>
          <w:lang w:val="en-US" w:eastAsia="zh-CN" w:bidi="ar-SA"/>
        </w:rPr>
        <w:t>3</w:t>
      </w:r>
      <w:r>
        <w:rPr>
          <w:rFonts w:hint="eastAsia" w:ascii="Times New Roman" w:hAnsi="Times New Roman" w:eastAsia="宋体" w:cs="Times New Roman"/>
          <w:color w:val="auto"/>
          <w:kern w:val="0"/>
          <w:sz w:val="24"/>
          <w:szCs w:val="24"/>
          <w:highlight w:val="none"/>
          <w:lang w:val="en-US" w:eastAsia="zh-CN" w:bidi="ar-SA"/>
        </w:rPr>
        <w:t>000m</w:t>
      </w:r>
      <w:r>
        <w:rPr>
          <w:rFonts w:hint="eastAsia" w:ascii="Times New Roman" w:hAnsi="Times New Roman" w:eastAsia="宋体" w:cs="Times New Roman"/>
          <w:color w:val="auto"/>
          <w:kern w:val="0"/>
          <w:sz w:val="24"/>
          <w:szCs w:val="24"/>
          <w:highlight w:val="none"/>
          <w:vertAlign w:val="superscript"/>
          <w:lang w:val="en-US" w:eastAsia="zh-CN" w:bidi="ar-SA"/>
        </w:rPr>
        <w:t>3</w:t>
      </w:r>
      <w:r>
        <w:rPr>
          <w:rFonts w:hint="eastAsia" w:ascii="Times New Roman" w:hAnsi="Times New Roman" w:eastAsia="宋体" w:cs="Times New Roman"/>
          <w:color w:val="auto"/>
          <w:kern w:val="0"/>
          <w:sz w:val="24"/>
          <w:szCs w:val="24"/>
          <w:highlight w:val="none"/>
          <w:lang w:val="en-US" w:eastAsia="zh-CN" w:bidi="ar-SA"/>
        </w:rPr>
        <w:t>/h×</w:t>
      </w:r>
      <w:r>
        <w:rPr>
          <w:rFonts w:hint="eastAsia" w:cs="Times New Roman"/>
          <w:color w:val="auto"/>
          <w:kern w:val="0"/>
          <w:sz w:val="24"/>
          <w:szCs w:val="24"/>
          <w:highlight w:val="none"/>
          <w:lang w:val="en-US" w:eastAsia="zh-CN" w:bidi="ar-SA"/>
        </w:rPr>
        <w:t>120</w:t>
      </w:r>
      <w:r>
        <w:rPr>
          <w:rFonts w:hint="eastAsia" w:ascii="Times New Roman" w:hAnsi="Times New Roman" w:eastAsia="宋体" w:cs="Times New Roman"/>
          <w:color w:val="auto"/>
          <w:kern w:val="0"/>
          <w:sz w:val="24"/>
          <w:szCs w:val="24"/>
          <w:highlight w:val="none"/>
          <w:lang w:val="en-US" w:eastAsia="zh-CN" w:bidi="ar-SA"/>
        </w:rPr>
        <w:t>mg/m</w:t>
      </w:r>
      <w:r>
        <w:rPr>
          <w:rFonts w:hint="eastAsia" w:ascii="Times New Roman" w:hAnsi="Times New Roman" w:eastAsia="宋体" w:cs="Times New Roman"/>
          <w:color w:val="auto"/>
          <w:kern w:val="0"/>
          <w:sz w:val="24"/>
          <w:szCs w:val="24"/>
          <w:highlight w:val="none"/>
          <w:vertAlign w:val="superscript"/>
          <w:lang w:val="en-US" w:eastAsia="zh-CN" w:bidi="ar-SA"/>
        </w:rPr>
        <w:t>3</w:t>
      </w:r>
      <w:r>
        <w:rPr>
          <w:rFonts w:hint="eastAsia" w:ascii="Times New Roman" w:hAnsi="Times New Roman" w:eastAsia="宋体" w:cs="Times New Roman"/>
          <w:color w:val="auto"/>
          <w:kern w:val="0"/>
          <w:sz w:val="24"/>
          <w:szCs w:val="24"/>
          <w:highlight w:val="none"/>
          <w:lang w:val="en-US" w:eastAsia="zh-CN" w:bidi="ar-SA"/>
        </w:rPr>
        <w:t>÷10</w:t>
      </w:r>
      <w:r>
        <w:rPr>
          <w:rFonts w:hint="eastAsia" w:ascii="Times New Roman" w:hAnsi="Times New Roman" w:eastAsia="宋体" w:cs="Times New Roman"/>
          <w:color w:val="auto"/>
          <w:kern w:val="0"/>
          <w:sz w:val="24"/>
          <w:szCs w:val="24"/>
          <w:highlight w:val="none"/>
          <w:vertAlign w:val="superscript"/>
          <w:lang w:val="en-US" w:eastAsia="zh-CN" w:bidi="ar-SA"/>
        </w:rPr>
        <w:t>9</w:t>
      </w:r>
      <w:r>
        <w:rPr>
          <w:rFonts w:hint="eastAsia" w:ascii="Times New Roman" w:hAnsi="Times New Roman" w:eastAsia="宋体" w:cs="Times New Roman"/>
          <w:color w:val="auto"/>
          <w:kern w:val="0"/>
          <w:sz w:val="24"/>
          <w:szCs w:val="24"/>
          <w:highlight w:val="none"/>
          <w:lang w:val="en-US" w:eastAsia="zh-CN" w:bidi="ar-SA"/>
        </w:rPr>
        <w:t>×</w:t>
      </w:r>
      <w:r>
        <w:rPr>
          <w:rFonts w:hint="eastAsia" w:cs="Times New Roman"/>
          <w:color w:val="auto"/>
          <w:kern w:val="0"/>
          <w:sz w:val="24"/>
          <w:szCs w:val="24"/>
          <w:highlight w:val="none"/>
          <w:lang w:val="en-US" w:eastAsia="zh-CN" w:bidi="ar-SA"/>
        </w:rPr>
        <w:t>2000</w:t>
      </w:r>
      <w:r>
        <w:rPr>
          <w:rFonts w:hint="eastAsia" w:ascii="Times New Roman" w:hAnsi="Times New Roman" w:eastAsia="宋体" w:cs="Times New Roman"/>
          <w:color w:val="auto"/>
          <w:kern w:val="0"/>
          <w:sz w:val="24"/>
          <w:szCs w:val="24"/>
          <w:highlight w:val="none"/>
          <w:lang w:val="en-US" w:eastAsia="zh-CN" w:bidi="ar-SA"/>
        </w:rPr>
        <w:t>h=</w:t>
      </w:r>
      <w:r>
        <w:rPr>
          <w:rFonts w:hint="eastAsia" w:cs="Times New Roman"/>
          <w:color w:val="auto"/>
          <w:kern w:val="0"/>
          <w:sz w:val="24"/>
          <w:szCs w:val="24"/>
          <w:highlight w:val="none"/>
          <w:lang w:val="en-US" w:eastAsia="zh-CN" w:bidi="ar-SA"/>
        </w:rPr>
        <w:t>0.72</w:t>
      </w:r>
      <w:r>
        <w:rPr>
          <w:rFonts w:hint="eastAsia" w:ascii="Times New Roman" w:hAnsi="Times New Roman" w:eastAsia="宋体" w:cs="Times New Roman"/>
          <w:color w:val="auto"/>
          <w:kern w:val="0"/>
          <w:sz w:val="24"/>
          <w:szCs w:val="24"/>
          <w:highlight w:val="none"/>
          <w:lang w:val="en-US" w:eastAsia="zh-CN" w:bidi="ar-SA"/>
        </w:rPr>
        <w:t>t/a</w:t>
      </w:r>
    </w:p>
    <w:p w14:paraId="52FFA89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综上，本项目有组织粉尘</w:t>
      </w:r>
      <w:r>
        <w:rPr>
          <w:rFonts w:hint="eastAsia" w:ascii="Times New Roman" w:hAnsi="Times New Roman" w:eastAsia="宋体" w:cs="Times New Roman"/>
          <w:color w:val="auto"/>
          <w:kern w:val="0"/>
          <w:sz w:val="24"/>
          <w:szCs w:val="24"/>
          <w:highlight w:val="none"/>
          <w:lang w:val="en-US" w:eastAsia="zh-CN" w:bidi="ar-SA"/>
        </w:rPr>
        <w:t>核定排放量</w:t>
      </w:r>
      <w:r>
        <w:rPr>
          <w:rFonts w:hint="eastAsia" w:cs="Times New Roman"/>
          <w:color w:val="auto"/>
          <w:kern w:val="0"/>
          <w:sz w:val="24"/>
          <w:szCs w:val="24"/>
          <w:highlight w:val="none"/>
          <w:lang w:val="en-US" w:eastAsia="zh-CN" w:bidi="ar-SA"/>
        </w:rPr>
        <w:t>为0.72t/a、</w:t>
      </w:r>
      <w:r>
        <w:rPr>
          <w:rFonts w:hint="eastAsia" w:ascii="Times New Roman" w:hAnsi="Times New Roman" w:eastAsia="宋体" w:cs="Times New Roman"/>
          <w:color w:val="auto"/>
          <w:kern w:val="0"/>
          <w:sz w:val="24"/>
          <w:szCs w:val="24"/>
          <w:highlight w:val="none"/>
          <w:lang w:val="en-US" w:eastAsia="zh-CN" w:bidi="ar-SA"/>
        </w:rPr>
        <w:t>有组织</w:t>
      </w:r>
      <w:r>
        <w:rPr>
          <w:rFonts w:hint="eastAsia" w:cs="Times New Roman"/>
          <w:color w:val="auto"/>
          <w:kern w:val="0"/>
          <w:sz w:val="24"/>
          <w:szCs w:val="24"/>
          <w:highlight w:val="none"/>
          <w:lang w:val="en-US" w:eastAsia="zh-CN" w:bidi="ar-SA"/>
        </w:rPr>
        <w:t>非甲烷总烃</w:t>
      </w:r>
      <w:r>
        <w:rPr>
          <w:rFonts w:hint="eastAsia" w:ascii="Times New Roman" w:hAnsi="Times New Roman" w:eastAsia="宋体" w:cs="Times New Roman"/>
          <w:color w:val="auto"/>
          <w:kern w:val="0"/>
          <w:sz w:val="24"/>
          <w:szCs w:val="24"/>
          <w:highlight w:val="none"/>
          <w:lang w:val="en-US" w:eastAsia="zh-CN" w:bidi="ar-SA"/>
        </w:rPr>
        <w:t>核定排放量</w:t>
      </w:r>
      <w:r>
        <w:rPr>
          <w:rFonts w:hint="eastAsia" w:cs="Times New Roman"/>
          <w:color w:val="auto"/>
          <w:kern w:val="0"/>
          <w:sz w:val="24"/>
          <w:szCs w:val="24"/>
          <w:highlight w:val="none"/>
          <w:lang w:val="en-US" w:eastAsia="zh-CN" w:bidi="ar-SA"/>
        </w:rPr>
        <w:t>为0.72</w:t>
      </w:r>
      <w:r>
        <w:rPr>
          <w:rFonts w:hint="eastAsia" w:ascii="Times New Roman" w:hAnsi="Times New Roman" w:eastAsia="宋体" w:cs="Times New Roman"/>
          <w:color w:val="auto"/>
          <w:kern w:val="0"/>
          <w:sz w:val="24"/>
          <w:szCs w:val="24"/>
          <w:highlight w:val="none"/>
          <w:lang w:val="en-US" w:eastAsia="zh-CN" w:bidi="ar-SA"/>
        </w:rPr>
        <w:t>t/a</w:t>
      </w:r>
      <w:r>
        <w:rPr>
          <w:rFonts w:hint="eastAsia" w:cs="Times New Roman"/>
          <w:color w:val="auto"/>
          <w:kern w:val="0"/>
          <w:sz w:val="24"/>
          <w:szCs w:val="24"/>
          <w:highlight w:val="none"/>
          <w:lang w:val="en-US" w:eastAsia="zh-CN" w:bidi="ar-SA"/>
        </w:rPr>
        <w:t>。</w:t>
      </w:r>
    </w:p>
    <w:p w14:paraId="68BFD92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2、无组织废气</w:t>
      </w:r>
    </w:p>
    <w:p w14:paraId="493248B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0" w:right="0" w:rightChars="0" w:firstLine="480" w:firstLineChars="200"/>
        <w:textAlignment w:val="auto"/>
        <w:rPr>
          <w:rFonts w:hint="default"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工业粉尘无组织排放源暂无总量核定的具体要求，核定排放总量与预测排放总量一致。</w:t>
      </w:r>
    </w:p>
    <w:p w14:paraId="62DF66C3">
      <w:pPr>
        <w:pStyle w:val="127"/>
        <w:spacing w:line="360" w:lineRule="auto"/>
        <w:ind w:firstLine="480"/>
        <w:rPr>
          <w:rFonts w:hint="eastAsia"/>
          <w:color w:val="auto"/>
          <w:lang w:val="en-US" w:eastAsia="zh-CN"/>
        </w:rPr>
      </w:pPr>
      <w:r>
        <w:rPr>
          <w:rFonts w:hint="eastAsia"/>
          <w:color w:val="auto"/>
          <w:lang w:val="en-US" w:eastAsia="zh-CN"/>
        </w:rPr>
        <w:t>本项目</w:t>
      </w:r>
      <w:r>
        <w:rPr>
          <w:rFonts w:hint="eastAsia" w:ascii="Times New Roman" w:hAnsi="Times New Roman" w:eastAsia="宋体" w:cs="Times New Roman"/>
          <w:color w:val="auto"/>
          <w:kern w:val="0"/>
          <w:sz w:val="24"/>
          <w:szCs w:val="24"/>
          <w:highlight w:val="none"/>
          <w:lang w:val="en-US" w:eastAsia="zh-CN" w:bidi="ar-SA"/>
        </w:rPr>
        <w:t>预处理过程</w:t>
      </w:r>
      <w:r>
        <w:rPr>
          <w:rFonts w:hint="eastAsia"/>
          <w:color w:val="auto"/>
          <w:lang w:val="en-US" w:eastAsia="zh-CN"/>
        </w:rPr>
        <w:t>无组织非甲烷总烃排放量为0.004t/a，切割工序无组织</w:t>
      </w:r>
      <w:r>
        <w:rPr>
          <w:rFonts w:hint="eastAsia" w:cs="Times New Roman"/>
          <w:color w:val="auto"/>
          <w:kern w:val="0"/>
          <w:sz w:val="24"/>
          <w:szCs w:val="24"/>
          <w:highlight w:val="none"/>
          <w:lang w:val="en-US" w:eastAsia="zh-CN" w:bidi="ar-SA"/>
        </w:rPr>
        <w:t>粉尘</w:t>
      </w:r>
      <w:r>
        <w:rPr>
          <w:rFonts w:hint="eastAsia"/>
          <w:color w:val="auto"/>
          <w:lang w:val="en-US" w:eastAsia="zh-CN"/>
        </w:rPr>
        <w:t>排放量为</w:t>
      </w:r>
      <w:bookmarkStart w:id="46" w:name="OLE_LINK36"/>
      <w:r>
        <w:rPr>
          <w:rFonts w:hint="eastAsia"/>
          <w:color w:val="auto"/>
          <w:lang w:val="en-US" w:eastAsia="zh-CN"/>
        </w:rPr>
        <w:t>0.015t/a</w:t>
      </w:r>
      <w:bookmarkEnd w:id="46"/>
      <w:r>
        <w:rPr>
          <w:rFonts w:hint="eastAsia"/>
          <w:color w:val="auto"/>
          <w:lang w:val="en-US" w:eastAsia="zh-CN"/>
        </w:rPr>
        <w:t>。</w:t>
      </w:r>
    </w:p>
    <w:p w14:paraId="4CCE6120">
      <w:pPr>
        <w:pStyle w:val="127"/>
        <w:spacing w:line="360" w:lineRule="auto"/>
        <w:ind w:firstLine="480"/>
        <w:rPr>
          <w:rFonts w:hint="eastAsia"/>
          <w:color w:val="auto"/>
          <w:lang w:val="en-US" w:eastAsia="zh-CN"/>
        </w:rPr>
      </w:pPr>
      <w:r>
        <w:rPr>
          <w:rFonts w:hint="eastAsia"/>
          <w:color w:val="auto"/>
          <w:lang w:val="en-US" w:eastAsia="zh-CN"/>
        </w:rPr>
        <w:t>综上，本项目无组织</w:t>
      </w:r>
      <w:r>
        <w:rPr>
          <w:rFonts w:hint="eastAsia" w:cs="Times New Roman"/>
          <w:color w:val="auto"/>
          <w:kern w:val="0"/>
          <w:sz w:val="24"/>
          <w:szCs w:val="24"/>
          <w:highlight w:val="none"/>
          <w:lang w:val="en-US" w:eastAsia="zh-CN" w:bidi="ar-SA"/>
        </w:rPr>
        <w:t>粉尘</w:t>
      </w:r>
      <w:r>
        <w:rPr>
          <w:rFonts w:hint="eastAsia" w:ascii="Times New Roman" w:hAnsi="Times New Roman" w:eastAsia="宋体" w:cs="Times New Roman"/>
          <w:color w:val="auto"/>
          <w:kern w:val="0"/>
          <w:sz w:val="24"/>
          <w:szCs w:val="24"/>
          <w:highlight w:val="none"/>
          <w:lang w:val="en-US" w:eastAsia="zh-CN" w:bidi="ar-SA"/>
        </w:rPr>
        <w:t>核定</w:t>
      </w:r>
      <w:r>
        <w:rPr>
          <w:rFonts w:hint="eastAsia"/>
          <w:color w:val="auto"/>
          <w:lang w:val="en-US" w:eastAsia="zh-CN"/>
        </w:rPr>
        <w:t>排放量为0.735t/a、无组织非甲烷总烃</w:t>
      </w:r>
      <w:r>
        <w:rPr>
          <w:rFonts w:hint="eastAsia" w:ascii="Times New Roman" w:hAnsi="Times New Roman" w:eastAsia="宋体" w:cs="Times New Roman"/>
          <w:color w:val="auto"/>
          <w:kern w:val="0"/>
          <w:sz w:val="24"/>
          <w:szCs w:val="24"/>
          <w:highlight w:val="none"/>
          <w:lang w:val="en-US" w:eastAsia="zh-CN" w:bidi="ar-SA"/>
        </w:rPr>
        <w:t>核定</w:t>
      </w:r>
      <w:r>
        <w:rPr>
          <w:rFonts w:hint="eastAsia"/>
          <w:color w:val="auto"/>
          <w:lang w:val="en-US" w:eastAsia="zh-CN"/>
        </w:rPr>
        <w:t>排放量为0.724t/a。</w:t>
      </w:r>
    </w:p>
    <w:p w14:paraId="14529830">
      <w:pPr>
        <w:pStyle w:val="127"/>
        <w:spacing w:line="360" w:lineRule="auto"/>
        <w:ind w:firstLine="48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3、锅炉废气</w:t>
      </w:r>
    </w:p>
    <w:p w14:paraId="4F99EC6B">
      <w:pPr>
        <w:pStyle w:val="127"/>
        <w:spacing w:line="360" w:lineRule="auto"/>
        <w:ind w:firstLine="48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本项目执行</w:t>
      </w:r>
      <w:r>
        <w:rPr>
          <w:rFonts w:hint="eastAsia" w:ascii="Times New Roman" w:hAnsi="Times New Roman" w:eastAsia="宋体" w:cs="Times New Roman"/>
          <w:color w:val="auto"/>
          <w:kern w:val="0"/>
          <w:sz w:val="24"/>
          <w:szCs w:val="24"/>
          <w:lang w:eastAsia="zh-CN"/>
        </w:rPr>
        <w:t>《锅炉大气污染物排放标准》（GB13271-2014）表</w:t>
      </w:r>
      <w:r>
        <w:rPr>
          <w:rFonts w:hint="eastAsia" w:ascii="Times New Roman" w:hAnsi="Times New Roman" w:eastAsia="宋体" w:cs="Times New Roman"/>
          <w:color w:val="auto"/>
          <w:kern w:val="0"/>
          <w:sz w:val="24"/>
          <w:szCs w:val="24"/>
          <w:lang w:val="en-US" w:eastAsia="zh-CN"/>
        </w:rPr>
        <w:t>2</w:t>
      </w:r>
      <w:r>
        <w:rPr>
          <w:rFonts w:hint="eastAsia" w:ascii="Times New Roman" w:hAnsi="Times New Roman" w:eastAsia="宋体" w:cs="Times New Roman"/>
          <w:color w:val="auto"/>
          <w:kern w:val="0"/>
          <w:sz w:val="24"/>
          <w:szCs w:val="24"/>
          <w:lang w:eastAsia="zh-CN"/>
        </w:rPr>
        <w:t>中燃煤锅炉大气污染物排放限值标准要求</w:t>
      </w:r>
      <w:r>
        <w:rPr>
          <w:rFonts w:hint="default" w:ascii="Times New Roman" w:hAnsi="Times New Roman" w:cs="Times New Roman"/>
          <w:color w:val="auto"/>
          <w:lang w:val="en-US" w:eastAsia="zh-CN"/>
        </w:rPr>
        <w:t>（颗粒物浓度≤</w:t>
      </w:r>
      <w:r>
        <w:rPr>
          <w:rFonts w:hint="eastAsia" w:ascii="Times New Roman" w:hAnsi="Times New Roman" w:cs="Times New Roman"/>
          <w:color w:val="auto"/>
          <w:lang w:val="en-US" w:eastAsia="zh-CN"/>
        </w:rPr>
        <w:t>50</w:t>
      </w:r>
      <w:r>
        <w:rPr>
          <w:rFonts w:hint="default" w:ascii="Times New Roman" w:hAnsi="Times New Roman" w:cs="Times New Roman"/>
          <w:color w:val="auto"/>
          <w:lang w:val="en-US" w:eastAsia="zh-CN"/>
        </w:rPr>
        <w:t>mg/m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，SO</w:t>
      </w:r>
      <w:r>
        <w:rPr>
          <w:rFonts w:hint="default" w:ascii="Times New Roman" w:hAnsi="Times New Roman" w:cs="Times New Roman"/>
          <w:color w:val="auto"/>
          <w:vertAlign w:val="subscript"/>
          <w:lang w:val="en-US" w:eastAsia="zh-CN"/>
        </w:rPr>
        <w:t>2</w:t>
      </w:r>
      <w:r>
        <w:rPr>
          <w:rFonts w:hint="default" w:ascii="Times New Roman" w:hAnsi="Times New Roman" w:cs="Times New Roman"/>
          <w:color w:val="auto"/>
          <w:lang w:val="en-US" w:eastAsia="zh-CN"/>
        </w:rPr>
        <w:t>浓度≤</w:t>
      </w:r>
      <w:r>
        <w:rPr>
          <w:rFonts w:hint="eastAsia" w:ascii="Times New Roman" w:hAnsi="Times New Roman" w:cs="Times New Roman"/>
          <w:color w:val="auto"/>
          <w:lang w:val="en-US" w:eastAsia="zh-CN"/>
        </w:rPr>
        <w:t>300</w:t>
      </w:r>
      <w:r>
        <w:rPr>
          <w:rFonts w:hint="default" w:ascii="Times New Roman" w:hAnsi="Times New Roman" w:cs="Times New Roman"/>
          <w:color w:val="auto"/>
          <w:lang w:val="en-US" w:eastAsia="zh-CN"/>
        </w:rPr>
        <w:t>mg/m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，NO</w:t>
      </w:r>
      <w:r>
        <w:rPr>
          <w:rFonts w:hint="default" w:ascii="Times New Roman" w:hAnsi="Times New Roman" w:cs="Times New Roman"/>
          <w:color w:val="auto"/>
          <w:vertAlign w:val="subscript"/>
          <w:lang w:val="en-US" w:eastAsia="zh-CN"/>
        </w:rPr>
        <w:t>x</w:t>
      </w:r>
      <w:r>
        <w:rPr>
          <w:rFonts w:hint="default" w:ascii="Times New Roman" w:hAnsi="Times New Roman" w:cs="Times New Roman"/>
          <w:color w:val="auto"/>
          <w:lang w:val="en-US" w:eastAsia="zh-CN"/>
        </w:rPr>
        <w:t>浓度≤</w:t>
      </w:r>
      <w:r>
        <w:rPr>
          <w:rFonts w:hint="eastAsia" w:ascii="Times New Roman" w:hAnsi="Times New Roman" w:cs="Times New Roman"/>
          <w:color w:val="auto"/>
          <w:lang w:val="en-US" w:eastAsia="zh-CN"/>
        </w:rPr>
        <w:t>300</w:t>
      </w:r>
      <w:r>
        <w:rPr>
          <w:rFonts w:hint="default" w:ascii="Times New Roman" w:hAnsi="Times New Roman" w:cs="Times New Roman"/>
          <w:color w:val="auto"/>
          <w:lang w:val="en-US" w:eastAsia="zh-CN"/>
        </w:rPr>
        <w:t>mg/m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w:t>
      </w:r>
      <w:r>
        <w:rPr>
          <w:rFonts w:hint="eastAsia"/>
          <w:color w:val="auto"/>
          <w:sz w:val="24"/>
          <w:highlight w:val="none"/>
          <w:lang w:val="en-US" w:eastAsia="zh-CN"/>
        </w:rPr>
        <w:t>生物质燃料年用量为1048.32t/a</w:t>
      </w:r>
      <w:r>
        <w:rPr>
          <w:rFonts w:hint="default" w:ascii="Times New Roman" w:hAnsi="Times New Roman" w:cs="Times New Roman"/>
          <w:color w:val="auto"/>
          <w:lang w:val="en-US" w:eastAsia="zh-CN"/>
        </w:rPr>
        <w:t>。</w:t>
      </w:r>
    </w:p>
    <w:p w14:paraId="71A2D7BD">
      <w:pPr>
        <w:pStyle w:val="127"/>
        <w:spacing w:line="360" w:lineRule="auto"/>
        <w:ind w:firstLine="48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根据《排污许可证申请与核发技术规范 锅炉》（HJ953-2018）年许可排放量计算公式E年许可计算核定排放量。</w:t>
      </w:r>
    </w:p>
    <w:p w14:paraId="028C9ECA">
      <w:pPr>
        <w:pStyle w:val="129"/>
        <w:keepLines w:val="0"/>
        <w:pageBreakBefore w:val="0"/>
        <w:topLinePunct w:val="0"/>
        <w:bidi w:val="0"/>
        <w:adjustRightInd w:val="0"/>
        <w:snapToGrid w:val="0"/>
        <w:spacing w:beforeAutospacing="0" w:afterAutospacing="0" w:line="360" w:lineRule="auto"/>
        <w:ind w:left="0" w:leftChars="0" w:right="0" w:rightChars="0" w:firstLine="0" w:firstLineChars="0"/>
        <w:jc w:val="center"/>
        <w:rPr>
          <w:rFonts w:hint="eastAsia" w:eastAsia="仿宋"/>
          <w:color w:val="auto"/>
          <w:sz w:val="24"/>
        </w:rPr>
      </w:pPr>
      <w:r>
        <w:rPr>
          <w:color w:val="auto"/>
        </w:rPr>
        <w:drawing>
          <wp:inline distT="0" distB="0" distL="114300" distR="114300">
            <wp:extent cx="2491740" cy="495300"/>
            <wp:effectExtent l="0" t="0" r="7620" b="7620"/>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56"/>
                    <a:stretch>
                      <a:fillRect/>
                    </a:stretch>
                  </pic:blipFill>
                  <pic:spPr>
                    <a:xfrm>
                      <a:off x="0" y="0"/>
                      <a:ext cx="2491740" cy="495300"/>
                    </a:xfrm>
                    <a:prstGeom prst="rect">
                      <a:avLst/>
                    </a:prstGeom>
                    <a:noFill/>
                    <a:ln>
                      <a:noFill/>
                    </a:ln>
                  </pic:spPr>
                </pic:pic>
              </a:graphicData>
            </a:graphic>
          </wp:inline>
        </w:drawing>
      </w:r>
      <w:r>
        <w:rPr>
          <w:color w:val="auto"/>
        </w:rPr>
        <w:drawing>
          <wp:inline distT="0" distB="0" distL="114300" distR="114300">
            <wp:extent cx="5353050" cy="1676400"/>
            <wp:effectExtent l="0" t="0" r="11430" b="0"/>
            <wp:docPr id="22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4"/>
                    <pic:cNvPicPr>
                      <a:picLocks noChangeAspect="1"/>
                    </pic:cNvPicPr>
                  </pic:nvPicPr>
                  <pic:blipFill>
                    <a:blip r:embed="rId57"/>
                    <a:stretch>
                      <a:fillRect/>
                    </a:stretch>
                  </pic:blipFill>
                  <pic:spPr>
                    <a:xfrm>
                      <a:off x="0" y="0"/>
                      <a:ext cx="5353050" cy="1676400"/>
                    </a:xfrm>
                    <a:prstGeom prst="rect">
                      <a:avLst/>
                    </a:prstGeom>
                    <a:noFill/>
                    <a:ln>
                      <a:noFill/>
                    </a:ln>
                  </pic:spPr>
                </pic:pic>
              </a:graphicData>
            </a:graphic>
          </wp:inline>
        </w:drawing>
      </w:r>
    </w:p>
    <w:p w14:paraId="51C3FAE3">
      <w:pPr>
        <w:pStyle w:val="127"/>
        <w:spacing w:line="360" w:lineRule="auto"/>
        <w:ind w:firstLine="48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2.5t/h燃生物质锅炉工业废气量为</w:t>
      </w:r>
      <w:r>
        <w:rPr>
          <w:rFonts w:hint="eastAsia" w:cs="Times New Roman"/>
          <w:color w:val="auto"/>
          <w:kern w:val="0"/>
          <w:sz w:val="24"/>
          <w:szCs w:val="24"/>
          <w:highlight w:val="none"/>
          <w:lang w:val="en-US" w:eastAsia="zh-CN" w:bidi="ar-SA"/>
        </w:rPr>
        <w:t>4692594.816</w:t>
      </w:r>
      <w:r>
        <w:rPr>
          <w:rFonts w:hint="default" w:ascii="Times New Roman" w:hAnsi="Times New Roman" w:cs="Times New Roman"/>
          <w:color w:val="auto"/>
          <w:lang w:val="en-US" w:eastAsia="zh-CN"/>
        </w:rPr>
        <w:t>m</w:t>
      </w:r>
      <w:r>
        <w:rPr>
          <w:rFonts w:hint="default" w:ascii="Times New Roman" w:hAnsi="Times New Roman" w:cs="Times New Roman"/>
          <w:color w:val="auto"/>
          <w:vertAlign w:val="superscript"/>
          <w:lang w:val="en-US" w:eastAsia="zh-CN"/>
        </w:rPr>
        <w:t>3</w:t>
      </w:r>
      <w:r>
        <w:rPr>
          <w:rFonts w:hint="eastAsia" w:ascii="Times New Roman" w:hAnsi="Times New Roman" w:cs="Times New Roman"/>
          <w:color w:val="auto"/>
          <w:lang w:val="en-US" w:eastAsia="zh-CN"/>
        </w:rPr>
        <w:t>/a</w:t>
      </w:r>
    </w:p>
    <w:p w14:paraId="3F78E858">
      <w:pPr>
        <w:pStyle w:val="127"/>
        <w:spacing w:line="360" w:lineRule="auto"/>
        <w:ind w:firstLine="48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颗粒物核定排放量：</w:t>
      </w:r>
      <w:r>
        <w:rPr>
          <w:rFonts w:hint="eastAsia" w:cs="Times New Roman"/>
          <w:color w:val="auto"/>
          <w:kern w:val="0"/>
          <w:sz w:val="24"/>
          <w:szCs w:val="24"/>
          <w:highlight w:val="none"/>
          <w:lang w:val="en-US" w:eastAsia="zh-CN" w:bidi="ar-SA"/>
        </w:rPr>
        <w:t>4692594.816</w:t>
      </w:r>
      <w:r>
        <w:rPr>
          <w:rFonts w:hint="default" w:ascii="Times New Roman" w:hAnsi="Times New Roman" w:cs="Times New Roman"/>
          <w:color w:val="auto"/>
          <w:lang w:val="en-US" w:eastAsia="zh-CN"/>
        </w:rPr>
        <w:t>m</w:t>
      </w:r>
      <w:r>
        <w:rPr>
          <w:rFonts w:hint="default" w:ascii="Times New Roman" w:hAnsi="Times New Roman" w:cs="Times New Roman"/>
          <w:color w:val="auto"/>
          <w:vertAlign w:val="superscript"/>
          <w:lang w:val="en-US" w:eastAsia="zh-CN"/>
        </w:rPr>
        <w:t>3</w:t>
      </w:r>
      <w:r>
        <w:rPr>
          <w:rFonts w:hint="eastAsia" w:ascii="Times New Roman" w:hAnsi="Times New Roman" w:cs="Times New Roman"/>
          <w:color w:val="auto"/>
          <w:lang w:val="en-US" w:eastAsia="zh-CN"/>
        </w:rPr>
        <w:t>/a×50mg/m</w:t>
      </w:r>
      <w:r>
        <w:rPr>
          <w:rFonts w:hint="eastAsia" w:ascii="Times New Roman" w:hAnsi="Times New Roman" w:cs="Times New Roman"/>
          <w:color w:val="auto"/>
          <w:vertAlign w:val="superscript"/>
          <w:lang w:val="en-US" w:eastAsia="zh-CN"/>
        </w:rPr>
        <w:t>3</w:t>
      </w:r>
      <w:r>
        <w:rPr>
          <w:rFonts w:hint="eastAsia" w:ascii="Times New Roman" w:hAnsi="Times New Roman" w:cs="Times New Roman"/>
          <w:color w:val="auto"/>
          <w:lang w:val="en-US" w:eastAsia="zh-CN"/>
        </w:rPr>
        <w:t>×10</w:t>
      </w:r>
      <w:r>
        <w:rPr>
          <w:rFonts w:hint="eastAsia" w:ascii="Times New Roman" w:hAnsi="Times New Roman" w:cs="Times New Roman"/>
          <w:color w:val="auto"/>
          <w:vertAlign w:val="superscript"/>
          <w:lang w:val="en-US" w:eastAsia="zh-CN"/>
        </w:rPr>
        <w:t>-9</w:t>
      </w:r>
      <w:r>
        <w:rPr>
          <w:rFonts w:hint="eastAsia" w:ascii="Times New Roman" w:hAnsi="Times New Roman" w:cs="Times New Roman"/>
          <w:color w:val="auto"/>
          <w:lang w:val="en-US" w:eastAsia="zh-CN"/>
        </w:rPr>
        <w:t>=0.235t/a</w:t>
      </w:r>
    </w:p>
    <w:p w14:paraId="27E65D03">
      <w:pPr>
        <w:pStyle w:val="127"/>
        <w:spacing w:line="360" w:lineRule="auto"/>
        <w:ind w:firstLine="48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二氧化硫核定排放量：</w:t>
      </w:r>
      <w:r>
        <w:rPr>
          <w:rFonts w:hint="eastAsia" w:cs="Times New Roman"/>
          <w:color w:val="auto"/>
          <w:kern w:val="0"/>
          <w:sz w:val="24"/>
          <w:szCs w:val="24"/>
          <w:highlight w:val="none"/>
          <w:lang w:val="en-US" w:eastAsia="zh-CN" w:bidi="ar-SA"/>
        </w:rPr>
        <w:t>4692594.816</w:t>
      </w:r>
      <w:r>
        <w:rPr>
          <w:rFonts w:hint="default" w:ascii="Times New Roman" w:hAnsi="Times New Roman" w:cs="Times New Roman"/>
          <w:color w:val="auto"/>
          <w:lang w:val="en-US" w:eastAsia="zh-CN"/>
        </w:rPr>
        <w:t>m</w:t>
      </w:r>
      <w:r>
        <w:rPr>
          <w:rFonts w:hint="default" w:ascii="Times New Roman" w:hAnsi="Times New Roman" w:cs="Times New Roman"/>
          <w:color w:val="auto"/>
          <w:vertAlign w:val="superscript"/>
          <w:lang w:val="en-US" w:eastAsia="zh-CN"/>
        </w:rPr>
        <w:t>3</w:t>
      </w:r>
      <w:r>
        <w:rPr>
          <w:rFonts w:hint="eastAsia" w:ascii="Times New Roman" w:hAnsi="Times New Roman" w:cs="Times New Roman"/>
          <w:color w:val="auto"/>
          <w:lang w:val="en-US" w:eastAsia="zh-CN"/>
        </w:rPr>
        <w:t>/a×300mg/m</w:t>
      </w:r>
      <w:r>
        <w:rPr>
          <w:rFonts w:hint="eastAsia" w:ascii="Times New Roman" w:hAnsi="Times New Roman" w:cs="Times New Roman"/>
          <w:color w:val="auto"/>
          <w:vertAlign w:val="superscript"/>
          <w:lang w:val="en-US" w:eastAsia="zh-CN"/>
        </w:rPr>
        <w:t>3</w:t>
      </w:r>
      <w:r>
        <w:rPr>
          <w:rFonts w:hint="eastAsia" w:ascii="Times New Roman" w:hAnsi="Times New Roman" w:cs="Times New Roman"/>
          <w:color w:val="auto"/>
          <w:lang w:val="en-US" w:eastAsia="zh-CN"/>
        </w:rPr>
        <w:t>×0.8×10</w:t>
      </w:r>
      <w:r>
        <w:rPr>
          <w:rFonts w:hint="eastAsia" w:ascii="Times New Roman" w:hAnsi="Times New Roman" w:cs="Times New Roman"/>
          <w:color w:val="auto"/>
          <w:vertAlign w:val="superscript"/>
          <w:lang w:val="en-US" w:eastAsia="zh-CN"/>
        </w:rPr>
        <w:t>-9</w:t>
      </w:r>
      <w:r>
        <w:rPr>
          <w:rFonts w:hint="eastAsia" w:ascii="Times New Roman" w:hAnsi="Times New Roman" w:cs="Times New Roman"/>
          <w:color w:val="auto"/>
          <w:lang w:val="en-US" w:eastAsia="zh-CN"/>
        </w:rPr>
        <w:t>=1.126t/a</w:t>
      </w:r>
    </w:p>
    <w:p w14:paraId="149F7E59">
      <w:pPr>
        <w:pStyle w:val="127"/>
        <w:spacing w:line="360" w:lineRule="auto"/>
        <w:ind w:firstLine="48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氮氧化物核定排放量：</w:t>
      </w:r>
      <w:r>
        <w:rPr>
          <w:rFonts w:hint="eastAsia" w:cs="Times New Roman"/>
          <w:color w:val="auto"/>
          <w:kern w:val="0"/>
          <w:sz w:val="24"/>
          <w:szCs w:val="24"/>
          <w:highlight w:val="none"/>
          <w:lang w:val="en-US" w:eastAsia="zh-CN" w:bidi="ar-SA"/>
        </w:rPr>
        <w:t>4692594.816</w:t>
      </w:r>
      <w:r>
        <w:rPr>
          <w:rFonts w:hint="default" w:ascii="Times New Roman" w:hAnsi="Times New Roman" w:cs="Times New Roman"/>
          <w:color w:val="auto"/>
          <w:lang w:val="en-US" w:eastAsia="zh-CN"/>
        </w:rPr>
        <w:t>m</w:t>
      </w:r>
      <w:r>
        <w:rPr>
          <w:rFonts w:hint="default" w:ascii="Times New Roman" w:hAnsi="Times New Roman" w:cs="Times New Roman"/>
          <w:color w:val="auto"/>
          <w:vertAlign w:val="superscript"/>
          <w:lang w:val="en-US" w:eastAsia="zh-CN"/>
        </w:rPr>
        <w:t>3</w:t>
      </w:r>
      <w:r>
        <w:rPr>
          <w:rFonts w:hint="eastAsia" w:ascii="Times New Roman" w:hAnsi="Times New Roman" w:cs="Times New Roman"/>
          <w:color w:val="auto"/>
          <w:lang w:val="en-US" w:eastAsia="zh-CN"/>
        </w:rPr>
        <w:t>/a×300mg/m</w:t>
      </w:r>
      <w:r>
        <w:rPr>
          <w:rFonts w:hint="eastAsia" w:ascii="Times New Roman" w:hAnsi="Times New Roman" w:cs="Times New Roman"/>
          <w:color w:val="auto"/>
          <w:vertAlign w:val="superscript"/>
          <w:lang w:val="en-US" w:eastAsia="zh-CN"/>
        </w:rPr>
        <w:t>3</w:t>
      </w:r>
      <w:r>
        <w:rPr>
          <w:rFonts w:hint="eastAsia" w:ascii="Times New Roman" w:hAnsi="Times New Roman" w:cs="Times New Roman"/>
          <w:color w:val="auto"/>
          <w:lang w:val="en-US" w:eastAsia="zh-CN"/>
        </w:rPr>
        <w:t>×10</w:t>
      </w:r>
      <w:r>
        <w:rPr>
          <w:rFonts w:hint="eastAsia" w:ascii="Times New Roman" w:hAnsi="Times New Roman" w:cs="Times New Roman"/>
          <w:color w:val="auto"/>
          <w:vertAlign w:val="superscript"/>
          <w:lang w:val="en-US" w:eastAsia="zh-CN"/>
        </w:rPr>
        <w:t>-9</w:t>
      </w:r>
      <w:r>
        <w:rPr>
          <w:rFonts w:hint="eastAsia" w:ascii="Times New Roman" w:hAnsi="Times New Roman" w:cs="Times New Roman"/>
          <w:color w:val="auto"/>
          <w:lang w:val="en-US" w:eastAsia="zh-CN"/>
        </w:rPr>
        <w:t>=1.408t/a</w:t>
      </w:r>
    </w:p>
    <w:p w14:paraId="4E71E6B2">
      <w:pPr>
        <w:pStyle w:val="127"/>
        <w:spacing w:line="360" w:lineRule="auto"/>
        <w:ind w:firstLine="480"/>
        <w:rPr>
          <w:rFonts w:hint="eastAsia"/>
          <w:color w:val="auto"/>
          <w:lang w:val="en-US" w:eastAsia="zh-CN"/>
        </w:rPr>
      </w:pPr>
    </w:p>
    <w:p w14:paraId="3177216E">
      <w:pPr>
        <w:pStyle w:val="127"/>
        <w:spacing w:line="360" w:lineRule="auto"/>
        <w:ind w:firstLine="480"/>
        <w:rPr>
          <w:rFonts w:hint="eastAsia"/>
          <w:color w:val="auto"/>
          <w:lang w:eastAsia="zh-CN"/>
        </w:rPr>
      </w:pPr>
      <w:r>
        <w:rPr>
          <w:rFonts w:hint="eastAsia"/>
          <w:color w:val="auto"/>
          <w:lang w:val="en-US" w:eastAsia="zh-CN"/>
        </w:rPr>
        <w:t>2、废水</w:t>
      </w:r>
    </w:p>
    <w:p w14:paraId="6AFDA33D">
      <w:pPr>
        <w:keepNext w:val="0"/>
        <w:keepLines w:val="0"/>
        <w:pageBreakBefore w:val="0"/>
        <w:suppressLineNumbers w:val="0"/>
        <w:wordWrap/>
        <w:bidi w:val="0"/>
        <w:spacing w:before="0" w:beforeAutospacing="0" w:after="0" w:afterAutospacing="0" w:line="360" w:lineRule="auto"/>
        <w:ind w:left="0" w:leftChars="0" w:right="0" w:firstLine="600" w:firstLineChars="250"/>
        <w:rPr>
          <w:rFonts w:hint="eastAsia" w:cs="Times New Roman"/>
          <w:color w:val="auto"/>
          <w:sz w:val="24"/>
          <w:lang w:val="en-US" w:eastAsia="zh-CN"/>
        </w:rPr>
      </w:pPr>
      <w:r>
        <w:rPr>
          <w:rFonts w:hint="eastAsia"/>
          <w:color w:val="auto"/>
          <w:sz w:val="24"/>
          <w:lang w:val="en-US" w:eastAsia="zh-CN"/>
        </w:rPr>
        <w:t>本项目综合废水排放量为1965.802</w:t>
      </w:r>
      <w:r>
        <w:rPr>
          <w:rFonts w:hint="eastAsia" w:cs="Times New Roman"/>
          <w:color w:val="auto"/>
          <w:sz w:val="24"/>
          <w:lang w:val="en-US" w:eastAsia="zh-CN"/>
        </w:rPr>
        <w:t>t/a。</w:t>
      </w:r>
    </w:p>
    <w:p w14:paraId="57022C7F">
      <w:pPr>
        <w:keepNext w:val="0"/>
        <w:keepLines w:val="0"/>
        <w:pageBreakBefore w:val="0"/>
        <w:suppressLineNumbers w:val="0"/>
        <w:wordWrap/>
        <w:bidi w:val="0"/>
        <w:spacing w:before="0" w:beforeAutospacing="0" w:after="0" w:afterAutospacing="0" w:line="360" w:lineRule="auto"/>
        <w:ind w:left="0" w:leftChars="0" w:right="0" w:firstLine="600" w:firstLineChars="250"/>
        <w:rPr>
          <w:rFonts w:hint="eastAsia"/>
          <w:color w:val="auto"/>
          <w:sz w:val="24"/>
          <w:lang w:val="en-US" w:eastAsia="zh-CN"/>
        </w:rPr>
      </w:pPr>
      <w:r>
        <w:rPr>
          <w:rFonts w:hint="eastAsia"/>
          <w:color w:val="auto"/>
          <w:sz w:val="24"/>
          <w:lang w:val="en-US" w:eastAsia="zh-CN"/>
        </w:rPr>
        <w:t>则COD核定排放量=1965.802t×500mg/L×10</w:t>
      </w:r>
      <w:r>
        <w:rPr>
          <w:rFonts w:hint="eastAsia"/>
          <w:color w:val="auto"/>
          <w:sz w:val="24"/>
          <w:vertAlign w:val="superscript"/>
          <w:lang w:val="en-US" w:eastAsia="zh-CN"/>
        </w:rPr>
        <w:t>-6</w:t>
      </w:r>
      <w:r>
        <w:rPr>
          <w:rFonts w:hint="eastAsia"/>
          <w:color w:val="auto"/>
          <w:sz w:val="24"/>
          <w:lang w:val="en-US" w:eastAsia="zh-CN"/>
        </w:rPr>
        <w:t>=0.983t/a</w:t>
      </w:r>
    </w:p>
    <w:p w14:paraId="3F5E7CC2">
      <w:pPr>
        <w:keepNext w:val="0"/>
        <w:keepLines w:val="0"/>
        <w:pageBreakBefore w:val="0"/>
        <w:suppressLineNumbers w:val="0"/>
        <w:wordWrap/>
        <w:bidi w:val="0"/>
        <w:spacing w:before="0" w:beforeAutospacing="0" w:after="0" w:afterAutospacing="0" w:line="360" w:lineRule="auto"/>
        <w:ind w:left="0" w:leftChars="0" w:right="0" w:firstLine="600" w:firstLineChars="250"/>
        <w:rPr>
          <w:rFonts w:hint="default"/>
          <w:color w:val="auto"/>
          <w:sz w:val="24"/>
          <w:lang w:val="en-US" w:eastAsia="zh-CN"/>
        </w:rPr>
      </w:pPr>
      <w:r>
        <w:rPr>
          <w:rFonts w:hint="default"/>
          <w:color w:val="auto"/>
          <w:sz w:val="24"/>
          <w:lang w:val="en-US" w:eastAsia="zh-CN"/>
        </w:rPr>
        <w:t>氨氮核定排放总量=</w:t>
      </w:r>
      <w:r>
        <w:rPr>
          <w:rFonts w:hint="eastAsia"/>
          <w:color w:val="auto"/>
          <w:sz w:val="24"/>
          <w:lang w:val="en-US" w:eastAsia="zh-CN"/>
        </w:rPr>
        <w:t>预测排放量</w:t>
      </w:r>
      <w:r>
        <w:rPr>
          <w:rFonts w:hint="default"/>
          <w:color w:val="auto"/>
          <w:sz w:val="24"/>
          <w:lang w:val="en-US" w:eastAsia="zh-CN"/>
        </w:rPr>
        <w:t>=</w:t>
      </w:r>
      <w:r>
        <w:rPr>
          <w:rFonts w:hint="eastAsia"/>
          <w:color w:val="auto"/>
          <w:sz w:val="24"/>
          <w:lang w:val="en-US" w:eastAsia="zh-CN"/>
        </w:rPr>
        <w:t>0.056</w:t>
      </w:r>
      <w:r>
        <w:rPr>
          <w:rFonts w:hint="default"/>
          <w:color w:val="auto"/>
          <w:sz w:val="24"/>
          <w:lang w:val="en-US" w:eastAsia="zh-CN"/>
        </w:rPr>
        <w:t>t/a</w:t>
      </w:r>
    </w:p>
    <w:p w14:paraId="706A0E52">
      <w:pPr>
        <w:pStyle w:val="127"/>
        <w:spacing w:line="360" w:lineRule="auto"/>
        <w:ind w:firstLine="480"/>
        <w:rPr>
          <w:rFonts w:hint="eastAsia"/>
          <w:color w:val="auto"/>
          <w:lang w:val="en-US" w:eastAsia="zh-CN"/>
        </w:rPr>
      </w:pPr>
      <w:r>
        <w:rPr>
          <w:rFonts w:hint="eastAsia"/>
          <w:color w:val="auto"/>
          <w:lang w:val="en-US" w:eastAsia="zh-CN"/>
        </w:rPr>
        <w:t>经计算，本项目</w:t>
      </w:r>
      <w:r>
        <w:rPr>
          <w:rFonts w:hint="eastAsia"/>
          <w:color w:val="auto"/>
          <w:sz w:val="24"/>
          <w:highlight w:val="none"/>
          <w:lang w:val="en-US" w:eastAsia="zh-CN" w:bidi="ar"/>
        </w:rPr>
        <w:t>COD核定排放量为0.983t/a，氨氮核定排放量为0.056t/a</w:t>
      </w:r>
      <w:r>
        <w:rPr>
          <w:rFonts w:hint="eastAsia"/>
          <w:color w:val="auto"/>
          <w:lang w:val="en-US" w:eastAsia="zh-CN"/>
        </w:rPr>
        <w:t>。</w:t>
      </w:r>
    </w:p>
    <w:p w14:paraId="28F07B64">
      <w:pPr>
        <w:pStyle w:val="6"/>
        <w:keepLines w:val="0"/>
        <w:pageBreakBefore w:val="0"/>
        <w:topLinePunct w:val="0"/>
        <w:bidi w:val="0"/>
        <w:adjustRightInd w:val="0"/>
        <w:snapToGrid w:val="0"/>
        <w:spacing w:beforeAutospacing="0" w:afterAutospacing="0" w:line="360" w:lineRule="auto"/>
        <w:ind w:left="0" w:leftChars="0" w:right="0" w:rightChars="0" w:firstLine="480" w:firstLineChars="200"/>
        <w:outlineLvl w:val="9"/>
        <w:rPr>
          <w:rFonts w:hint="eastAsia" w:ascii="Times New Roman" w:hAnsi="Times New Roman" w:eastAsia="宋体" w:cs="Times New Roman"/>
          <w:color w:val="auto"/>
          <w:kern w:val="2"/>
          <w:sz w:val="24"/>
          <w:szCs w:val="20"/>
          <w:lang w:val="en-US" w:eastAsia="zh-CN" w:bidi="ar-SA"/>
        </w:rPr>
      </w:pPr>
      <w:bookmarkStart w:id="47" w:name="_Toc9837"/>
      <w:r>
        <w:rPr>
          <w:rFonts w:hint="eastAsia" w:ascii="Times New Roman" w:hAnsi="Times New Roman" w:eastAsia="宋体" w:cs="Times New Roman"/>
          <w:color w:val="auto"/>
          <w:kern w:val="2"/>
          <w:sz w:val="24"/>
          <w:szCs w:val="20"/>
          <w:lang w:val="en-US" w:eastAsia="zh-CN" w:bidi="ar-SA"/>
        </w:rPr>
        <w:t>二、污染物排放核定量</w:t>
      </w:r>
      <w:bookmarkEnd w:id="47"/>
    </w:p>
    <w:p w14:paraId="6E502A35">
      <w:pPr>
        <w:pStyle w:val="129"/>
        <w:keepLines w:val="0"/>
        <w:pageBreakBefore w:val="0"/>
        <w:topLinePunct w:val="0"/>
        <w:bidi w:val="0"/>
        <w:adjustRightInd w:val="0"/>
        <w:snapToGrid w:val="0"/>
        <w:spacing w:beforeAutospacing="0" w:afterAutospacing="0" w:line="240" w:lineRule="auto"/>
        <w:ind w:left="0" w:leftChars="0" w:right="0" w:rightChars="0" w:firstLine="422" w:firstLineChars="200"/>
        <w:jc w:val="center"/>
        <w:rPr>
          <w:rFonts w:hint="eastAsia" w:ascii="Times New Roman" w:hAnsi="Times New Roman" w:eastAsia="宋体" w:cs="Times New Roman"/>
          <w:b/>
          <w:bCs/>
          <w:iCs/>
          <w:color w:val="auto"/>
          <w:kern w:val="0"/>
          <w:sz w:val="21"/>
          <w:szCs w:val="21"/>
          <w:highlight w:val="none"/>
          <w:lang w:val="en-US" w:eastAsia="zh-CN" w:bidi="ar-SA"/>
        </w:rPr>
      </w:pPr>
      <w:r>
        <w:rPr>
          <w:rFonts w:hint="eastAsia" w:ascii="Times New Roman" w:hAnsi="Times New Roman" w:eastAsia="宋体" w:cs="Times New Roman"/>
          <w:b/>
          <w:bCs/>
          <w:iCs/>
          <w:color w:val="auto"/>
          <w:kern w:val="0"/>
          <w:sz w:val="21"/>
          <w:szCs w:val="21"/>
          <w:highlight w:val="none"/>
          <w:lang w:val="en-US" w:eastAsia="zh-CN" w:bidi="ar-SA"/>
        </w:rPr>
        <w:t>表</w:t>
      </w:r>
      <w:r>
        <w:rPr>
          <w:rFonts w:hint="eastAsia" w:cs="Times New Roman"/>
          <w:b/>
          <w:bCs/>
          <w:iCs/>
          <w:color w:val="auto"/>
          <w:kern w:val="0"/>
          <w:sz w:val="21"/>
          <w:szCs w:val="21"/>
          <w:highlight w:val="none"/>
          <w:lang w:val="en-US" w:eastAsia="zh-CN" w:bidi="ar-SA"/>
        </w:rPr>
        <w:t>1</w:t>
      </w:r>
      <w:r>
        <w:rPr>
          <w:rFonts w:hint="eastAsia" w:ascii="Times New Roman" w:hAnsi="Times New Roman" w:eastAsia="宋体" w:cs="Times New Roman"/>
          <w:b/>
          <w:bCs/>
          <w:iCs/>
          <w:color w:val="auto"/>
          <w:kern w:val="0"/>
          <w:sz w:val="21"/>
          <w:szCs w:val="21"/>
          <w:highlight w:val="none"/>
          <w:lang w:val="en-US" w:eastAsia="zh-CN" w:bidi="ar-SA"/>
        </w:rPr>
        <w:t xml:space="preserve">  污染物核定排放量统计表</w:t>
      </w:r>
    </w:p>
    <w:tbl>
      <w:tblPr>
        <w:tblStyle w:val="3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106"/>
        <w:gridCol w:w="3949"/>
      </w:tblGrid>
      <w:tr w14:paraId="31B281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2819" w:type="pct"/>
            <w:vAlign w:val="center"/>
          </w:tcPr>
          <w:p w14:paraId="4BB37CEC">
            <w:pPr>
              <w:pStyle w:val="29"/>
              <w:keepNext w:val="0"/>
              <w:keepLines w:val="0"/>
              <w:pageBreakBefore w:val="0"/>
              <w:widowControl w:val="0"/>
              <w:kinsoku/>
              <w:wordWrap/>
              <w:overflowPunct/>
              <w:topLinePunct w:val="0"/>
              <w:autoSpaceDE/>
              <w:autoSpaceDN/>
              <w:bidi w:val="0"/>
              <w:adjustRightInd w:val="0"/>
              <w:snapToGrid w:val="0"/>
              <w:spacing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4"/>
                <w:szCs w:val="20"/>
                <w:lang w:val="en-US" w:eastAsia="zh-CN" w:bidi="ar-SA"/>
              </w:rPr>
            </w:pPr>
            <w:r>
              <w:rPr>
                <w:rFonts w:hint="eastAsia" w:ascii="Times New Roman" w:hAnsi="Times New Roman" w:eastAsia="宋体" w:cs="Times New Roman"/>
                <w:color w:val="auto"/>
                <w:kern w:val="2"/>
                <w:sz w:val="24"/>
                <w:szCs w:val="20"/>
                <w:lang w:val="en-US" w:eastAsia="zh-CN" w:bidi="ar-SA"/>
              </w:rPr>
              <w:t>污染物</w:t>
            </w:r>
          </w:p>
        </w:tc>
        <w:tc>
          <w:tcPr>
            <w:tcW w:w="2180" w:type="pct"/>
            <w:vAlign w:val="center"/>
          </w:tcPr>
          <w:p w14:paraId="3E4C9945">
            <w:pPr>
              <w:pStyle w:val="29"/>
              <w:keepNext w:val="0"/>
              <w:keepLines w:val="0"/>
              <w:pageBreakBefore w:val="0"/>
              <w:widowControl w:val="0"/>
              <w:kinsoku/>
              <w:wordWrap/>
              <w:overflowPunct/>
              <w:topLinePunct w:val="0"/>
              <w:autoSpaceDE/>
              <w:autoSpaceDN/>
              <w:bidi w:val="0"/>
              <w:adjustRightInd w:val="0"/>
              <w:snapToGrid w:val="0"/>
              <w:spacing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4"/>
                <w:szCs w:val="20"/>
                <w:lang w:val="en-US" w:eastAsia="zh-CN" w:bidi="ar-SA"/>
              </w:rPr>
            </w:pPr>
            <w:r>
              <w:rPr>
                <w:rFonts w:hint="eastAsia" w:ascii="Times New Roman" w:hAnsi="Times New Roman" w:eastAsia="宋体" w:cs="Times New Roman"/>
                <w:color w:val="auto"/>
                <w:kern w:val="2"/>
                <w:sz w:val="24"/>
                <w:szCs w:val="20"/>
                <w:lang w:val="en-US" w:eastAsia="zh-CN" w:bidi="ar-SA"/>
              </w:rPr>
              <w:t>核定量排放量</w:t>
            </w:r>
          </w:p>
        </w:tc>
      </w:tr>
      <w:tr w14:paraId="0AD63D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80" w:hRule="atLeast"/>
          <w:jc w:val="center"/>
        </w:trPr>
        <w:tc>
          <w:tcPr>
            <w:tcW w:w="2819" w:type="pct"/>
            <w:vAlign w:val="center"/>
          </w:tcPr>
          <w:p w14:paraId="7EBD0E0D">
            <w:pPr>
              <w:pStyle w:val="110"/>
              <w:keepNext w:val="0"/>
              <w:keepLines w:val="0"/>
              <w:pageBreakBefore w:val="0"/>
              <w:suppressLineNumbers w:val="0"/>
              <w:wordWrap/>
              <w:bidi w:val="0"/>
              <w:spacing w:before="0" w:beforeAutospacing="0" w:after="0" w:afterAutospacing="0" w:line="360" w:lineRule="auto"/>
              <w:ind w:left="0" w:leftChars="0" w:right="0" w:rightChars="0"/>
              <w:rPr>
                <w:rFonts w:hint="default"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颗粒物</w:t>
            </w:r>
          </w:p>
        </w:tc>
        <w:tc>
          <w:tcPr>
            <w:tcW w:w="3949" w:type="dxa"/>
            <w:vAlign w:val="center"/>
          </w:tcPr>
          <w:p w14:paraId="0E8557D7">
            <w:pPr>
              <w:pStyle w:val="110"/>
              <w:keepNext w:val="0"/>
              <w:keepLines w:val="0"/>
              <w:pageBreakBefore w:val="0"/>
              <w:suppressLineNumbers w:val="0"/>
              <w:wordWrap/>
              <w:bidi w:val="0"/>
              <w:spacing w:before="0" w:beforeAutospacing="0" w:after="0" w:afterAutospacing="0" w:line="360" w:lineRule="auto"/>
              <w:ind w:left="0" w:leftChars="0" w:right="0" w:rightChars="0"/>
              <w:rPr>
                <w:rFonts w:hint="default" w:ascii="Times New Roman" w:hAnsi="Times New Roman" w:eastAsia="宋体" w:cs="Times New Roman"/>
                <w:color w:val="auto"/>
                <w:kern w:val="2"/>
                <w:sz w:val="24"/>
                <w:szCs w:val="20"/>
                <w:lang w:val="en-US" w:eastAsia="zh-CN" w:bidi="ar-SA"/>
              </w:rPr>
            </w:pPr>
            <w:r>
              <w:rPr>
                <w:rFonts w:hint="eastAsia" w:cs="Times New Roman"/>
                <w:color w:val="auto"/>
                <w:kern w:val="2"/>
                <w:sz w:val="24"/>
                <w:szCs w:val="20"/>
                <w:lang w:val="en-US" w:eastAsia="zh-CN" w:bidi="ar-SA"/>
              </w:rPr>
              <w:t>0.235</w:t>
            </w:r>
            <w:r>
              <w:rPr>
                <w:rFonts w:hint="eastAsia" w:ascii="Times New Roman" w:hAnsi="Times New Roman" w:eastAsia="宋体" w:cs="Times New Roman"/>
                <w:color w:val="auto"/>
                <w:kern w:val="2"/>
                <w:sz w:val="24"/>
                <w:szCs w:val="20"/>
                <w:lang w:val="en-US" w:eastAsia="zh-CN" w:bidi="ar-SA"/>
              </w:rPr>
              <w:t>t/a</w:t>
            </w:r>
          </w:p>
        </w:tc>
      </w:tr>
      <w:tr w14:paraId="3AB963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2819" w:type="pct"/>
            <w:vAlign w:val="center"/>
          </w:tcPr>
          <w:p w14:paraId="159BB512">
            <w:pPr>
              <w:pStyle w:val="110"/>
              <w:keepNext w:val="0"/>
              <w:keepLines w:val="0"/>
              <w:pageBreakBefore w:val="0"/>
              <w:suppressLineNumbers w:val="0"/>
              <w:wordWrap/>
              <w:bidi w:val="0"/>
              <w:spacing w:before="0" w:beforeAutospacing="0" w:after="0" w:afterAutospacing="0" w:line="360" w:lineRule="auto"/>
              <w:ind w:left="0" w:leftChars="0" w:right="0" w:rightChars="0"/>
              <w:rPr>
                <w:rFonts w:hint="default"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SO</w:t>
            </w:r>
            <w:r>
              <w:rPr>
                <w:rFonts w:hint="eastAsia" w:cs="Times New Roman"/>
                <w:color w:val="auto"/>
                <w:kern w:val="0"/>
                <w:sz w:val="24"/>
                <w:szCs w:val="24"/>
                <w:highlight w:val="none"/>
                <w:vertAlign w:val="subscript"/>
                <w:lang w:val="en-US" w:eastAsia="zh-CN" w:bidi="ar-SA"/>
              </w:rPr>
              <w:t>2</w:t>
            </w:r>
          </w:p>
        </w:tc>
        <w:tc>
          <w:tcPr>
            <w:tcW w:w="3949" w:type="dxa"/>
            <w:vAlign w:val="center"/>
          </w:tcPr>
          <w:p w14:paraId="1C7E085D">
            <w:pPr>
              <w:pStyle w:val="110"/>
              <w:keepNext w:val="0"/>
              <w:keepLines w:val="0"/>
              <w:pageBreakBefore w:val="0"/>
              <w:suppressLineNumbers w:val="0"/>
              <w:wordWrap/>
              <w:bidi w:val="0"/>
              <w:spacing w:before="0" w:beforeAutospacing="0" w:after="0" w:afterAutospacing="0" w:line="360" w:lineRule="auto"/>
              <w:ind w:left="0" w:leftChars="0" w:right="0" w:rightChars="0"/>
              <w:rPr>
                <w:rFonts w:hint="default" w:ascii="Times New Roman" w:hAnsi="Times New Roman" w:eastAsia="宋体" w:cs="Times New Roman"/>
                <w:color w:val="auto"/>
                <w:kern w:val="2"/>
                <w:sz w:val="24"/>
                <w:szCs w:val="20"/>
                <w:lang w:val="en-US" w:eastAsia="zh-CN" w:bidi="ar-SA"/>
              </w:rPr>
            </w:pPr>
            <w:r>
              <w:rPr>
                <w:rFonts w:hint="eastAsia" w:cs="Times New Roman"/>
                <w:color w:val="auto"/>
                <w:kern w:val="2"/>
                <w:sz w:val="24"/>
                <w:szCs w:val="20"/>
                <w:lang w:val="en-US" w:eastAsia="zh-CN" w:bidi="ar-SA"/>
              </w:rPr>
              <w:t>1.126</w:t>
            </w:r>
            <w:r>
              <w:rPr>
                <w:rFonts w:hint="eastAsia" w:ascii="Times New Roman" w:hAnsi="Times New Roman" w:eastAsia="宋体" w:cs="Times New Roman"/>
                <w:color w:val="auto"/>
                <w:kern w:val="2"/>
                <w:sz w:val="24"/>
                <w:szCs w:val="20"/>
                <w:lang w:val="en-US" w:eastAsia="zh-CN" w:bidi="ar-SA"/>
              </w:rPr>
              <w:t>t/a</w:t>
            </w:r>
          </w:p>
        </w:tc>
      </w:tr>
      <w:tr w14:paraId="772991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2819" w:type="pct"/>
            <w:vAlign w:val="center"/>
          </w:tcPr>
          <w:p w14:paraId="349F4B89">
            <w:pPr>
              <w:pStyle w:val="110"/>
              <w:keepNext w:val="0"/>
              <w:keepLines w:val="0"/>
              <w:pageBreakBefore w:val="0"/>
              <w:suppressLineNumbers w:val="0"/>
              <w:wordWrap/>
              <w:bidi w:val="0"/>
              <w:spacing w:before="0" w:beforeAutospacing="0" w:after="0" w:afterAutospacing="0" w:line="360" w:lineRule="auto"/>
              <w:ind w:left="0" w:leftChars="0" w:right="0" w:rightChars="0"/>
              <w:rPr>
                <w:rFonts w:hint="default"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NO</w:t>
            </w:r>
            <w:r>
              <w:rPr>
                <w:rFonts w:hint="eastAsia" w:cs="Times New Roman"/>
                <w:color w:val="auto"/>
                <w:kern w:val="0"/>
                <w:sz w:val="24"/>
                <w:szCs w:val="24"/>
                <w:highlight w:val="none"/>
                <w:vertAlign w:val="subscript"/>
                <w:lang w:val="en-US" w:eastAsia="zh-CN" w:bidi="ar-SA"/>
              </w:rPr>
              <w:t>x</w:t>
            </w:r>
          </w:p>
        </w:tc>
        <w:tc>
          <w:tcPr>
            <w:tcW w:w="3949" w:type="dxa"/>
            <w:vAlign w:val="center"/>
          </w:tcPr>
          <w:p w14:paraId="2CAA95CE">
            <w:pPr>
              <w:pStyle w:val="110"/>
              <w:keepNext w:val="0"/>
              <w:keepLines w:val="0"/>
              <w:pageBreakBefore w:val="0"/>
              <w:suppressLineNumbers w:val="0"/>
              <w:wordWrap/>
              <w:bidi w:val="0"/>
              <w:spacing w:before="0" w:beforeAutospacing="0" w:after="0" w:afterAutospacing="0" w:line="360" w:lineRule="auto"/>
              <w:ind w:left="0" w:leftChars="0" w:right="0" w:rightChars="0"/>
              <w:rPr>
                <w:rFonts w:hint="default" w:ascii="Times New Roman" w:hAnsi="Times New Roman" w:eastAsia="宋体" w:cs="Times New Roman"/>
                <w:color w:val="auto"/>
                <w:kern w:val="2"/>
                <w:sz w:val="24"/>
                <w:szCs w:val="20"/>
                <w:lang w:val="en-US" w:eastAsia="zh-CN" w:bidi="ar-SA"/>
              </w:rPr>
            </w:pPr>
            <w:r>
              <w:rPr>
                <w:rFonts w:hint="eastAsia" w:cs="Times New Roman"/>
                <w:color w:val="auto"/>
                <w:kern w:val="2"/>
                <w:sz w:val="24"/>
                <w:szCs w:val="20"/>
                <w:lang w:val="en-US" w:eastAsia="zh-CN" w:bidi="ar-SA"/>
              </w:rPr>
              <w:t>1.408</w:t>
            </w:r>
            <w:r>
              <w:rPr>
                <w:rFonts w:hint="eastAsia" w:ascii="Times New Roman" w:hAnsi="Times New Roman" w:eastAsia="宋体" w:cs="Times New Roman"/>
                <w:color w:val="auto"/>
                <w:kern w:val="2"/>
                <w:sz w:val="24"/>
                <w:szCs w:val="20"/>
                <w:lang w:val="en-US" w:eastAsia="zh-CN" w:bidi="ar-SA"/>
              </w:rPr>
              <w:t>t/a</w:t>
            </w:r>
          </w:p>
        </w:tc>
      </w:tr>
      <w:tr w14:paraId="4816B4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2819" w:type="pct"/>
            <w:vAlign w:val="center"/>
          </w:tcPr>
          <w:p w14:paraId="71A514ED">
            <w:pPr>
              <w:pStyle w:val="110"/>
              <w:keepNext w:val="0"/>
              <w:keepLines w:val="0"/>
              <w:pageBreakBefore w:val="0"/>
              <w:suppressLineNumbers w:val="0"/>
              <w:wordWrap/>
              <w:bidi w:val="0"/>
              <w:spacing w:before="0" w:beforeAutospacing="0" w:after="0" w:afterAutospacing="0" w:line="360" w:lineRule="auto"/>
              <w:ind w:left="0" w:leftChars="0" w:right="0" w:rightChars="0"/>
              <w:rPr>
                <w:rFonts w:hint="eastAsia" w:ascii="Times New Roman" w:hAnsi="Times New Roman" w:eastAsia="宋体" w:cs="Times New Roman"/>
                <w:color w:val="auto"/>
                <w:kern w:val="2"/>
                <w:sz w:val="24"/>
                <w:szCs w:val="20"/>
                <w:lang w:val="en-US" w:eastAsia="zh-CN" w:bidi="ar-SA"/>
              </w:rPr>
            </w:pPr>
            <w:r>
              <w:rPr>
                <w:rFonts w:hint="eastAsia" w:cs="Times New Roman"/>
                <w:color w:val="auto"/>
                <w:kern w:val="0"/>
                <w:sz w:val="24"/>
                <w:szCs w:val="24"/>
                <w:highlight w:val="none"/>
                <w:lang w:val="en-US" w:eastAsia="zh-CN" w:bidi="ar-SA"/>
              </w:rPr>
              <w:t>工业粉尘</w:t>
            </w:r>
          </w:p>
        </w:tc>
        <w:tc>
          <w:tcPr>
            <w:tcW w:w="3949" w:type="dxa"/>
            <w:vAlign w:val="center"/>
          </w:tcPr>
          <w:p w14:paraId="781C755E">
            <w:pPr>
              <w:pStyle w:val="110"/>
              <w:keepNext w:val="0"/>
              <w:keepLines w:val="0"/>
              <w:pageBreakBefore w:val="0"/>
              <w:suppressLineNumbers w:val="0"/>
              <w:wordWrap/>
              <w:bidi w:val="0"/>
              <w:spacing w:before="0" w:beforeAutospacing="0" w:after="0" w:afterAutospacing="0" w:line="360" w:lineRule="auto"/>
              <w:ind w:left="0" w:leftChars="0" w:right="0" w:rightChars="0"/>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t>1.455</w:t>
            </w:r>
            <w:r>
              <w:rPr>
                <w:rFonts w:hint="eastAsia" w:ascii="Times New Roman" w:hAnsi="Times New Roman" w:eastAsia="宋体" w:cs="Times New Roman"/>
                <w:color w:val="auto"/>
                <w:kern w:val="2"/>
                <w:sz w:val="24"/>
                <w:szCs w:val="20"/>
                <w:lang w:val="en-US" w:eastAsia="zh-CN" w:bidi="ar-SA"/>
              </w:rPr>
              <w:t>t/a</w:t>
            </w:r>
          </w:p>
        </w:tc>
      </w:tr>
      <w:tr w14:paraId="344D9C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2819" w:type="pct"/>
            <w:vAlign w:val="center"/>
          </w:tcPr>
          <w:p w14:paraId="4A34C160">
            <w:pPr>
              <w:pStyle w:val="110"/>
              <w:keepNext w:val="0"/>
              <w:keepLines w:val="0"/>
              <w:pageBreakBefore w:val="0"/>
              <w:suppressLineNumbers w:val="0"/>
              <w:wordWrap/>
              <w:bidi w:val="0"/>
              <w:spacing w:before="0" w:beforeAutospacing="0" w:after="0" w:afterAutospacing="0" w:line="360" w:lineRule="auto"/>
              <w:ind w:left="0" w:leftChars="0" w:right="0" w:rightChars="0"/>
              <w:rPr>
                <w:rFonts w:hint="eastAsia" w:ascii="Times New Roman" w:hAnsi="Times New Roman" w:eastAsia="宋体" w:cs="Times New Roman"/>
                <w:color w:val="auto"/>
                <w:kern w:val="2"/>
                <w:sz w:val="24"/>
                <w:szCs w:val="20"/>
                <w:lang w:val="en-US" w:eastAsia="zh-CN" w:bidi="ar-SA"/>
              </w:rPr>
            </w:pPr>
            <w:r>
              <w:rPr>
                <w:rFonts w:hint="eastAsia" w:ascii="Times New Roman" w:hAnsi="Times New Roman" w:eastAsia="宋体" w:cs="Times New Roman"/>
                <w:color w:val="auto"/>
                <w:kern w:val="2"/>
                <w:sz w:val="24"/>
                <w:szCs w:val="20"/>
                <w:lang w:val="en-US" w:eastAsia="zh-CN" w:bidi="ar-SA"/>
              </w:rPr>
              <w:t>VOCs</w:t>
            </w:r>
          </w:p>
        </w:tc>
        <w:tc>
          <w:tcPr>
            <w:tcW w:w="3949" w:type="dxa"/>
            <w:vAlign w:val="center"/>
          </w:tcPr>
          <w:p w14:paraId="7AB64C31">
            <w:pPr>
              <w:pStyle w:val="110"/>
              <w:keepNext w:val="0"/>
              <w:keepLines w:val="0"/>
              <w:pageBreakBefore w:val="0"/>
              <w:suppressLineNumbers w:val="0"/>
              <w:wordWrap/>
              <w:bidi w:val="0"/>
              <w:spacing w:before="0" w:beforeAutospacing="0" w:after="0" w:afterAutospacing="0" w:line="360" w:lineRule="auto"/>
              <w:ind w:left="0" w:leftChars="0" w:right="0" w:rightChars="0"/>
              <w:rPr>
                <w:rFonts w:hint="default" w:ascii="Times New Roman" w:hAnsi="Times New Roman" w:eastAsia="宋体" w:cs="Times New Roman"/>
                <w:color w:val="auto"/>
                <w:kern w:val="2"/>
                <w:sz w:val="24"/>
                <w:szCs w:val="20"/>
                <w:lang w:val="en-US" w:eastAsia="zh-CN" w:bidi="ar-SA"/>
              </w:rPr>
            </w:pPr>
            <w:r>
              <w:rPr>
                <w:rFonts w:hint="eastAsia" w:cs="Times New Roman"/>
                <w:color w:val="auto"/>
                <w:kern w:val="2"/>
                <w:sz w:val="24"/>
                <w:szCs w:val="20"/>
                <w:lang w:val="en-US" w:eastAsia="zh-CN" w:bidi="ar-SA"/>
              </w:rPr>
              <w:t>0.724</w:t>
            </w:r>
            <w:r>
              <w:rPr>
                <w:rFonts w:hint="eastAsia" w:ascii="Times New Roman" w:hAnsi="Times New Roman" w:eastAsia="宋体" w:cs="Times New Roman"/>
                <w:color w:val="auto"/>
                <w:kern w:val="2"/>
                <w:sz w:val="24"/>
                <w:szCs w:val="20"/>
                <w:lang w:val="en-US" w:eastAsia="zh-CN" w:bidi="ar-SA"/>
              </w:rPr>
              <w:t>t/a</w:t>
            </w:r>
          </w:p>
        </w:tc>
      </w:tr>
      <w:tr w14:paraId="26BC2E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2819" w:type="pct"/>
            <w:vAlign w:val="center"/>
          </w:tcPr>
          <w:p w14:paraId="5AC302D8">
            <w:pPr>
              <w:pStyle w:val="29"/>
              <w:keepNext w:val="0"/>
              <w:keepLines w:val="0"/>
              <w:pageBreakBefore w:val="0"/>
              <w:widowControl w:val="0"/>
              <w:kinsoku/>
              <w:wordWrap/>
              <w:overflowPunct/>
              <w:topLinePunct w:val="0"/>
              <w:autoSpaceDE/>
              <w:autoSpaceDN/>
              <w:bidi w:val="0"/>
              <w:adjustRightInd w:val="0"/>
              <w:snapToGrid w:val="0"/>
              <w:spacing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4"/>
                <w:szCs w:val="20"/>
                <w:lang w:val="en-US" w:eastAsia="zh-CN" w:bidi="ar-SA"/>
              </w:rPr>
            </w:pPr>
            <w:r>
              <w:rPr>
                <w:rFonts w:hint="eastAsia" w:ascii="Times New Roman" w:hAnsi="Times New Roman" w:eastAsia="宋体" w:cs="Times New Roman"/>
                <w:color w:val="auto"/>
                <w:kern w:val="2"/>
                <w:sz w:val="24"/>
                <w:szCs w:val="20"/>
                <w:lang w:val="en-US" w:eastAsia="zh-CN" w:bidi="ar-SA"/>
              </w:rPr>
              <w:t>COD</w:t>
            </w:r>
          </w:p>
        </w:tc>
        <w:tc>
          <w:tcPr>
            <w:tcW w:w="3949" w:type="dxa"/>
            <w:vAlign w:val="center"/>
          </w:tcPr>
          <w:p w14:paraId="24820B7A">
            <w:pPr>
              <w:pStyle w:val="29"/>
              <w:keepNext w:val="0"/>
              <w:keepLines w:val="0"/>
              <w:pageBreakBefore w:val="0"/>
              <w:widowControl w:val="0"/>
              <w:kinsoku/>
              <w:wordWrap/>
              <w:overflowPunct/>
              <w:topLinePunct w:val="0"/>
              <w:autoSpaceDE/>
              <w:autoSpaceDN/>
              <w:bidi w:val="0"/>
              <w:adjustRightInd w:val="0"/>
              <w:snapToGrid w:val="0"/>
              <w:spacing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4"/>
                <w:szCs w:val="20"/>
                <w:lang w:val="en-US" w:eastAsia="zh-CN" w:bidi="ar-SA"/>
              </w:rPr>
            </w:pPr>
            <w:r>
              <w:rPr>
                <w:rFonts w:hint="eastAsia" w:cs="Times New Roman"/>
                <w:color w:val="auto"/>
                <w:kern w:val="2"/>
                <w:sz w:val="24"/>
                <w:szCs w:val="20"/>
                <w:lang w:val="en-US" w:eastAsia="zh-CN" w:bidi="ar-SA"/>
              </w:rPr>
              <w:t>0.983t/a</w:t>
            </w:r>
          </w:p>
        </w:tc>
      </w:tr>
      <w:tr w14:paraId="63B768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2819" w:type="pct"/>
            <w:vAlign w:val="center"/>
          </w:tcPr>
          <w:p w14:paraId="23BF341B">
            <w:pPr>
              <w:pStyle w:val="29"/>
              <w:keepNext w:val="0"/>
              <w:keepLines w:val="0"/>
              <w:pageBreakBefore w:val="0"/>
              <w:widowControl w:val="0"/>
              <w:kinsoku/>
              <w:wordWrap/>
              <w:overflowPunct/>
              <w:topLinePunct w:val="0"/>
              <w:autoSpaceDE/>
              <w:autoSpaceDN/>
              <w:bidi w:val="0"/>
              <w:adjustRightInd w:val="0"/>
              <w:snapToGrid w:val="0"/>
              <w:spacing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4"/>
                <w:szCs w:val="20"/>
                <w:lang w:val="en-US" w:eastAsia="zh-CN" w:bidi="ar-SA"/>
              </w:rPr>
            </w:pPr>
            <w:r>
              <w:rPr>
                <w:rFonts w:hint="eastAsia" w:ascii="Times New Roman" w:hAnsi="Times New Roman" w:eastAsia="宋体" w:cs="Times New Roman"/>
                <w:color w:val="auto"/>
                <w:kern w:val="2"/>
                <w:sz w:val="24"/>
                <w:szCs w:val="20"/>
                <w:lang w:val="en-US" w:eastAsia="zh-CN" w:bidi="ar-SA"/>
              </w:rPr>
              <w:t>氨氮</w:t>
            </w:r>
          </w:p>
        </w:tc>
        <w:tc>
          <w:tcPr>
            <w:tcW w:w="3949" w:type="dxa"/>
            <w:vAlign w:val="center"/>
          </w:tcPr>
          <w:p w14:paraId="593B2B16">
            <w:pPr>
              <w:pStyle w:val="29"/>
              <w:keepNext w:val="0"/>
              <w:keepLines w:val="0"/>
              <w:pageBreakBefore w:val="0"/>
              <w:widowControl w:val="0"/>
              <w:kinsoku/>
              <w:wordWrap/>
              <w:overflowPunct/>
              <w:topLinePunct w:val="0"/>
              <w:autoSpaceDE/>
              <w:autoSpaceDN/>
              <w:bidi w:val="0"/>
              <w:adjustRightInd w:val="0"/>
              <w:snapToGrid w:val="0"/>
              <w:spacing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4"/>
                <w:szCs w:val="20"/>
                <w:lang w:val="en-US" w:eastAsia="zh-CN" w:bidi="ar-SA"/>
              </w:rPr>
            </w:pPr>
            <w:r>
              <w:rPr>
                <w:rFonts w:hint="eastAsia" w:cs="Times New Roman"/>
                <w:color w:val="auto"/>
                <w:kern w:val="2"/>
                <w:sz w:val="24"/>
                <w:szCs w:val="20"/>
                <w:lang w:val="en-US" w:eastAsia="zh-CN" w:bidi="ar-SA"/>
              </w:rPr>
              <w:t>0.056t/a</w:t>
            </w:r>
          </w:p>
        </w:tc>
      </w:tr>
    </w:tbl>
    <w:p w14:paraId="0FF7AEDD">
      <w:pPr>
        <w:pStyle w:val="127"/>
        <w:spacing w:line="360" w:lineRule="auto"/>
        <w:ind w:firstLine="480"/>
        <w:rPr>
          <w:rFonts w:hint="eastAsia"/>
          <w:color w:val="auto"/>
          <w:lang w:val="en-US" w:eastAsia="zh-CN"/>
        </w:rPr>
      </w:pPr>
    </w:p>
    <w:p w14:paraId="519C7A46">
      <w:pPr>
        <w:pStyle w:val="127"/>
        <w:spacing w:line="360" w:lineRule="auto"/>
        <w:ind w:firstLine="480"/>
        <w:rPr>
          <w:rFonts w:hint="eastAsia"/>
          <w:color w:val="auto"/>
          <w:lang w:val="en-US" w:eastAsia="zh-CN"/>
        </w:rPr>
      </w:pPr>
    </w:p>
    <w:p w14:paraId="208BA969">
      <w:pPr>
        <w:pStyle w:val="127"/>
        <w:spacing w:line="360" w:lineRule="auto"/>
        <w:ind w:firstLine="480"/>
        <w:rPr>
          <w:rFonts w:hint="eastAsia"/>
          <w:color w:val="auto"/>
          <w:lang w:val="en-US" w:eastAsia="zh-CN"/>
        </w:rPr>
      </w:pPr>
    </w:p>
    <w:bookmarkEnd w:id="44"/>
    <w:bookmarkEnd w:id="45"/>
    <w:p w14:paraId="48222EB2">
      <w:pPr>
        <w:rPr>
          <w:rFonts w:hint="default"/>
          <w:color w:val="auto"/>
          <w:lang w:val="en-US" w:eastAsia="zh-CN"/>
        </w:rPr>
      </w:pPr>
    </w:p>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50"/>
    <w:family w:val="auto"/>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楷体">
    <w:panose1 w:val="02010609060101010101"/>
    <w:charset w:val="86"/>
    <w:family w:val="modern"/>
    <w:pitch w:val="default"/>
    <w:sig w:usb0="800002BF" w:usb1="38CF7CFA" w:usb2="00000016" w:usb3="00000000" w:csb0="00040001" w:csb1="00000000"/>
  </w:font>
  <w:font w:name="等线 Light">
    <w:panose1 w:val="02010600030101010101"/>
    <w:charset w:val="86"/>
    <w:family w:val="auto"/>
    <w:pitch w:val="default"/>
    <w:sig w:usb0="A00002BF" w:usb1="38CF7CFA" w:usb2="00000016" w:usb3="00000000" w:csb0="0004000F" w:csb1="00000000"/>
  </w:font>
  <w:font w:name="仿宋_GB2312">
    <w:panose1 w:val="02010609030101010101"/>
    <w:charset w:val="86"/>
    <w:family w:val="modern"/>
    <w:pitch w:val="default"/>
    <w:sig w:usb0="00000001" w:usb1="080E0000" w:usb2="00000000" w:usb3="00000000" w:csb0="00040000" w:csb1="00000000"/>
  </w:font>
  <w:font w:name="仿宋体">
    <w:altName w:val="宋体"/>
    <w:panose1 w:val="00000000000000000000"/>
    <w:charset w:val="86"/>
    <w:family w:val="roma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楷体_GB2312">
    <w:panose1 w:val="02010609030101010101"/>
    <w:charset w:val="86"/>
    <w:family w:val="modern"/>
    <w:pitch w:val="default"/>
    <w:sig w:usb0="00000001" w:usb1="080E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Helvetica">
    <w:altName w:val="Arial"/>
    <w:panose1 w:val="020B0504020202030204"/>
    <w:charset w:val="00"/>
    <w:family w:val="auto"/>
    <w:pitch w:val="default"/>
    <w:sig w:usb0="00000000" w:usb1="00000000" w:usb2="00000000" w:usb3="00000000" w:csb0="00000093" w:csb1="00000000"/>
  </w:font>
  <w:font w:name="Tahoma">
    <w:panose1 w:val="020B0604030504040204"/>
    <w:charset w:val="00"/>
    <w:family w:val="auto"/>
    <w:pitch w:val="default"/>
    <w:sig w:usb0="E1002EFF" w:usb1="C000605B" w:usb2="00000029" w:usb3="00000000" w:csb0="200101FF" w:csb1="2028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77343D">
    <w:pPr>
      <w:pStyle w:val="19"/>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F15925">
    <w:pPr>
      <w:pStyle w:val="19"/>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B3486D8">
                          <w:pPr>
                            <w:pStyle w:val="19"/>
                          </w:pPr>
                          <w:r>
                            <w:fldChar w:fldCharType="begin"/>
                          </w:r>
                          <w:r>
                            <w:instrText xml:space="preserve"> PAGE  \* MERGEFORMAT </w:instrText>
                          </w:r>
                          <w:r>
                            <w:fldChar w:fldCharType="separate"/>
                          </w:r>
                          <w:r>
                            <w:t>2</w:t>
                          </w:r>
                          <w:r>
                            <w:fldChar w:fldCharType="end"/>
                          </w:r>
                        </w:p>
                      </w:txbxContent>
                    </wps:txbx>
                    <wps:bodyPr wrap="none" lIns="0" tIns="0" rIns="0" bIns="0" upright="0">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G5SJMkBAACaAwAADgAAAGRycy9lMm9Eb2MueG1srVNLbtswEN0XyB0I&#10;7mPJXhSCYDlIYaQoEKQF0h6ApkiLAH/g0JZ8gfYGXXXTfc/lc3RISU6abrLIhhrODN/MezNa3wxG&#10;k6MIoJxt6HJRUiIsd62y+4Z++3p3XVECkdmWaWdFQ08C6M3m6t2697VYuc7pVgSCIBbq3je0i9HX&#10;RQG8E4bBwnlhMShdMCziNeyLNrAe0Y0uVmX5vuhdaH1wXACgdzsG6YQYXgPopFRcbB0/GGHjiBqE&#10;ZhEpQac80E3uVkrB42cpQUSiG4pMYz6xCNq7dBabNav3gflO8akF9poWXnAyTFkseoHassjIIaj/&#10;oIziwYGTccGdKUYiWRFksSxfaPPYMS8yF5Qa/EV0eDtY/nD8EohqG1otKbHM4MTPP3+cf/05//5O&#10;lkmf3kONaY8eE+PwwQ24NbMf0JloDzKY9EVCBOOo7umirhgi4elRtaqqEkMcY/MF8Yun5z5A/Cic&#10;IcloaMDxZVXZ8R7imDqnpGrW3Smt8wi1/ceBmMlTpN7HHpMVh90wEdq59oR8epx8Qy0uOiX6k0Vh&#10;05LMRpiN3WwcfFD7Lm9Rqgf+9hCxidxbqjDCToVxZJndtF5pJ57fc9bTL7X5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wblIkyQEAAJoDAAAOAAAAAAAAAAEAIAAAAB4BAABkcnMvZTJvRG9j&#10;LnhtbFBLBQYAAAAABgAGAFkBAABZBQAAAAA=&#10;">
              <v:fill on="f" focussize="0,0"/>
              <v:stroke on="f"/>
              <v:imagedata o:title=""/>
              <o:lock v:ext="edit" aspectratio="f"/>
              <v:textbox inset="0mm,0mm,0mm,0mm" style="mso-fit-shape-to-text:t;">
                <w:txbxContent>
                  <w:p w14:paraId="2B3486D8">
                    <w:pPr>
                      <w:pStyle w:val="19"/>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A2E56D">
    <w:pPr>
      <w:pStyle w:val="19"/>
      <w:ind w:right="360"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8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C70741B">
                          <w:pPr>
                            <w:pStyle w:val="19"/>
                          </w:pPr>
                          <w:r>
                            <w:fldChar w:fldCharType="begin"/>
                          </w:r>
                          <w:r>
                            <w:instrText xml:space="preserve"> PAGE  \* MERGEFORMAT </w:instrText>
                          </w:r>
                          <w:r>
                            <w:fldChar w:fldCharType="separate"/>
                          </w:r>
                          <w:r>
                            <w:t>2</w:t>
                          </w:r>
                          <w:r>
                            <w:fldChar w:fldCharType="end"/>
                          </w:r>
                        </w:p>
                      </w:txbxContent>
                    </wps:txbx>
                    <wps:bodyPr wrap="none" lIns="0" tIns="0" rIns="0" bIns="0" upright="0">
                      <a:spAutoFit/>
                    </wps:bodyPr>
                  </wps:wsp>
                </a:graphicData>
              </a:graphic>
            </wp:anchor>
          </w:drawing>
        </mc:Choice>
        <mc:Fallback>
          <w:pict>
            <v:shape id="文本框 3"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0KM8S8kBAACaAwAADgAAAGRycy9lMm9Eb2MueG1srVNLbtswEN0X6B0I&#10;7msqDlAIguUghZEiQNAWSHsAmqIsAvyBQ1vyBdobdNVN9z2Xz9EhJTm/TRbZUMOZ4Zt5b0arq8Fo&#10;cpABlLM1vVgUlEgrXKPsrqY/vt98KCmByG3DtbOypkcJ9Gr9/t2q95Vcus7pRgaCIBaq3te0i9FX&#10;jIHopOGwcF5aDLYuGB7xGnasCbxHdKPZsig+st6FxgcnJAB6N2OQTojhNYCubZWQGyf2Rto4ogap&#10;eURK0CkPdJ27bVsp4te2BRmJrikyjfnEImhv08nWK17tAvedElML/DUtPONkuLJY9Ay14ZGTfVAv&#10;oIwSwYFr40I4w0YiWRFkcVE80+a+415mLig1+LPo8Haw4svhWyCqqWl5SYnlBid++v3r9Off6e9P&#10;cpn06T1UmHbvMTEOn9yAWzP7AZ2J9tAGk75IiGAc1T2e1ZVDJCI9KpdlWWBIYGy+ID57eO4DxM/S&#10;GZKMmgYcX1aVH+4gjqlzSqpm3Y3SOo9Q2ycOxEwelnofe0xWHLbDRGjrmiPy6XHyNbW46JToW4vC&#10;piWZjTAb29nY+6B2Xd6iVA/89T5iE7m3VGGEnQrjyDK7ab3STjy+56yHX2r9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DQozxLyQEAAJoDAAAOAAAAAAAAAAEAIAAAAB4BAABkcnMvZTJvRG9j&#10;LnhtbFBLBQYAAAAABgAGAFkBAABZBQAAAAA=&#10;">
              <v:fill on="f" focussize="0,0"/>
              <v:stroke on="f"/>
              <v:imagedata o:title=""/>
              <o:lock v:ext="edit" aspectratio="f"/>
              <v:textbox inset="0mm,0mm,0mm,0mm" style="mso-fit-shape-to-text:t;">
                <w:txbxContent>
                  <w:p w14:paraId="4C70741B">
                    <w:pPr>
                      <w:pStyle w:val="19"/>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625D0C">
    <w:pPr>
      <w:pStyle w:val="19"/>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0B1BB2C">
                          <w:pPr>
                            <w:pStyle w:val="19"/>
                          </w:pPr>
                          <w:r>
                            <w:fldChar w:fldCharType="begin"/>
                          </w:r>
                          <w:r>
                            <w:instrText xml:space="preserve"> PAGE  \* MERGEFORMAT </w:instrText>
                          </w:r>
                          <w:r>
                            <w:fldChar w:fldCharType="separate"/>
                          </w:r>
                          <w:r>
                            <w:t>55</w:t>
                          </w:r>
                          <w:r>
                            <w:fldChar w:fldCharType="end"/>
                          </w:r>
                        </w:p>
                      </w:txbxContent>
                    </wps:txbx>
                    <wps:bodyPr wrap="none" lIns="0" tIns="0" rIns="0" bIns="0" upright="0">
                      <a:spAutoFit/>
                    </wps:bodyPr>
                  </wps:wsp>
                </a:graphicData>
              </a:graphic>
            </wp:anchor>
          </w:drawing>
        </mc:Choice>
        <mc:Fallback>
          <w:pict>
            <v:shape id="文本框 2"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IMWLfMkBAACaAwAADgAAAGRycy9lMm9Eb2MueG1srVNLbtswEN0X6B0I&#10;7mspWhSCYDloYCQoEKQF0h6ApkiLAH/g0JZ8gfYGXXXTfc/lc3RISU6abrLohhrODN/MezNaX49G&#10;k6MIoJxt6dWqpERY7jpl9y39+uX2XU0JRGY7pp0VLT0JoNebt2/Wg29E5XqnOxEIglhoBt/SPkbf&#10;FAXwXhgGK+eFxaB0wbCI17AvusAGRDe6qMryfTG40PnguABA73YK0hkxvAbQSam42Dp+MMLGCTUI&#10;zSJSgl55oJvcrZSCx09SgohEtxSZxnxiEbR36Sw2a9bsA/O94nML7DUtvOBkmLJY9AK1ZZGRQ1D/&#10;QBnFgwMn44o7U0xEsiLI4qp8oc1jz7zIXFBq8BfR4f/B8ofj50BU19K6osQygxM///h+/vn7/Osb&#10;qZI+g4cG0x49Jsbxxo24NYsf0JlojzKY9EVCBOOo7umirhgj4elRXdV1iSGOseWC+MXTcx8g3gln&#10;SDJaGnB8WVV2vIc4pS4pqZp1t0rrPEJt/3IgZvIUqfepx2TFcTfOhHauOyGfASffUouLTon+aFHY&#10;tCSLERZjtxgHH9S+z1uU6oH/cIjYRO4tVZhg58I4ssxuXq+0E8/vOevpl9r8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gxYt8yQEAAJoDAAAOAAAAAAAAAAEAIAAAAB4BAABkcnMvZTJvRG9j&#10;LnhtbFBLBQYAAAAABgAGAFkBAABZBQAAAAA=&#10;">
              <v:fill on="f" focussize="0,0"/>
              <v:stroke on="f"/>
              <v:imagedata o:title=""/>
              <o:lock v:ext="edit" aspectratio="f"/>
              <v:textbox inset="0mm,0mm,0mm,0mm" style="mso-fit-shape-to-text:t;">
                <w:txbxContent>
                  <w:p w14:paraId="10B1BB2C">
                    <w:pPr>
                      <w:pStyle w:val="19"/>
                    </w:pPr>
                    <w:r>
                      <w:fldChar w:fldCharType="begin"/>
                    </w:r>
                    <w:r>
                      <w:instrText xml:space="preserve"> PAGE  \* MERGEFORMAT </w:instrText>
                    </w:r>
                    <w:r>
                      <w:fldChar w:fldCharType="separate"/>
                    </w:r>
                    <w:r>
                      <w:t>55</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E76282A"/>
    <w:multiLevelType w:val="singleLevel"/>
    <w:tmpl w:val="9E76282A"/>
    <w:lvl w:ilvl="0" w:tentative="0">
      <w:start w:val="4"/>
      <w:numFmt w:val="chineseCounting"/>
      <w:suff w:val="nothing"/>
      <w:lvlText w:val="%1、"/>
      <w:lvlJc w:val="left"/>
      <w:rPr>
        <w:rFonts w:hint="eastAsia"/>
      </w:rPr>
    </w:lvl>
  </w:abstractNum>
  <w:abstractNum w:abstractNumId="1">
    <w:nsid w:val="BE32B057"/>
    <w:multiLevelType w:val="singleLevel"/>
    <w:tmpl w:val="BE32B057"/>
    <w:lvl w:ilvl="0" w:tentative="0">
      <w:start w:val="2"/>
      <w:numFmt w:val="decimal"/>
      <w:suff w:val="nothing"/>
      <w:lvlText w:val="（%1）"/>
      <w:lvlJc w:val="left"/>
    </w:lvl>
  </w:abstractNum>
  <w:abstractNum w:abstractNumId="2">
    <w:nsid w:val="D4992DC3"/>
    <w:multiLevelType w:val="singleLevel"/>
    <w:tmpl w:val="D4992DC3"/>
    <w:lvl w:ilvl="0" w:tentative="0">
      <w:start w:val="1"/>
      <w:numFmt w:val="lowerLetter"/>
      <w:suff w:val="nothing"/>
      <w:lvlText w:val="%1）"/>
      <w:lvlJc w:val="left"/>
    </w:lvl>
  </w:abstractNum>
  <w:abstractNum w:abstractNumId="3">
    <w:nsid w:val="0D6BB2C1"/>
    <w:multiLevelType w:val="singleLevel"/>
    <w:tmpl w:val="0D6BB2C1"/>
    <w:lvl w:ilvl="0" w:tentative="0">
      <w:start w:val="1"/>
      <w:numFmt w:val="lowerLetter"/>
      <w:suff w:val="nothing"/>
      <w:lvlText w:val="%1）"/>
      <w:lvlJc w:val="left"/>
    </w:lvl>
  </w:abstractNum>
  <w:abstractNum w:abstractNumId="4">
    <w:nsid w:val="1F1742CC"/>
    <w:multiLevelType w:val="singleLevel"/>
    <w:tmpl w:val="1F1742CC"/>
    <w:lvl w:ilvl="0" w:tentative="0">
      <w:start w:val="1"/>
      <w:numFmt w:val="lowerLetter"/>
      <w:suff w:val="nothing"/>
      <w:lvlText w:val="%1）"/>
      <w:lvlJc w:val="left"/>
    </w:lvl>
  </w:abstractNum>
  <w:abstractNum w:abstractNumId="5">
    <w:nsid w:val="646260FA"/>
    <w:multiLevelType w:val="multilevel"/>
    <w:tmpl w:val="646260FA"/>
    <w:lvl w:ilvl="0" w:tentative="0">
      <w:start w:val="1"/>
      <w:numFmt w:val="decimal"/>
      <w:pStyle w:val="77"/>
      <w:suff w:val="nothing"/>
      <w:lvlText w:val="表%1　"/>
      <w:lvlJc w:val="left"/>
      <w:pPr>
        <w:ind w:left="2411" w:firstLine="0"/>
      </w:pPr>
      <w:rPr>
        <w:rFonts w:hint="eastAsia" w:ascii="黑体" w:hAnsi="Times New Roman" w:eastAsia="黑体"/>
        <w:b w:val="0"/>
        <w:i w:val="0"/>
        <w:sz w:val="21"/>
      </w:rPr>
    </w:lvl>
    <w:lvl w:ilvl="1" w:tentative="0">
      <w:start w:val="1"/>
      <w:numFmt w:val="decimal"/>
      <w:lvlText w:val="%1.%2"/>
      <w:lvlJc w:val="left"/>
      <w:pPr>
        <w:tabs>
          <w:tab w:val="left" w:pos="992"/>
        </w:tabs>
        <w:ind w:left="992" w:hanging="567"/>
      </w:pPr>
      <w:rPr>
        <w:rFonts w:hint="eastAsia"/>
      </w:rPr>
    </w:lvl>
    <w:lvl w:ilvl="2" w:tentative="0">
      <w:start w:val="1"/>
      <w:numFmt w:val="decimal"/>
      <w:lvlText w:val="%1.%2.%3"/>
      <w:lvlJc w:val="left"/>
      <w:pPr>
        <w:tabs>
          <w:tab w:val="left" w:pos="1418"/>
        </w:tabs>
        <w:ind w:left="1418" w:hanging="567"/>
      </w:pPr>
      <w:rPr>
        <w:rFonts w:hint="eastAsia"/>
      </w:rPr>
    </w:lvl>
    <w:lvl w:ilvl="3" w:tentative="0">
      <w:start w:val="1"/>
      <w:numFmt w:val="decimal"/>
      <w:lvlText w:val="%1.%2.%3.%4"/>
      <w:lvlJc w:val="left"/>
      <w:pPr>
        <w:tabs>
          <w:tab w:val="left" w:pos="1984"/>
        </w:tabs>
        <w:ind w:left="1984" w:hanging="708"/>
      </w:pPr>
      <w:rPr>
        <w:rFonts w:hint="eastAsia"/>
      </w:rPr>
    </w:lvl>
    <w:lvl w:ilvl="4" w:tentative="0">
      <w:start w:val="1"/>
      <w:numFmt w:val="decimal"/>
      <w:lvlText w:val="%1.%2.%3.%4.%5"/>
      <w:lvlJc w:val="left"/>
      <w:pPr>
        <w:tabs>
          <w:tab w:val="left" w:pos="2551"/>
        </w:tabs>
        <w:ind w:left="2551" w:hanging="850"/>
      </w:pPr>
      <w:rPr>
        <w:rFonts w:hint="eastAsia"/>
      </w:rPr>
    </w:lvl>
    <w:lvl w:ilvl="5" w:tentative="0">
      <w:start w:val="1"/>
      <w:numFmt w:val="decimal"/>
      <w:lvlText w:val="%1.%2.%3.%4.%5.%6"/>
      <w:lvlJc w:val="left"/>
      <w:pPr>
        <w:tabs>
          <w:tab w:val="left" w:pos="3260"/>
        </w:tabs>
        <w:ind w:left="3260" w:hanging="1134"/>
      </w:pPr>
      <w:rPr>
        <w:rFonts w:hint="eastAsia"/>
      </w:rPr>
    </w:lvl>
    <w:lvl w:ilvl="6" w:tentative="0">
      <w:start w:val="1"/>
      <w:numFmt w:val="decimal"/>
      <w:lvlText w:val="%1.%2.%3.%4.%5.%6.%7"/>
      <w:lvlJc w:val="left"/>
      <w:pPr>
        <w:tabs>
          <w:tab w:val="left" w:pos="3827"/>
        </w:tabs>
        <w:ind w:left="3827" w:hanging="1276"/>
      </w:pPr>
      <w:rPr>
        <w:rFonts w:hint="eastAsia"/>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num w:numId="1">
    <w:abstractNumId w:val="5"/>
  </w:num>
  <w:num w:numId="2">
    <w:abstractNumId w:val="4"/>
  </w:num>
  <w:num w:numId="3">
    <w:abstractNumId w:val="2"/>
  </w:num>
  <w:num w:numId="4">
    <w:abstractNumId w:val="3"/>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hideSpellingErrors/>
  <w:documentProtection w:edit="trackedChanges" w:enforcement="0"/>
  <w:defaultTabStop w:val="420"/>
  <w:drawingGridHorizontalSpacing w:val="105"/>
  <w:displayHorizontalDrawingGridEvery w:val="1"/>
  <w:displayVerticalDrawingGridEvery w:val="1"/>
  <w:noPunctuationKerning w:val="1"/>
  <w:characterSpacingControl w:val="doNotCompress"/>
  <w:compat>
    <w:balanceSingleByteDoubleByteWidth/>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QzOTFkN2FkZjI5MTU0OTFhZTk4N2M4MTRhM2FiN2UifQ=="/>
  </w:docVars>
  <w:rsids>
    <w:rsidRoot w:val="00172A27"/>
    <w:rsid w:val="00000B61"/>
    <w:rsid w:val="000012AE"/>
    <w:rsid w:val="000012D2"/>
    <w:rsid w:val="00001F12"/>
    <w:rsid w:val="000025E4"/>
    <w:rsid w:val="0000285C"/>
    <w:rsid w:val="00003C5C"/>
    <w:rsid w:val="00004174"/>
    <w:rsid w:val="000042AA"/>
    <w:rsid w:val="00004370"/>
    <w:rsid w:val="0000503F"/>
    <w:rsid w:val="00005D77"/>
    <w:rsid w:val="000060A8"/>
    <w:rsid w:val="000060B3"/>
    <w:rsid w:val="000066F9"/>
    <w:rsid w:val="000069C9"/>
    <w:rsid w:val="000078EA"/>
    <w:rsid w:val="000101EF"/>
    <w:rsid w:val="0001029E"/>
    <w:rsid w:val="00010A21"/>
    <w:rsid w:val="00010B86"/>
    <w:rsid w:val="00010EFD"/>
    <w:rsid w:val="00011279"/>
    <w:rsid w:val="000112E0"/>
    <w:rsid w:val="000117F6"/>
    <w:rsid w:val="00011A8C"/>
    <w:rsid w:val="000128DD"/>
    <w:rsid w:val="000129C7"/>
    <w:rsid w:val="00012C5B"/>
    <w:rsid w:val="000131DD"/>
    <w:rsid w:val="00013F90"/>
    <w:rsid w:val="00014171"/>
    <w:rsid w:val="00014A3C"/>
    <w:rsid w:val="00014E76"/>
    <w:rsid w:val="000150A8"/>
    <w:rsid w:val="00015D67"/>
    <w:rsid w:val="00016175"/>
    <w:rsid w:val="0001617D"/>
    <w:rsid w:val="000164ED"/>
    <w:rsid w:val="00016920"/>
    <w:rsid w:val="00016C79"/>
    <w:rsid w:val="00016D08"/>
    <w:rsid w:val="00017042"/>
    <w:rsid w:val="00017179"/>
    <w:rsid w:val="00020076"/>
    <w:rsid w:val="00020143"/>
    <w:rsid w:val="0002021E"/>
    <w:rsid w:val="000202CE"/>
    <w:rsid w:val="00020B3B"/>
    <w:rsid w:val="00020FD5"/>
    <w:rsid w:val="00021111"/>
    <w:rsid w:val="00021700"/>
    <w:rsid w:val="00021EC8"/>
    <w:rsid w:val="00022020"/>
    <w:rsid w:val="00022084"/>
    <w:rsid w:val="00022228"/>
    <w:rsid w:val="0002266E"/>
    <w:rsid w:val="00022EBD"/>
    <w:rsid w:val="00023294"/>
    <w:rsid w:val="0002350D"/>
    <w:rsid w:val="00023892"/>
    <w:rsid w:val="000252F6"/>
    <w:rsid w:val="00025765"/>
    <w:rsid w:val="00025A69"/>
    <w:rsid w:val="00026205"/>
    <w:rsid w:val="00026221"/>
    <w:rsid w:val="00026255"/>
    <w:rsid w:val="000262E9"/>
    <w:rsid w:val="0002710B"/>
    <w:rsid w:val="000275EE"/>
    <w:rsid w:val="00027ADD"/>
    <w:rsid w:val="00027C15"/>
    <w:rsid w:val="0003065B"/>
    <w:rsid w:val="00030E7A"/>
    <w:rsid w:val="00031C5C"/>
    <w:rsid w:val="00031D77"/>
    <w:rsid w:val="00033101"/>
    <w:rsid w:val="0003359D"/>
    <w:rsid w:val="00033699"/>
    <w:rsid w:val="0003371E"/>
    <w:rsid w:val="000338E7"/>
    <w:rsid w:val="00033A71"/>
    <w:rsid w:val="00033D81"/>
    <w:rsid w:val="000348C6"/>
    <w:rsid w:val="00034C1F"/>
    <w:rsid w:val="000358FD"/>
    <w:rsid w:val="0003595B"/>
    <w:rsid w:val="00035A98"/>
    <w:rsid w:val="00035ABC"/>
    <w:rsid w:val="00035C5F"/>
    <w:rsid w:val="00035FF4"/>
    <w:rsid w:val="00037CF3"/>
    <w:rsid w:val="0004041E"/>
    <w:rsid w:val="0004047C"/>
    <w:rsid w:val="000404C8"/>
    <w:rsid w:val="00040A1D"/>
    <w:rsid w:val="00040A79"/>
    <w:rsid w:val="00040C07"/>
    <w:rsid w:val="0004124D"/>
    <w:rsid w:val="00041321"/>
    <w:rsid w:val="000414B3"/>
    <w:rsid w:val="00041955"/>
    <w:rsid w:val="000426D1"/>
    <w:rsid w:val="000428DC"/>
    <w:rsid w:val="000431E6"/>
    <w:rsid w:val="000434EC"/>
    <w:rsid w:val="0004364B"/>
    <w:rsid w:val="00043656"/>
    <w:rsid w:val="00043EA1"/>
    <w:rsid w:val="00044083"/>
    <w:rsid w:val="00044398"/>
    <w:rsid w:val="00044974"/>
    <w:rsid w:val="00044DE1"/>
    <w:rsid w:val="00044EAC"/>
    <w:rsid w:val="00045A4F"/>
    <w:rsid w:val="00045B7D"/>
    <w:rsid w:val="0004635B"/>
    <w:rsid w:val="00046860"/>
    <w:rsid w:val="00046EE9"/>
    <w:rsid w:val="00047033"/>
    <w:rsid w:val="0004722E"/>
    <w:rsid w:val="000476B4"/>
    <w:rsid w:val="00047792"/>
    <w:rsid w:val="00047FF0"/>
    <w:rsid w:val="00050808"/>
    <w:rsid w:val="0005088B"/>
    <w:rsid w:val="00051675"/>
    <w:rsid w:val="00051E98"/>
    <w:rsid w:val="00051F36"/>
    <w:rsid w:val="00052481"/>
    <w:rsid w:val="00052BE8"/>
    <w:rsid w:val="0005309A"/>
    <w:rsid w:val="000531EA"/>
    <w:rsid w:val="00053778"/>
    <w:rsid w:val="00053A69"/>
    <w:rsid w:val="00053CE6"/>
    <w:rsid w:val="00053DAB"/>
    <w:rsid w:val="000541A4"/>
    <w:rsid w:val="000544E3"/>
    <w:rsid w:val="00054803"/>
    <w:rsid w:val="00054D1A"/>
    <w:rsid w:val="0005697F"/>
    <w:rsid w:val="00056C3D"/>
    <w:rsid w:val="00056E3C"/>
    <w:rsid w:val="000572C5"/>
    <w:rsid w:val="00057418"/>
    <w:rsid w:val="0005745E"/>
    <w:rsid w:val="00057D2F"/>
    <w:rsid w:val="000609D1"/>
    <w:rsid w:val="00060E8C"/>
    <w:rsid w:val="00060E97"/>
    <w:rsid w:val="00061B1F"/>
    <w:rsid w:val="0006229A"/>
    <w:rsid w:val="000632B8"/>
    <w:rsid w:val="0006400E"/>
    <w:rsid w:val="00064BC5"/>
    <w:rsid w:val="00065253"/>
    <w:rsid w:val="0006617C"/>
    <w:rsid w:val="000663E7"/>
    <w:rsid w:val="00066541"/>
    <w:rsid w:val="00067919"/>
    <w:rsid w:val="00067CE3"/>
    <w:rsid w:val="00071496"/>
    <w:rsid w:val="00072482"/>
    <w:rsid w:val="000726BE"/>
    <w:rsid w:val="0007330C"/>
    <w:rsid w:val="000733C4"/>
    <w:rsid w:val="00074783"/>
    <w:rsid w:val="00074B9C"/>
    <w:rsid w:val="00074FC7"/>
    <w:rsid w:val="0007558B"/>
    <w:rsid w:val="000757EC"/>
    <w:rsid w:val="00075807"/>
    <w:rsid w:val="00075A16"/>
    <w:rsid w:val="00075D78"/>
    <w:rsid w:val="000772CF"/>
    <w:rsid w:val="000779F5"/>
    <w:rsid w:val="00077ED6"/>
    <w:rsid w:val="0008046E"/>
    <w:rsid w:val="0008070B"/>
    <w:rsid w:val="000810AC"/>
    <w:rsid w:val="00081A02"/>
    <w:rsid w:val="00081A36"/>
    <w:rsid w:val="00081D46"/>
    <w:rsid w:val="00082231"/>
    <w:rsid w:val="00082897"/>
    <w:rsid w:val="0008292D"/>
    <w:rsid w:val="00082CF9"/>
    <w:rsid w:val="00082F61"/>
    <w:rsid w:val="00082FDA"/>
    <w:rsid w:val="00083E50"/>
    <w:rsid w:val="00083F1B"/>
    <w:rsid w:val="00084D88"/>
    <w:rsid w:val="000854A0"/>
    <w:rsid w:val="000861AA"/>
    <w:rsid w:val="000864C2"/>
    <w:rsid w:val="000865BD"/>
    <w:rsid w:val="00086852"/>
    <w:rsid w:val="00086976"/>
    <w:rsid w:val="00086AF4"/>
    <w:rsid w:val="00087204"/>
    <w:rsid w:val="000878BE"/>
    <w:rsid w:val="00087958"/>
    <w:rsid w:val="00087B4E"/>
    <w:rsid w:val="000903E1"/>
    <w:rsid w:val="00090756"/>
    <w:rsid w:val="000907CF"/>
    <w:rsid w:val="0009082A"/>
    <w:rsid w:val="00090836"/>
    <w:rsid w:val="00090B57"/>
    <w:rsid w:val="00091C85"/>
    <w:rsid w:val="00092BB7"/>
    <w:rsid w:val="00092D38"/>
    <w:rsid w:val="00093617"/>
    <w:rsid w:val="0009377B"/>
    <w:rsid w:val="00094541"/>
    <w:rsid w:val="0009550E"/>
    <w:rsid w:val="00095581"/>
    <w:rsid w:val="00095F98"/>
    <w:rsid w:val="000966AA"/>
    <w:rsid w:val="000966F5"/>
    <w:rsid w:val="000971CC"/>
    <w:rsid w:val="00097BF8"/>
    <w:rsid w:val="00097C72"/>
    <w:rsid w:val="000A00FA"/>
    <w:rsid w:val="000A09C8"/>
    <w:rsid w:val="000A0D08"/>
    <w:rsid w:val="000A0F72"/>
    <w:rsid w:val="000A16C4"/>
    <w:rsid w:val="000A1FF3"/>
    <w:rsid w:val="000A20C9"/>
    <w:rsid w:val="000A212A"/>
    <w:rsid w:val="000A2283"/>
    <w:rsid w:val="000A2583"/>
    <w:rsid w:val="000A2820"/>
    <w:rsid w:val="000A2E25"/>
    <w:rsid w:val="000A32BC"/>
    <w:rsid w:val="000A3B36"/>
    <w:rsid w:val="000A3CCD"/>
    <w:rsid w:val="000A3D94"/>
    <w:rsid w:val="000A4951"/>
    <w:rsid w:val="000A4A2F"/>
    <w:rsid w:val="000A4C27"/>
    <w:rsid w:val="000A5824"/>
    <w:rsid w:val="000A5D7F"/>
    <w:rsid w:val="000A62E0"/>
    <w:rsid w:val="000A6317"/>
    <w:rsid w:val="000A678E"/>
    <w:rsid w:val="000A7C29"/>
    <w:rsid w:val="000A7F3A"/>
    <w:rsid w:val="000A7F82"/>
    <w:rsid w:val="000B058F"/>
    <w:rsid w:val="000B0647"/>
    <w:rsid w:val="000B095A"/>
    <w:rsid w:val="000B0B99"/>
    <w:rsid w:val="000B14FB"/>
    <w:rsid w:val="000B1794"/>
    <w:rsid w:val="000B2208"/>
    <w:rsid w:val="000B2219"/>
    <w:rsid w:val="000B272F"/>
    <w:rsid w:val="000B2D1B"/>
    <w:rsid w:val="000B35D2"/>
    <w:rsid w:val="000B4467"/>
    <w:rsid w:val="000B4BC7"/>
    <w:rsid w:val="000B4D00"/>
    <w:rsid w:val="000B4DB9"/>
    <w:rsid w:val="000B52C0"/>
    <w:rsid w:val="000B5AAB"/>
    <w:rsid w:val="000B5D5A"/>
    <w:rsid w:val="000B5D6F"/>
    <w:rsid w:val="000B5F1A"/>
    <w:rsid w:val="000B6209"/>
    <w:rsid w:val="000B65DE"/>
    <w:rsid w:val="000B6AB4"/>
    <w:rsid w:val="000B713C"/>
    <w:rsid w:val="000C09AC"/>
    <w:rsid w:val="000C0D20"/>
    <w:rsid w:val="000C1004"/>
    <w:rsid w:val="000C1119"/>
    <w:rsid w:val="000C1593"/>
    <w:rsid w:val="000C2311"/>
    <w:rsid w:val="000C2346"/>
    <w:rsid w:val="000C25DF"/>
    <w:rsid w:val="000C273A"/>
    <w:rsid w:val="000C3F0A"/>
    <w:rsid w:val="000C4E8E"/>
    <w:rsid w:val="000C4FD0"/>
    <w:rsid w:val="000C553D"/>
    <w:rsid w:val="000C56B4"/>
    <w:rsid w:val="000C5959"/>
    <w:rsid w:val="000C5AB5"/>
    <w:rsid w:val="000C613D"/>
    <w:rsid w:val="000C6E2E"/>
    <w:rsid w:val="000C7311"/>
    <w:rsid w:val="000C73BB"/>
    <w:rsid w:val="000C74F4"/>
    <w:rsid w:val="000C767F"/>
    <w:rsid w:val="000D09C5"/>
    <w:rsid w:val="000D1A67"/>
    <w:rsid w:val="000D1ECA"/>
    <w:rsid w:val="000D2C99"/>
    <w:rsid w:val="000D2FA0"/>
    <w:rsid w:val="000D463D"/>
    <w:rsid w:val="000D4886"/>
    <w:rsid w:val="000D4A9F"/>
    <w:rsid w:val="000D4CAF"/>
    <w:rsid w:val="000D5142"/>
    <w:rsid w:val="000D5A44"/>
    <w:rsid w:val="000D5B5C"/>
    <w:rsid w:val="000D5E3D"/>
    <w:rsid w:val="000D626B"/>
    <w:rsid w:val="000D63D6"/>
    <w:rsid w:val="000D6AE3"/>
    <w:rsid w:val="000D6B32"/>
    <w:rsid w:val="000D6D09"/>
    <w:rsid w:val="000D7BB8"/>
    <w:rsid w:val="000E1057"/>
    <w:rsid w:val="000E1372"/>
    <w:rsid w:val="000E1735"/>
    <w:rsid w:val="000E1D99"/>
    <w:rsid w:val="000E1ED4"/>
    <w:rsid w:val="000E210B"/>
    <w:rsid w:val="000E3006"/>
    <w:rsid w:val="000E317F"/>
    <w:rsid w:val="000E372E"/>
    <w:rsid w:val="000E39EC"/>
    <w:rsid w:val="000E3A13"/>
    <w:rsid w:val="000E3ED2"/>
    <w:rsid w:val="000E41B8"/>
    <w:rsid w:val="000E4B8C"/>
    <w:rsid w:val="000E5712"/>
    <w:rsid w:val="000E5765"/>
    <w:rsid w:val="000E5A0B"/>
    <w:rsid w:val="000E5D79"/>
    <w:rsid w:val="000E6166"/>
    <w:rsid w:val="000E6433"/>
    <w:rsid w:val="000E64AE"/>
    <w:rsid w:val="000E6617"/>
    <w:rsid w:val="000E663F"/>
    <w:rsid w:val="000E70DC"/>
    <w:rsid w:val="000E70FA"/>
    <w:rsid w:val="000E7271"/>
    <w:rsid w:val="000E7510"/>
    <w:rsid w:val="000E7960"/>
    <w:rsid w:val="000F011A"/>
    <w:rsid w:val="000F0BA7"/>
    <w:rsid w:val="000F0C03"/>
    <w:rsid w:val="000F160A"/>
    <w:rsid w:val="000F1B40"/>
    <w:rsid w:val="000F2A42"/>
    <w:rsid w:val="000F2E9E"/>
    <w:rsid w:val="000F3134"/>
    <w:rsid w:val="000F34B4"/>
    <w:rsid w:val="000F44D4"/>
    <w:rsid w:val="000F450D"/>
    <w:rsid w:val="000F4787"/>
    <w:rsid w:val="000F4D66"/>
    <w:rsid w:val="000F509B"/>
    <w:rsid w:val="000F5356"/>
    <w:rsid w:val="000F5A8D"/>
    <w:rsid w:val="000F5C1F"/>
    <w:rsid w:val="000F5E18"/>
    <w:rsid w:val="000F60EE"/>
    <w:rsid w:val="000F61AB"/>
    <w:rsid w:val="000F6381"/>
    <w:rsid w:val="000F6635"/>
    <w:rsid w:val="000F6B2C"/>
    <w:rsid w:val="000F72A0"/>
    <w:rsid w:val="000F78DF"/>
    <w:rsid w:val="000F7BDE"/>
    <w:rsid w:val="001000C5"/>
    <w:rsid w:val="0010135C"/>
    <w:rsid w:val="00101A57"/>
    <w:rsid w:val="00102425"/>
    <w:rsid w:val="001024B8"/>
    <w:rsid w:val="00103641"/>
    <w:rsid w:val="00103A5C"/>
    <w:rsid w:val="001045A6"/>
    <w:rsid w:val="00104879"/>
    <w:rsid w:val="001048D9"/>
    <w:rsid w:val="00104A27"/>
    <w:rsid w:val="00105244"/>
    <w:rsid w:val="0010556F"/>
    <w:rsid w:val="00105C8F"/>
    <w:rsid w:val="0010621F"/>
    <w:rsid w:val="001064CD"/>
    <w:rsid w:val="001071B2"/>
    <w:rsid w:val="00107389"/>
    <w:rsid w:val="001074D6"/>
    <w:rsid w:val="001076D3"/>
    <w:rsid w:val="00107720"/>
    <w:rsid w:val="001078E3"/>
    <w:rsid w:val="00107B7C"/>
    <w:rsid w:val="001102A4"/>
    <w:rsid w:val="001103E3"/>
    <w:rsid w:val="00110A9C"/>
    <w:rsid w:val="0011179D"/>
    <w:rsid w:val="00112231"/>
    <w:rsid w:val="0011253E"/>
    <w:rsid w:val="00112CFC"/>
    <w:rsid w:val="001131E5"/>
    <w:rsid w:val="0011390F"/>
    <w:rsid w:val="00114D78"/>
    <w:rsid w:val="00114D9E"/>
    <w:rsid w:val="00114FB9"/>
    <w:rsid w:val="001158DB"/>
    <w:rsid w:val="00115F03"/>
    <w:rsid w:val="001160C2"/>
    <w:rsid w:val="0011621C"/>
    <w:rsid w:val="00116511"/>
    <w:rsid w:val="00116A69"/>
    <w:rsid w:val="0011779A"/>
    <w:rsid w:val="00117A1F"/>
    <w:rsid w:val="001202EC"/>
    <w:rsid w:val="00120428"/>
    <w:rsid w:val="00121178"/>
    <w:rsid w:val="001217DA"/>
    <w:rsid w:val="00121ED7"/>
    <w:rsid w:val="00121F20"/>
    <w:rsid w:val="0012308D"/>
    <w:rsid w:val="00123444"/>
    <w:rsid w:val="00123CBC"/>
    <w:rsid w:val="00125868"/>
    <w:rsid w:val="00125E5A"/>
    <w:rsid w:val="00125F1D"/>
    <w:rsid w:val="00126002"/>
    <w:rsid w:val="00126D67"/>
    <w:rsid w:val="00130436"/>
    <w:rsid w:val="00130B1D"/>
    <w:rsid w:val="00131676"/>
    <w:rsid w:val="00131BDA"/>
    <w:rsid w:val="00131E7F"/>
    <w:rsid w:val="00131F24"/>
    <w:rsid w:val="00131F42"/>
    <w:rsid w:val="001328C2"/>
    <w:rsid w:val="00132B21"/>
    <w:rsid w:val="00132D2F"/>
    <w:rsid w:val="00132F07"/>
    <w:rsid w:val="001334A6"/>
    <w:rsid w:val="00133800"/>
    <w:rsid w:val="0013396B"/>
    <w:rsid w:val="00134D17"/>
    <w:rsid w:val="00134FA7"/>
    <w:rsid w:val="001352B2"/>
    <w:rsid w:val="001357F1"/>
    <w:rsid w:val="0013597C"/>
    <w:rsid w:val="00135D21"/>
    <w:rsid w:val="00135DFD"/>
    <w:rsid w:val="00136165"/>
    <w:rsid w:val="00136398"/>
    <w:rsid w:val="001366C4"/>
    <w:rsid w:val="00136F9A"/>
    <w:rsid w:val="00136FD2"/>
    <w:rsid w:val="0013756E"/>
    <w:rsid w:val="0013782C"/>
    <w:rsid w:val="001378D8"/>
    <w:rsid w:val="00140487"/>
    <w:rsid w:val="00140999"/>
    <w:rsid w:val="00140E70"/>
    <w:rsid w:val="00140FA8"/>
    <w:rsid w:val="001414A2"/>
    <w:rsid w:val="001418E7"/>
    <w:rsid w:val="00141AB1"/>
    <w:rsid w:val="00141FE1"/>
    <w:rsid w:val="001422D4"/>
    <w:rsid w:val="00142FEB"/>
    <w:rsid w:val="001431BA"/>
    <w:rsid w:val="00143A2D"/>
    <w:rsid w:val="00143C28"/>
    <w:rsid w:val="00143CB3"/>
    <w:rsid w:val="00143D86"/>
    <w:rsid w:val="00143E29"/>
    <w:rsid w:val="00144203"/>
    <w:rsid w:val="00145017"/>
    <w:rsid w:val="001456A2"/>
    <w:rsid w:val="001457D2"/>
    <w:rsid w:val="00145A41"/>
    <w:rsid w:val="00145B38"/>
    <w:rsid w:val="00145DF6"/>
    <w:rsid w:val="0014606E"/>
    <w:rsid w:val="001465A3"/>
    <w:rsid w:val="001476B6"/>
    <w:rsid w:val="00150465"/>
    <w:rsid w:val="001507E9"/>
    <w:rsid w:val="00151675"/>
    <w:rsid w:val="001517CA"/>
    <w:rsid w:val="00151B32"/>
    <w:rsid w:val="00151B5A"/>
    <w:rsid w:val="0015207B"/>
    <w:rsid w:val="001523E0"/>
    <w:rsid w:val="0015243A"/>
    <w:rsid w:val="00152ACF"/>
    <w:rsid w:val="00152DA5"/>
    <w:rsid w:val="00152EEE"/>
    <w:rsid w:val="001532B3"/>
    <w:rsid w:val="00153DDD"/>
    <w:rsid w:val="00153E0A"/>
    <w:rsid w:val="001540AB"/>
    <w:rsid w:val="00154513"/>
    <w:rsid w:val="00154635"/>
    <w:rsid w:val="00155138"/>
    <w:rsid w:val="0015596C"/>
    <w:rsid w:val="00156272"/>
    <w:rsid w:val="0015695A"/>
    <w:rsid w:val="00156BCF"/>
    <w:rsid w:val="00156E57"/>
    <w:rsid w:val="00156E76"/>
    <w:rsid w:val="00157435"/>
    <w:rsid w:val="001574CA"/>
    <w:rsid w:val="00160887"/>
    <w:rsid w:val="00160D89"/>
    <w:rsid w:val="00161071"/>
    <w:rsid w:val="001619B1"/>
    <w:rsid w:val="00161CF2"/>
    <w:rsid w:val="00161EA6"/>
    <w:rsid w:val="00161F5B"/>
    <w:rsid w:val="0016203A"/>
    <w:rsid w:val="001623AC"/>
    <w:rsid w:val="0016272A"/>
    <w:rsid w:val="00162799"/>
    <w:rsid w:val="001631AE"/>
    <w:rsid w:val="00163570"/>
    <w:rsid w:val="00163960"/>
    <w:rsid w:val="00163B6D"/>
    <w:rsid w:val="001647E9"/>
    <w:rsid w:val="00164870"/>
    <w:rsid w:val="00164B25"/>
    <w:rsid w:val="00164D33"/>
    <w:rsid w:val="00164E7F"/>
    <w:rsid w:val="001652E3"/>
    <w:rsid w:val="00166F82"/>
    <w:rsid w:val="001672FC"/>
    <w:rsid w:val="00167540"/>
    <w:rsid w:val="0017010C"/>
    <w:rsid w:val="0017061B"/>
    <w:rsid w:val="00170771"/>
    <w:rsid w:val="0017079B"/>
    <w:rsid w:val="00170C40"/>
    <w:rsid w:val="00171598"/>
    <w:rsid w:val="0017187C"/>
    <w:rsid w:val="00171E40"/>
    <w:rsid w:val="00172235"/>
    <w:rsid w:val="00172698"/>
    <w:rsid w:val="00172A27"/>
    <w:rsid w:val="0017385C"/>
    <w:rsid w:val="00173C2E"/>
    <w:rsid w:val="001746BD"/>
    <w:rsid w:val="00174B13"/>
    <w:rsid w:val="00174B3A"/>
    <w:rsid w:val="00174F73"/>
    <w:rsid w:val="0017504D"/>
    <w:rsid w:val="00175213"/>
    <w:rsid w:val="0017525C"/>
    <w:rsid w:val="0017671A"/>
    <w:rsid w:val="00176D1B"/>
    <w:rsid w:val="00177422"/>
    <w:rsid w:val="00177DF2"/>
    <w:rsid w:val="001823E2"/>
    <w:rsid w:val="00182456"/>
    <w:rsid w:val="00183177"/>
    <w:rsid w:val="00184590"/>
    <w:rsid w:val="00184853"/>
    <w:rsid w:val="0018497F"/>
    <w:rsid w:val="00185288"/>
    <w:rsid w:val="00185D29"/>
    <w:rsid w:val="001860CD"/>
    <w:rsid w:val="001864C3"/>
    <w:rsid w:val="00186A2C"/>
    <w:rsid w:val="00186DF4"/>
    <w:rsid w:val="001870D1"/>
    <w:rsid w:val="001873D2"/>
    <w:rsid w:val="00187638"/>
    <w:rsid w:val="0018781E"/>
    <w:rsid w:val="00187C7E"/>
    <w:rsid w:val="00187E19"/>
    <w:rsid w:val="00190EA8"/>
    <w:rsid w:val="001910DA"/>
    <w:rsid w:val="00191760"/>
    <w:rsid w:val="001917F0"/>
    <w:rsid w:val="00191861"/>
    <w:rsid w:val="0019262D"/>
    <w:rsid w:val="00192B65"/>
    <w:rsid w:val="0019318E"/>
    <w:rsid w:val="00193FE7"/>
    <w:rsid w:val="001942E3"/>
    <w:rsid w:val="00194411"/>
    <w:rsid w:val="00194681"/>
    <w:rsid w:val="00195532"/>
    <w:rsid w:val="001956FF"/>
    <w:rsid w:val="00196CB3"/>
    <w:rsid w:val="00196E25"/>
    <w:rsid w:val="00196E42"/>
    <w:rsid w:val="0019710E"/>
    <w:rsid w:val="00197E8A"/>
    <w:rsid w:val="00197E8D"/>
    <w:rsid w:val="001A0BC4"/>
    <w:rsid w:val="001A1158"/>
    <w:rsid w:val="001A1488"/>
    <w:rsid w:val="001A1636"/>
    <w:rsid w:val="001A1B35"/>
    <w:rsid w:val="001A1C76"/>
    <w:rsid w:val="001A1DE9"/>
    <w:rsid w:val="001A2040"/>
    <w:rsid w:val="001A21F1"/>
    <w:rsid w:val="001A25B6"/>
    <w:rsid w:val="001A25F4"/>
    <w:rsid w:val="001A447D"/>
    <w:rsid w:val="001A48A2"/>
    <w:rsid w:val="001A4A33"/>
    <w:rsid w:val="001A5188"/>
    <w:rsid w:val="001A637D"/>
    <w:rsid w:val="001A6E2C"/>
    <w:rsid w:val="001A6F61"/>
    <w:rsid w:val="001A7328"/>
    <w:rsid w:val="001A7677"/>
    <w:rsid w:val="001A7B57"/>
    <w:rsid w:val="001A7DBA"/>
    <w:rsid w:val="001A7E31"/>
    <w:rsid w:val="001A7F6F"/>
    <w:rsid w:val="001B0053"/>
    <w:rsid w:val="001B0B28"/>
    <w:rsid w:val="001B0D13"/>
    <w:rsid w:val="001B12BC"/>
    <w:rsid w:val="001B12D3"/>
    <w:rsid w:val="001B1847"/>
    <w:rsid w:val="001B194E"/>
    <w:rsid w:val="001B2386"/>
    <w:rsid w:val="001B27F1"/>
    <w:rsid w:val="001B30BD"/>
    <w:rsid w:val="001B34D4"/>
    <w:rsid w:val="001B3769"/>
    <w:rsid w:val="001B5BE9"/>
    <w:rsid w:val="001B6894"/>
    <w:rsid w:val="001B715D"/>
    <w:rsid w:val="001B72B8"/>
    <w:rsid w:val="001B743B"/>
    <w:rsid w:val="001B7583"/>
    <w:rsid w:val="001B763A"/>
    <w:rsid w:val="001B7B52"/>
    <w:rsid w:val="001C0031"/>
    <w:rsid w:val="001C0994"/>
    <w:rsid w:val="001C1BA9"/>
    <w:rsid w:val="001C2650"/>
    <w:rsid w:val="001C2946"/>
    <w:rsid w:val="001C3494"/>
    <w:rsid w:val="001C3D0F"/>
    <w:rsid w:val="001C4883"/>
    <w:rsid w:val="001C4FD4"/>
    <w:rsid w:val="001C52AF"/>
    <w:rsid w:val="001C592B"/>
    <w:rsid w:val="001C6299"/>
    <w:rsid w:val="001C6330"/>
    <w:rsid w:val="001C653F"/>
    <w:rsid w:val="001C69B3"/>
    <w:rsid w:val="001C6C39"/>
    <w:rsid w:val="001C76F4"/>
    <w:rsid w:val="001C78C4"/>
    <w:rsid w:val="001D096B"/>
    <w:rsid w:val="001D11DD"/>
    <w:rsid w:val="001D18EF"/>
    <w:rsid w:val="001D2D9E"/>
    <w:rsid w:val="001D2DD7"/>
    <w:rsid w:val="001D469D"/>
    <w:rsid w:val="001D51A4"/>
    <w:rsid w:val="001D5557"/>
    <w:rsid w:val="001D5595"/>
    <w:rsid w:val="001D5B6F"/>
    <w:rsid w:val="001D6003"/>
    <w:rsid w:val="001D628C"/>
    <w:rsid w:val="001D6761"/>
    <w:rsid w:val="001D6C03"/>
    <w:rsid w:val="001D6CA1"/>
    <w:rsid w:val="001D7874"/>
    <w:rsid w:val="001D7BFF"/>
    <w:rsid w:val="001D7F22"/>
    <w:rsid w:val="001E014B"/>
    <w:rsid w:val="001E12D1"/>
    <w:rsid w:val="001E17A6"/>
    <w:rsid w:val="001E17C8"/>
    <w:rsid w:val="001E1849"/>
    <w:rsid w:val="001E26D1"/>
    <w:rsid w:val="001E2E5A"/>
    <w:rsid w:val="001E2EE5"/>
    <w:rsid w:val="001E45A2"/>
    <w:rsid w:val="001E4FC1"/>
    <w:rsid w:val="001E52DB"/>
    <w:rsid w:val="001E552C"/>
    <w:rsid w:val="001E5C24"/>
    <w:rsid w:val="001E6374"/>
    <w:rsid w:val="001E66F5"/>
    <w:rsid w:val="001E6C11"/>
    <w:rsid w:val="001E6E2B"/>
    <w:rsid w:val="001E71BF"/>
    <w:rsid w:val="001E72CA"/>
    <w:rsid w:val="001E7B46"/>
    <w:rsid w:val="001F049F"/>
    <w:rsid w:val="001F0DC8"/>
    <w:rsid w:val="001F0F17"/>
    <w:rsid w:val="001F11B7"/>
    <w:rsid w:val="001F11E8"/>
    <w:rsid w:val="001F1C75"/>
    <w:rsid w:val="001F20A0"/>
    <w:rsid w:val="001F245C"/>
    <w:rsid w:val="001F30A1"/>
    <w:rsid w:val="001F32C9"/>
    <w:rsid w:val="001F3347"/>
    <w:rsid w:val="001F3B92"/>
    <w:rsid w:val="001F419D"/>
    <w:rsid w:val="001F49BC"/>
    <w:rsid w:val="001F4D41"/>
    <w:rsid w:val="001F5998"/>
    <w:rsid w:val="001F59AB"/>
    <w:rsid w:val="001F6117"/>
    <w:rsid w:val="001F6924"/>
    <w:rsid w:val="001F69E4"/>
    <w:rsid w:val="001F6DFB"/>
    <w:rsid w:val="001F6E6E"/>
    <w:rsid w:val="001F7C67"/>
    <w:rsid w:val="0020001A"/>
    <w:rsid w:val="00200434"/>
    <w:rsid w:val="00200936"/>
    <w:rsid w:val="00202F2E"/>
    <w:rsid w:val="00203E0E"/>
    <w:rsid w:val="002046B3"/>
    <w:rsid w:val="00204D9E"/>
    <w:rsid w:val="00204DC3"/>
    <w:rsid w:val="00205E51"/>
    <w:rsid w:val="00206966"/>
    <w:rsid w:val="002069CC"/>
    <w:rsid w:val="0020700F"/>
    <w:rsid w:val="0020705E"/>
    <w:rsid w:val="00210788"/>
    <w:rsid w:val="0021112C"/>
    <w:rsid w:val="002115CB"/>
    <w:rsid w:val="00211CC3"/>
    <w:rsid w:val="002125B4"/>
    <w:rsid w:val="0021335D"/>
    <w:rsid w:val="002136E4"/>
    <w:rsid w:val="00213FFB"/>
    <w:rsid w:val="0021405C"/>
    <w:rsid w:val="002144A6"/>
    <w:rsid w:val="00214CB5"/>
    <w:rsid w:val="002155B8"/>
    <w:rsid w:val="002158D5"/>
    <w:rsid w:val="00215BBE"/>
    <w:rsid w:val="00216583"/>
    <w:rsid w:val="0021717E"/>
    <w:rsid w:val="00217936"/>
    <w:rsid w:val="00221E79"/>
    <w:rsid w:val="00222B9C"/>
    <w:rsid w:val="00222C51"/>
    <w:rsid w:val="00222EA6"/>
    <w:rsid w:val="00223A10"/>
    <w:rsid w:val="00224326"/>
    <w:rsid w:val="00224839"/>
    <w:rsid w:val="002249B2"/>
    <w:rsid w:val="00224DBE"/>
    <w:rsid w:val="002256A7"/>
    <w:rsid w:val="002259EA"/>
    <w:rsid w:val="00225C2E"/>
    <w:rsid w:val="00225E7A"/>
    <w:rsid w:val="0022602D"/>
    <w:rsid w:val="00226071"/>
    <w:rsid w:val="00226574"/>
    <w:rsid w:val="00226BCA"/>
    <w:rsid w:val="002278EC"/>
    <w:rsid w:val="00227BCE"/>
    <w:rsid w:val="0023058D"/>
    <w:rsid w:val="00230701"/>
    <w:rsid w:val="00230C27"/>
    <w:rsid w:val="00231621"/>
    <w:rsid w:val="00231626"/>
    <w:rsid w:val="0023191F"/>
    <w:rsid w:val="00231B16"/>
    <w:rsid w:val="00231E3A"/>
    <w:rsid w:val="002322FD"/>
    <w:rsid w:val="0023280E"/>
    <w:rsid w:val="00232D9E"/>
    <w:rsid w:val="00232ECA"/>
    <w:rsid w:val="00233A34"/>
    <w:rsid w:val="00233C44"/>
    <w:rsid w:val="00233CC0"/>
    <w:rsid w:val="00233EC1"/>
    <w:rsid w:val="00233FED"/>
    <w:rsid w:val="00234564"/>
    <w:rsid w:val="00234CB9"/>
    <w:rsid w:val="00235537"/>
    <w:rsid w:val="0023554B"/>
    <w:rsid w:val="0023689B"/>
    <w:rsid w:val="00236A9E"/>
    <w:rsid w:val="00236BB5"/>
    <w:rsid w:val="00237244"/>
    <w:rsid w:val="0023756C"/>
    <w:rsid w:val="002377D1"/>
    <w:rsid w:val="00237C0D"/>
    <w:rsid w:val="00237DB1"/>
    <w:rsid w:val="002415AF"/>
    <w:rsid w:val="00241DD8"/>
    <w:rsid w:val="00242208"/>
    <w:rsid w:val="00242B85"/>
    <w:rsid w:val="00242D19"/>
    <w:rsid w:val="00243408"/>
    <w:rsid w:val="002437F3"/>
    <w:rsid w:val="00243B0B"/>
    <w:rsid w:val="00244356"/>
    <w:rsid w:val="0024445A"/>
    <w:rsid w:val="002448B2"/>
    <w:rsid w:val="00244AF6"/>
    <w:rsid w:val="00244DD2"/>
    <w:rsid w:val="002453CC"/>
    <w:rsid w:val="00245AC3"/>
    <w:rsid w:val="002461C9"/>
    <w:rsid w:val="00247351"/>
    <w:rsid w:val="0024745F"/>
    <w:rsid w:val="0024750D"/>
    <w:rsid w:val="00247E7B"/>
    <w:rsid w:val="0025026D"/>
    <w:rsid w:val="002502AE"/>
    <w:rsid w:val="002506BC"/>
    <w:rsid w:val="00250AEE"/>
    <w:rsid w:val="002512A3"/>
    <w:rsid w:val="00251A30"/>
    <w:rsid w:val="00251E17"/>
    <w:rsid w:val="002524C0"/>
    <w:rsid w:val="002527C9"/>
    <w:rsid w:val="002527F8"/>
    <w:rsid w:val="00252CEA"/>
    <w:rsid w:val="00253618"/>
    <w:rsid w:val="0025372D"/>
    <w:rsid w:val="00253BFC"/>
    <w:rsid w:val="00254345"/>
    <w:rsid w:val="0025481C"/>
    <w:rsid w:val="00254FA2"/>
    <w:rsid w:val="0025543B"/>
    <w:rsid w:val="002554C1"/>
    <w:rsid w:val="002557CD"/>
    <w:rsid w:val="00256132"/>
    <w:rsid w:val="00256D02"/>
    <w:rsid w:val="0025768C"/>
    <w:rsid w:val="002605D7"/>
    <w:rsid w:val="002607E2"/>
    <w:rsid w:val="002613F0"/>
    <w:rsid w:val="002615E4"/>
    <w:rsid w:val="0026180A"/>
    <w:rsid w:val="00261BC9"/>
    <w:rsid w:val="00261DD7"/>
    <w:rsid w:val="00262BA7"/>
    <w:rsid w:val="00262FF7"/>
    <w:rsid w:val="00263822"/>
    <w:rsid w:val="00264557"/>
    <w:rsid w:val="00264D4D"/>
    <w:rsid w:val="00264F20"/>
    <w:rsid w:val="00265026"/>
    <w:rsid w:val="002667CD"/>
    <w:rsid w:val="00266A04"/>
    <w:rsid w:val="00266AD0"/>
    <w:rsid w:val="00266E12"/>
    <w:rsid w:val="00267565"/>
    <w:rsid w:val="00267CF3"/>
    <w:rsid w:val="00267F85"/>
    <w:rsid w:val="00270400"/>
    <w:rsid w:val="00270FCB"/>
    <w:rsid w:val="002721F4"/>
    <w:rsid w:val="00273070"/>
    <w:rsid w:val="00273614"/>
    <w:rsid w:val="00274419"/>
    <w:rsid w:val="0027461E"/>
    <w:rsid w:val="00275307"/>
    <w:rsid w:val="002757BB"/>
    <w:rsid w:val="002763C4"/>
    <w:rsid w:val="00276546"/>
    <w:rsid w:val="00276772"/>
    <w:rsid w:val="00276790"/>
    <w:rsid w:val="00276C7C"/>
    <w:rsid w:val="002775C0"/>
    <w:rsid w:val="00277A9D"/>
    <w:rsid w:val="00277BBB"/>
    <w:rsid w:val="0028041F"/>
    <w:rsid w:val="002805AB"/>
    <w:rsid w:val="00280646"/>
    <w:rsid w:val="00281AE6"/>
    <w:rsid w:val="00283149"/>
    <w:rsid w:val="00283328"/>
    <w:rsid w:val="00283A58"/>
    <w:rsid w:val="00283BF5"/>
    <w:rsid w:val="00283DB6"/>
    <w:rsid w:val="0028413B"/>
    <w:rsid w:val="00284204"/>
    <w:rsid w:val="0028456B"/>
    <w:rsid w:val="00284673"/>
    <w:rsid w:val="0028472A"/>
    <w:rsid w:val="00284730"/>
    <w:rsid w:val="00284A3B"/>
    <w:rsid w:val="00284BC4"/>
    <w:rsid w:val="00284CA2"/>
    <w:rsid w:val="00285D4F"/>
    <w:rsid w:val="00285EA7"/>
    <w:rsid w:val="0028625A"/>
    <w:rsid w:val="002864FC"/>
    <w:rsid w:val="00286974"/>
    <w:rsid w:val="00286AC9"/>
    <w:rsid w:val="00286BAF"/>
    <w:rsid w:val="00286F74"/>
    <w:rsid w:val="00287129"/>
    <w:rsid w:val="0028743D"/>
    <w:rsid w:val="00287F97"/>
    <w:rsid w:val="00291773"/>
    <w:rsid w:val="00291BE8"/>
    <w:rsid w:val="0029203E"/>
    <w:rsid w:val="00292317"/>
    <w:rsid w:val="00292A43"/>
    <w:rsid w:val="0029332F"/>
    <w:rsid w:val="002939A1"/>
    <w:rsid w:val="00293EA7"/>
    <w:rsid w:val="0029456D"/>
    <w:rsid w:val="00294BCB"/>
    <w:rsid w:val="002952E3"/>
    <w:rsid w:val="002959D1"/>
    <w:rsid w:val="00295B88"/>
    <w:rsid w:val="002962B6"/>
    <w:rsid w:val="00296DED"/>
    <w:rsid w:val="002978CF"/>
    <w:rsid w:val="002A0109"/>
    <w:rsid w:val="002A04F2"/>
    <w:rsid w:val="002A0525"/>
    <w:rsid w:val="002A0C68"/>
    <w:rsid w:val="002A1390"/>
    <w:rsid w:val="002A168C"/>
    <w:rsid w:val="002A1868"/>
    <w:rsid w:val="002A1E9C"/>
    <w:rsid w:val="002A2FDF"/>
    <w:rsid w:val="002A3DC7"/>
    <w:rsid w:val="002A497F"/>
    <w:rsid w:val="002A5160"/>
    <w:rsid w:val="002A54AA"/>
    <w:rsid w:val="002A662F"/>
    <w:rsid w:val="002A688D"/>
    <w:rsid w:val="002A6DD7"/>
    <w:rsid w:val="002A71A1"/>
    <w:rsid w:val="002A7C3B"/>
    <w:rsid w:val="002A7FD3"/>
    <w:rsid w:val="002B0D83"/>
    <w:rsid w:val="002B1157"/>
    <w:rsid w:val="002B1FD1"/>
    <w:rsid w:val="002B2868"/>
    <w:rsid w:val="002B2869"/>
    <w:rsid w:val="002B2915"/>
    <w:rsid w:val="002B43C9"/>
    <w:rsid w:val="002B4572"/>
    <w:rsid w:val="002B49E2"/>
    <w:rsid w:val="002B4EF3"/>
    <w:rsid w:val="002B5275"/>
    <w:rsid w:val="002B5580"/>
    <w:rsid w:val="002B5873"/>
    <w:rsid w:val="002B6046"/>
    <w:rsid w:val="002B639E"/>
    <w:rsid w:val="002B6691"/>
    <w:rsid w:val="002B69DB"/>
    <w:rsid w:val="002B6EBF"/>
    <w:rsid w:val="002B73D5"/>
    <w:rsid w:val="002B769C"/>
    <w:rsid w:val="002B7B00"/>
    <w:rsid w:val="002B7C44"/>
    <w:rsid w:val="002B7E30"/>
    <w:rsid w:val="002B7F19"/>
    <w:rsid w:val="002C097C"/>
    <w:rsid w:val="002C0C68"/>
    <w:rsid w:val="002C0EB3"/>
    <w:rsid w:val="002C1474"/>
    <w:rsid w:val="002C236E"/>
    <w:rsid w:val="002C2B17"/>
    <w:rsid w:val="002C30A6"/>
    <w:rsid w:val="002C361B"/>
    <w:rsid w:val="002C3CDF"/>
    <w:rsid w:val="002C4360"/>
    <w:rsid w:val="002C52A2"/>
    <w:rsid w:val="002C56BF"/>
    <w:rsid w:val="002C57EC"/>
    <w:rsid w:val="002C58F7"/>
    <w:rsid w:val="002C5FC7"/>
    <w:rsid w:val="002C698F"/>
    <w:rsid w:val="002C6BF2"/>
    <w:rsid w:val="002C6D73"/>
    <w:rsid w:val="002C6E35"/>
    <w:rsid w:val="002C7388"/>
    <w:rsid w:val="002D09B4"/>
    <w:rsid w:val="002D0D05"/>
    <w:rsid w:val="002D0E22"/>
    <w:rsid w:val="002D127A"/>
    <w:rsid w:val="002D1B18"/>
    <w:rsid w:val="002D2BE6"/>
    <w:rsid w:val="002D3038"/>
    <w:rsid w:val="002D34F0"/>
    <w:rsid w:val="002D36A7"/>
    <w:rsid w:val="002D3848"/>
    <w:rsid w:val="002D3AB2"/>
    <w:rsid w:val="002D3D8C"/>
    <w:rsid w:val="002D3DD0"/>
    <w:rsid w:val="002D40E4"/>
    <w:rsid w:val="002D468D"/>
    <w:rsid w:val="002D4CDA"/>
    <w:rsid w:val="002D4DDF"/>
    <w:rsid w:val="002D5055"/>
    <w:rsid w:val="002D557A"/>
    <w:rsid w:val="002D5670"/>
    <w:rsid w:val="002D59FA"/>
    <w:rsid w:val="002D622B"/>
    <w:rsid w:val="002D6413"/>
    <w:rsid w:val="002D6DEB"/>
    <w:rsid w:val="002D7872"/>
    <w:rsid w:val="002D7BDE"/>
    <w:rsid w:val="002E007A"/>
    <w:rsid w:val="002E0244"/>
    <w:rsid w:val="002E0992"/>
    <w:rsid w:val="002E0A51"/>
    <w:rsid w:val="002E0AF4"/>
    <w:rsid w:val="002E0E6D"/>
    <w:rsid w:val="002E1137"/>
    <w:rsid w:val="002E13E6"/>
    <w:rsid w:val="002E1E7A"/>
    <w:rsid w:val="002E1F3A"/>
    <w:rsid w:val="002E1FB2"/>
    <w:rsid w:val="002E204B"/>
    <w:rsid w:val="002E2951"/>
    <w:rsid w:val="002E298A"/>
    <w:rsid w:val="002E33A0"/>
    <w:rsid w:val="002E34A5"/>
    <w:rsid w:val="002E3868"/>
    <w:rsid w:val="002E4BD8"/>
    <w:rsid w:val="002E4F50"/>
    <w:rsid w:val="002E5012"/>
    <w:rsid w:val="002E51AF"/>
    <w:rsid w:val="002E54C7"/>
    <w:rsid w:val="002E573A"/>
    <w:rsid w:val="002E58BD"/>
    <w:rsid w:val="002E5BCD"/>
    <w:rsid w:val="002E5C1F"/>
    <w:rsid w:val="002E6991"/>
    <w:rsid w:val="002E6A9D"/>
    <w:rsid w:val="002E6E48"/>
    <w:rsid w:val="002E779F"/>
    <w:rsid w:val="002E7AFF"/>
    <w:rsid w:val="002F03A2"/>
    <w:rsid w:val="002F0548"/>
    <w:rsid w:val="002F08B3"/>
    <w:rsid w:val="002F124D"/>
    <w:rsid w:val="002F180C"/>
    <w:rsid w:val="002F1FDA"/>
    <w:rsid w:val="002F24AC"/>
    <w:rsid w:val="002F2CF0"/>
    <w:rsid w:val="002F30AD"/>
    <w:rsid w:val="002F32CB"/>
    <w:rsid w:val="002F3327"/>
    <w:rsid w:val="002F343B"/>
    <w:rsid w:val="002F3B16"/>
    <w:rsid w:val="002F3CF7"/>
    <w:rsid w:val="002F558B"/>
    <w:rsid w:val="002F563E"/>
    <w:rsid w:val="002F5AD3"/>
    <w:rsid w:val="002F5CD0"/>
    <w:rsid w:val="002F74F7"/>
    <w:rsid w:val="002F78A9"/>
    <w:rsid w:val="0030049D"/>
    <w:rsid w:val="003006EB"/>
    <w:rsid w:val="00300794"/>
    <w:rsid w:val="00300ADE"/>
    <w:rsid w:val="00301288"/>
    <w:rsid w:val="003016A9"/>
    <w:rsid w:val="00301978"/>
    <w:rsid w:val="00302F30"/>
    <w:rsid w:val="00303209"/>
    <w:rsid w:val="0030332C"/>
    <w:rsid w:val="00303D2C"/>
    <w:rsid w:val="00303E36"/>
    <w:rsid w:val="00304615"/>
    <w:rsid w:val="00304678"/>
    <w:rsid w:val="003046B5"/>
    <w:rsid w:val="00304AB9"/>
    <w:rsid w:val="003051C2"/>
    <w:rsid w:val="00305AC1"/>
    <w:rsid w:val="00305D3D"/>
    <w:rsid w:val="003061DB"/>
    <w:rsid w:val="003062F0"/>
    <w:rsid w:val="003069F5"/>
    <w:rsid w:val="00306F97"/>
    <w:rsid w:val="0031112C"/>
    <w:rsid w:val="0031115E"/>
    <w:rsid w:val="003113ED"/>
    <w:rsid w:val="00311A49"/>
    <w:rsid w:val="00311AB5"/>
    <w:rsid w:val="00311F18"/>
    <w:rsid w:val="00312296"/>
    <w:rsid w:val="0031256C"/>
    <w:rsid w:val="00312A7F"/>
    <w:rsid w:val="00312DF9"/>
    <w:rsid w:val="003135E2"/>
    <w:rsid w:val="0031398E"/>
    <w:rsid w:val="003140EB"/>
    <w:rsid w:val="0031413D"/>
    <w:rsid w:val="0031458F"/>
    <w:rsid w:val="00314F0E"/>
    <w:rsid w:val="00315BB2"/>
    <w:rsid w:val="00315D8A"/>
    <w:rsid w:val="00317672"/>
    <w:rsid w:val="0032024A"/>
    <w:rsid w:val="0032081C"/>
    <w:rsid w:val="003213D2"/>
    <w:rsid w:val="003215B7"/>
    <w:rsid w:val="00321D8E"/>
    <w:rsid w:val="00322601"/>
    <w:rsid w:val="003226DA"/>
    <w:rsid w:val="00322970"/>
    <w:rsid w:val="003234F6"/>
    <w:rsid w:val="00323BE7"/>
    <w:rsid w:val="00323CDD"/>
    <w:rsid w:val="00323E85"/>
    <w:rsid w:val="00325595"/>
    <w:rsid w:val="0032586F"/>
    <w:rsid w:val="00325928"/>
    <w:rsid w:val="00326065"/>
    <w:rsid w:val="00327ABD"/>
    <w:rsid w:val="003300B9"/>
    <w:rsid w:val="003303F0"/>
    <w:rsid w:val="00330716"/>
    <w:rsid w:val="00330961"/>
    <w:rsid w:val="00330CA2"/>
    <w:rsid w:val="003311B6"/>
    <w:rsid w:val="00331379"/>
    <w:rsid w:val="0033152C"/>
    <w:rsid w:val="00331B8F"/>
    <w:rsid w:val="0033226B"/>
    <w:rsid w:val="003326B4"/>
    <w:rsid w:val="00332863"/>
    <w:rsid w:val="00332A1F"/>
    <w:rsid w:val="00332CEB"/>
    <w:rsid w:val="00332E0C"/>
    <w:rsid w:val="00332FAC"/>
    <w:rsid w:val="003330B3"/>
    <w:rsid w:val="003330FF"/>
    <w:rsid w:val="0033312B"/>
    <w:rsid w:val="0033413A"/>
    <w:rsid w:val="003343FB"/>
    <w:rsid w:val="003349DE"/>
    <w:rsid w:val="00334F98"/>
    <w:rsid w:val="00335303"/>
    <w:rsid w:val="00335678"/>
    <w:rsid w:val="00335767"/>
    <w:rsid w:val="0033684D"/>
    <w:rsid w:val="003368EC"/>
    <w:rsid w:val="00337841"/>
    <w:rsid w:val="00337B42"/>
    <w:rsid w:val="00340EBA"/>
    <w:rsid w:val="003411D0"/>
    <w:rsid w:val="003417D3"/>
    <w:rsid w:val="00341B42"/>
    <w:rsid w:val="00341CDE"/>
    <w:rsid w:val="00342145"/>
    <w:rsid w:val="0034234A"/>
    <w:rsid w:val="00342A59"/>
    <w:rsid w:val="00342DD3"/>
    <w:rsid w:val="003431E2"/>
    <w:rsid w:val="0034348F"/>
    <w:rsid w:val="003437CA"/>
    <w:rsid w:val="003446A6"/>
    <w:rsid w:val="00344948"/>
    <w:rsid w:val="003449B7"/>
    <w:rsid w:val="00344B2A"/>
    <w:rsid w:val="0034553C"/>
    <w:rsid w:val="00345612"/>
    <w:rsid w:val="0034585A"/>
    <w:rsid w:val="0034618D"/>
    <w:rsid w:val="0034774D"/>
    <w:rsid w:val="00347E15"/>
    <w:rsid w:val="003500FE"/>
    <w:rsid w:val="00350191"/>
    <w:rsid w:val="003503E4"/>
    <w:rsid w:val="00350604"/>
    <w:rsid w:val="00350657"/>
    <w:rsid w:val="00350CA3"/>
    <w:rsid w:val="00351374"/>
    <w:rsid w:val="003516A1"/>
    <w:rsid w:val="00352CC6"/>
    <w:rsid w:val="00352E5C"/>
    <w:rsid w:val="00353645"/>
    <w:rsid w:val="00353CF4"/>
    <w:rsid w:val="0035400A"/>
    <w:rsid w:val="0035411C"/>
    <w:rsid w:val="0035417F"/>
    <w:rsid w:val="0035527E"/>
    <w:rsid w:val="0035527F"/>
    <w:rsid w:val="00355694"/>
    <w:rsid w:val="00355D4D"/>
    <w:rsid w:val="00356630"/>
    <w:rsid w:val="00356653"/>
    <w:rsid w:val="00356975"/>
    <w:rsid w:val="00356BEB"/>
    <w:rsid w:val="00356F95"/>
    <w:rsid w:val="0035743F"/>
    <w:rsid w:val="00357548"/>
    <w:rsid w:val="00357BE2"/>
    <w:rsid w:val="00357C07"/>
    <w:rsid w:val="00360879"/>
    <w:rsid w:val="00361183"/>
    <w:rsid w:val="0036170C"/>
    <w:rsid w:val="00361B36"/>
    <w:rsid w:val="00361D66"/>
    <w:rsid w:val="00362BD9"/>
    <w:rsid w:val="00363ACF"/>
    <w:rsid w:val="003641C0"/>
    <w:rsid w:val="00364270"/>
    <w:rsid w:val="00364831"/>
    <w:rsid w:val="003648BD"/>
    <w:rsid w:val="00364C90"/>
    <w:rsid w:val="003655AD"/>
    <w:rsid w:val="00365A49"/>
    <w:rsid w:val="003666A9"/>
    <w:rsid w:val="00366E0F"/>
    <w:rsid w:val="00367BDA"/>
    <w:rsid w:val="00370100"/>
    <w:rsid w:val="00370689"/>
    <w:rsid w:val="00371130"/>
    <w:rsid w:val="0037191B"/>
    <w:rsid w:val="003724BC"/>
    <w:rsid w:val="00372DE0"/>
    <w:rsid w:val="003737B1"/>
    <w:rsid w:val="00373843"/>
    <w:rsid w:val="00373FAF"/>
    <w:rsid w:val="003746EB"/>
    <w:rsid w:val="00375064"/>
    <w:rsid w:val="0037541C"/>
    <w:rsid w:val="00376347"/>
    <w:rsid w:val="00376B73"/>
    <w:rsid w:val="00376E12"/>
    <w:rsid w:val="0037732F"/>
    <w:rsid w:val="00377C65"/>
    <w:rsid w:val="00377D7B"/>
    <w:rsid w:val="00377DD2"/>
    <w:rsid w:val="00377F49"/>
    <w:rsid w:val="00380319"/>
    <w:rsid w:val="00380645"/>
    <w:rsid w:val="00380A2D"/>
    <w:rsid w:val="00381A72"/>
    <w:rsid w:val="003827B9"/>
    <w:rsid w:val="00382857"/>
    <w:rsid w:val="003832EC"/>
    <w:rsid w:val="00383349"/>
    <w:rsid w:val="00383503"/>
    <w:rsid w:val="0038351D"/>
    <w:rsid w:val="003838C9"/>
    <w:rsid w:val="00383E82"/>
    <w:rsid w:val="003841EB"/>
    <w:rsid w:val="00384676"/>
    <w:rsid w:val="00384BE5"/>
    <w:rsid w:val="003857C3"/>
    <w:rsid w:val="003858FC"/>
    <w:rsid w:val="00385AF0"/>
    <w:rsid w:val="00385CA8"/>
    <w:rsid w:val="00385F1E"/>
    <w:rsid w:val="00386B1C"/>
    <w:rsid w:val="00386B6C"/>
    <w:rsid w:val="003870F4"/>
    <w:rsid w:val="0038750D"/>
    <w:rsid w:val="00387FE3"/>
    <w:rsid w:val="0039056A"/>
    <w:rsid w:val="00390857"/>
    <w:rsid w:val="00392399"/>
    <w:rsid w:val="00392A45"/>
    <w:rsid w:val="0039317A"/>
    <w:rsid w:val="0039389F"/>
    <w:rsid w:val="00393B20"/>
    <w:rsid w:val="003940B4"/>
    <w:rsid w:val="00394100"/>
    <w:rsid w:val="00394728"/>
    <w:rsid w:val="00394818"/>
    <w:rsid w:val="00395086"/>
    <w:rsid w:val="003955B2"/>
    <w:rsid w:val="00395D68"/>
    <w:rsid w:val="00395FA1"/>
    <w:rsid w:val="0039687C"/>
    <w:rsid w:val="003972DC"/>
    <w:rsid w:val="003975F7"/>
    <w:rsid w:val="00397A36"/>
    <w:rsid w:val="00397B10"/>
    <w:rsid w:val="00397D73"/>
    <w:rsid w:val="003A092C"/>
    <w:rsid w:val="003A0F5C"/>
    <w:rsid w:val="003A1CE0"/>
    <w:rsid w:val="003A2462"/>
    <w:rsid w:val="003A29DD"/>
    <w:rsid w:val="003A2B37"/>
    <w:rsid w:val="003A2CA9"/>
    <w:rsid w:val="003A34A3"/>
    <w:rsid w:val="003A37E9"/>
    <w:rsid w:val="003A441C"/>
    <w:rsid w:val="003A4BF3"/>
    <w:rsid w:val="003A4D4C"/>
    <w:rsid w:val="003A598A"/>
    <w:rsid w:val="003A6320"/>
    <w:rsid w:val="003A637B"/>
    <w:rsid w:val="003A643C"/>
    <w:rsid w:val="003A67DC"/>
    <w:rsid w:val="003A69F7"/>
    <w:rsid w:val="003A6A1D"/>
    <w:rsid w:val="003A6A5B"/>
    <w:rsid w:val="003A6E4C"/>
    <w:rsid w:val="003A7EF2"/>
    <w:rsid w:val="003B0539"/>
    <w:rsid w:val="003B1006"/>
    <w:rsid w:val="003B12CD"/>
    <w:rsid w:val="003B18BC"/>
    <w:rsid w:val="003B1AD4"/>
    <w:rsid w:val="003B1E8E"/>
    <w:rsid w:val="003B1EF8"/>
    <w:rsid w:val="003B2FE3"/>
    <w:rsid w:val="003B3437"/>
    <w:rsid w:val="003B3CED"/>
    <w:rsid w:val="003B3DB3"/>
    <w:rsid w:val="003B420D"/>
    <w:rsid w:val="003B4D3C"/>
    <w:rsid w:val="003B53E9"/>
    <w:rsid w:val="003B5820"/>
    <w:rsid w:val="003B5FB3"/>
    <w:rsid w:val="003B64A3"/>
    <w:rsid w:val="003B6914"/>
    <w:rsid w:val="003B6D2F"/>
    <w:rsid w:val="003B6E6F"/>
    <w:rsid w:val="003B6F61"/>
    <w:rsid w:val="003B742B"/>
    <w:rsid w:val="003C05C6"/>
    <w:rsid w:val="003C0E3B"/>
    <w:rsid w:val="003C0FA6"/>
    <w:rsid w:val="003C1815"/>
    <w:rsid w:val="003C2032"/>
    <w:rsid w:val="003C20BC"/>
    <w:rsid w:val="003C27D0"/>
    <w:rsid w:val="003C2D70"/>
    <w:rsid w:val="003C2F45"/>
    <w:rsid w:val="003C3047"/>
    <w:rsid w:val="003C331F"/>
    <w:rsid w:val="003C348F"/>
    <w:rsid w:val="003C380B"/>
    <w:rsid w:val="003C3AF3"/>
    <w:rsid w:val="003C3CFE"/>
    <w:rsid w:val="003C411F"/>
    <w:rsid w:val="003C424B"/>
    <w:rsid w:val="003C5413"/>
    <w:rsid w:val="003C5A5B"/>
    <w:rsid w:val="003C5FE1"/>
    <w:rsid w:val="003C64DA"/>
    <w:rsid w:val="003C67F7"/>
    <w:rsid w:val="003C6C16"/>
    <w:rsid w:val="003C6EF8"/>
    <w:rsid w:val="003C77AE"/>
    <w:rsid w:val="003C782C"/>
    <w:rsid w:val="003C7DB0"/>
    <w:rsid w:val="003D034D"/>
    <w:rsid w:val="003D067E"/>
    <w:rsid w:val="003D1530"/>
    <w:rsid w:val="003D18BF"/>
    <w:rsid w:val="003D1C7D"/>
    <w:rsid w:val="003D2420"/>
    <w:rsid w:val="003D242C"/>
    <w:rsid w:val="003D26F0"/>
    <w:rsid w:val="003D2B14"/>
    <w:rsid w:val="003D2DB5"/>
    <w:rsid w:val="003D401A"/>
    <w:rsid w:val="003D4074"/>
    <w:rsid w:val="003D41C2"/>
    <w:rsid w:val="003D42FE"/>
    <w:rsid w:val="003D4FE7"/>
    <w:rsid w:val="003D563B"/>
    <w:rsid w:val="003D5E0E"/>
    <w:rsid w:val="003D654B"/>
    <w:rsid w:val="003D65CB"/>
    <w:rsid w:val="003D6922"/>
    <w:rsid w:val="003D69B3"/>
    <w:rsid w:val="003D70B4"/>
    <w:rsid w:val="003D7292"/>
    <w:rsid w:val="003D794D"/>
    <w:rsid w:val="003D7A13"/>
    <w:rsid w:val="003D7C1C"/>
    <w:rsid w:val="003E0243"/>
    <w:rsid w:val="003E04C5"/>
    <w:rsid w:val="003E0535"/>
    <w:rsid w:val="003E0CCF"/>
    <w:rsid w:val="003E117B"/>
    <w:rsid w:val="003E1548"/>
    <w:rsid w:val="003E164A"/>
    <w:rsid w:val="003E1C65"/>
    <w:rsid w:val="003E1CE1"/>
    <w:rsid w:val="003E1FC9"/>
    <w:rsid w:val="003E3058"/>
    <w:rsid w:val="003E31F6"/>
    <w:rsid w:val="003E33F7"/>
    <w:rsid w:val="003E3423"/>
    <w:rsid w:val="003E3769"/>
    <w:rsid w:val="003E3D60"/>
    <w:rsid w:val="003E43E0"/>
    <w:rsid w:val="003E4726"/>
    <w:rsid w:val="003E49F3"/>
    <w:rsid w:val="003E5374"/>
    <w:rsid w:val="003E5DD3"/>
    <w:rsid w:val="003E5EB6"/>
    <w:rsid w:val="003E614D"/>
    <w:rsid w:val="003E62A8"/>
    <w:rsid w:val="003E6EA1"/>
    <w:rsid w:val="003E76A9"/>
    <w:rsid w:val="003E774F"/>
    <w:rsid w:val="003E7E80"/>
    <w:rsid w:val="003F0809"/>
    <w:rsid w:val="003F0BC4"/>
    <w:rsid w:val="003F1932"/>
    <w:rsid w:val="003F253F"/>
    <w:rsid w:val="003F261F"/>
    <w:rsid w:val="003F2876"/>
    <w:rsid w:val="003F2D58"/>
    <w:rsid w:val="003F2D8C"/>
    <w:rsid w:val="003F32FB"/>
    <w:rsid w:val="003F37FA"/>
    <w:rsid w:val="003F38B7"/>
    <w:rsid w:val="003F3B65"/>
    <w:rsid w:val="003F43DF"/>
    <w:rsid w:val="003F4CA0"/>
    <w:rsid w:val="003F4F97"/>
    <w:rsid w:val="003F51F2"/>
    <w:rsid w:val="003F547C"/>
    <w:rsid w:val="003F56EF"/>
    <w:rsid w:val="003F59C5"/>
    <w:rsid w:val="003F5FF9"/>
    <w:rsid w:val="003F6A8C"/>
    <w:rsid w:val="003F6AD0"/>
    <w:rsid w:val="003F7367"/>
    <w:rsid w:val="003F755C"/>
    <w:rsid w:val="003F78C3"/>
    <w:rsid w:val="003F79B7"/>
    <w:rsid w:val="003F7E8C"/>
    <w:rsid w:val="00400329"/>
    <w:rsid w:val="00400472"/>
    <w:rsid w:val="004005CF"/>
    <w:rsid w:val="004008EC"/>
    <w:rsid w:val="00400F60"/>
    <w:rsid w:val="00401F87"/>
    <w:rsid w:val="00402392"/>
    <w:rsid w:val="00402627"/>
    <w:rsid w:val="00402D53"/>
    <w:rsid w:val="004031BC"/>
    <w:rsid w:val="004033DE"/>
    <w:rsid w:val="00403646"/>
    <w:rsid w:val="004038D7"/>
    <w:rsid w:val="00403A4D"/>
    <w:rsid w:val="004043D3"/>
    <w:rsid w:val="004045DC"/>
    <w:rsid w:val="00405452"/>
    <w:rsid w:val="004054AA"/>
    <w:rsid w:val="00405B34"/>
    <w:rsid w:val="00405BA8"/>
    <w:rsid w:val="00405F24"/>
    <w:rsid w:val="004063C6"/>
    <w:rsid w:val="00406C81"/>
    <w:rsid w:val="00406CB0"/>
    <w:rsid w:val="00406F01"/>
    <w:rsid w:val="00406FE9"/>
    <w:rsid w:val="00406FEC"/>
    <w:rsid w:val="004071FB"/>
    <w:rsid w:val="00407270"/>
    <w:rsid w:val="0040756D"/>
    <w:rsid w:val="00407614"/>
    <w:rsid w:val="00407CF2"/>
    <w:rsid w:val="00410DD4"/>
    <w:rsid w:val="00410E9A"/>
    <w:rsid w:val="00411528"/>
    <w:rsid w:val="00411575"/>
    <w:rsid w:val="00411651"/>
    <w:rsid w:val="0041192D"/>
    <w:rsid w:val="00411EB6"/>
    <w:rsid w:val="004120E1"/>
    <w:rsid w:val="0041262D"/>
    <w:rsid w:val="00412DF5"/>
    <w:rsid w:val="00414484"/>
    <w:rsid w:val="00415E1F"/>
    <w:rsid w:val="00415FC7"/>
    <w:rsid w:val="004165DE"/>
    <w:rsid w:val="00416790"/>
    <w:rsid w:val="00416D50"/>
    <w:rsid w:val="00416FD5"/>
    <w:rsid w:val="00417772"/>
    <w:rsid w:val="00417869"/>
    <w:rsid w:val="004178A8"/>
    <w:rsid w:val="004203E1"/>
    <w:rsid w:val="004207AC"/>
    <w:rsid w:val="00420A26"/>
    <w:rsid w:val="00420E6A"/>
    <w:rsid w:val="00421013"/>
    <w:rsid w:val="004211D6"/>
    <w:rsid w:val="00421DFB"/>
    <w:rsid w:val="00421F0A"/>
    <w:rsid w:val="00421F53"/>
    <w:rsid w:val="004221E4"/>
    <w:rsid w:val="00422638"/>
    <w:rsid w:val="0042286F"/>
    <w:rsid w:val="004230C8"/>
    <w:rsid w:val="00424755"/>
    <w:rsid w:val="00425A9E"/>
    <w:rsid w:val="004260D6"/>
    <w:rsid w:val="00426341"/>
    <w:rsid w:val="004266A9"/>
    <w:rsid w:val="004266EB"/>
    <w:rsid w:val="004269DD"/>
    <w:rsid w:val="00426D6B"/>
    <w:rsid w:val="00426DF2"/>
    <w:rsid w:val="0042734F"/>
    <w:rsid w:val="004274F6"/>
    <w:rsid w:val="00430041"/>
    <w:rsid w:val="00430134"/>
    <w:rsid w:val="004302E0"/>
    <w:rsid w:val="00430422"/>
    <w:rsid w:val="00431E6C"/>
    <w:rsid w:val="00432481"/>
    <w:rsid w:val="0043252B"/>
    <w:rsid w:val="00432CBC"/>
    <w:rsid w:val="00432F84"/>
    <w:rsid w:val="00433192"/>
    <w:rsid w:val="004331A6"/>
    <w:rsid w:val="00433546"/>
    <w:rsid w:val="00433A88"/>
    <w:rsid w:val="00433CE7"/>
    <w:rsid w:val="00433E52"/>
    <w:rsid w:val="00434CE3"/>
    <w:rsid w:val="00435EC7"/>
    <w:rsid w:val="004360E4"/>
    <w:rsid w:val="00436432"/>
    <w:rsid w:val="00436801"/>
    <w:rsid w:val="00436811"/>
    <w:rsid w:val="0043789C"/>
    <w:rsid w:val="00437C3C"/>
    <w:rsid w:val="00440E9D"/>
    <w:rsid w:val="00440F68"/>
    <w:rsid w:val="004410EF"/>
    <w:rsid w:val="004418DA"/>
    <w:rsid w:val="0044190A"/>
    <w:rsid w:val="00441B3C"/>
    <w:rsid w:val="00441C89"/>
    <w:rsid w:val="0044235E"/>
    <w:rsid w:val="00442596"/>
    <w:rsid w:val="00443E1C"/>
    <w:rsid w:val="0044507B"/>
    <w:rsid w:val="00445418"/>
    <w:rsid w:val="004454A5"/>
    <w:rsid w:val="004456D2"/>
    <w:rsid w:val="004456DC"/>
    <w:rsid w:val="004462C6"/>
    <w:rsid w:val="00446947"/>
    <w:rsid w:val="00446EB7"/>
    <w:rsid w:val="00447262"/>
    <w:rsid w:val="00447B5E"/>
    <w:rsid w:val="004504E3"/>
    <w:rsid w:val="004505CF"/>
    <w:rsid w:val="0045071B"/>
    <w:rsid w:val="0045073E"/>
    <w:rsid w:val="004511F0"/>
    <w:rsid w:val="00451256"/>
    <w:rsid w:val="00451613"/>
    <w:rsid w:val="004517B0"/>
    <w:rsid w:val="00452303"/>
    <w:rsid w:val="00452738"/>
    <w:rsid w:val="0045279B"/>
    <w:rsid w:val="00452FA7"/>
    <w:rsid w:val="004532F0"/>
    <w:rsid w:val="00453524"/>
    <w:rsid w:val="004535C7"/>
    <w:rsid w:val="00453797"/>
    <w:rsid w:val="00453AF3"/>
    <w:rsid w:val="004546A9"/>
    <w:rsid w:val="00454C75"/>
    <w:rsid w:val="00454C96"/>
    <w:rsid w:val="00455577"/>
    <w:rsid w:val="00455A31"/>
    <w:rsid w:val="00455FEC"/>
    <w:rsid w:val="00456005"/>
    <w:rsid w:val="00456091"/>
    <w:rsid w:val="004562DE"/>
    <w:rsid w:val="00456EB4"/>
    <w:rsid w:val="00456F46"/>
    <w:rsid w:val="00457798"/>
    <w:rsid w:val="00457C9C"/>
    <w:rsid w:val="00457D53"/>
    <w:rsid w:val="00457D54"/>
    <w:rsid w:val="0046000C"/>
    <w:rsid w:val="004603A3"/>
    <w:rsid w:val="004607D4"/>
    <w:rsid w:val="004612D8"/>
    <w:rsid w:val="004614F9"/>
    <w:rsid w:val="00461F6F"/>
    <w:rsid w:val="004622FA"/>
    <w:rsid w:val="0046290C"/>
    <w:rsid w:val="00462AD1"/>
    <w:rsid w:val="00463595"/>
    <w:rsid w:val="00465052"/>
    <w:rsid w:val="00466321"/>
    <w:rsid w:val="00467018"/>
    <w:rsid w:val="004679F8"/>
    <w:rsid w:val="0047027A"/>
    <w:rsid w:val="004707FD"/>
    <w:rsid w:val="00470D4E"/>
    <w:rsid w:val="004718AC"/>
    <w:rsid w:val="00472CCA"/>
    <w:rsid w:val="00473574"/>
    <w:rsid w:val="004737FE"/>
    <w:rsid w:val="00473ED2"/>
    <w:rsid w:val="004745C5"/>
    <w:rsid w:val="004745C9"/>
    <w:rsid w:val="0047498B"/>
    <w:rsid w:val="00474C93"/>
    <w:rsid w:val="00474D62"/>
    <w:rsid w:val="0047584E"/>
    <w:rsid w:val="00475944"/>
    <w:rsid w:val="00475C25"/>
    <w:rsid w:val="00475E47"/>
    <w:rsid w:val="00475FE5"/>
    <w:rsid w:val="004762BE"/>
    <w:rsid w:val="0048020B"/>
    <w:rsid w:val="00480CC3"/>
    <w:rsid w:val="00480F7E"/>
    <w:rsid w:val="004812CD"/>
    <w:rsid w:val="0048166D"/>
    <w:rsid w:val="004826B4"/>
    <w:rsid w:val="00482EAB"/>
    <w:rsid w:val="00482F84"/>
    <w:rsid w:val="004830E7"/>
    <w:rsid w:val="00483302"/>
    <w:rsid w:val="00483650"/>
    <w:rsid w:val="004837AC"/>
    <w:rsid w:val="00483C8B"/>
    <w:rsid w:val="00484B9B"/>
    <w:rsid w:val="00484C1E"/>
    <w:rsid w:val="00484FBF"/>
    <w:rsid w:val="0048510B"/>
    <w:rsid w:val="0048522D"/>
    <w:rsid w:val="0048527C"/>
    <w:rsid w:val="004854B5"/>
    <w:rsid w:val="004855F6"/>
    <w:rsid w:val="0048592F"/>
    <w:rsid w:val="004859A2"/>
    <w:rsid w:val="004863E6"/>
    <w:rsid w:val="0048661E"/>
    <w:rsid w:val="004874E4"/>
    <w:rsid w:val="0049058D"/>
    <w:rsid w:val="00491ABD"/>
    <w:rsid w:val="0049226E"/>
    <w:rsid w:val="0049299E"/>
    <w:rsid w:val="00492F6C"/>
    <w:rsid w:val="004933A7"/>
    <w:rsid w:val="004933D0"/>
    <w:rsid w:val="00493991"/>
    <w:rsid w:val="00493FC0"/>
    <w:rsid w:val="004945A5"/>
    <w:rsid w:val="00494670"/>
    <w:rsid w:val="00494D23"/>
    <w:rsid w:val="00494F95"/>
    <w:rsid w:val="00495A02"/>
    <w:rsid w:val="004975E0"/>
    <w:rsid w:val="004975FF"/>
    <w:rsid w:val="004A01AF"/>
    <w:rsid w:val="004A055D"/>
    <w:rsid w:val="004A08AE"/>
    <w:rsid w:val="004A0EDD"/>
    <w:rsid w:val="004A12E5"/>
    <w:rsid w:val="004A1D83"/>
    <w:rsid w:val="004A2205"/>
    <w:rsid w:val="004A2E2F"/>
    <w:rsid w:val="004A3823"/>
    <w:rsid w:val="004A39DF"/>
    <w:rsid w:val="004A3DF6"/>
    <w:rsid w:val="004A42B7"/>
    <w:rsid w:val="004A49EC"/>
    <w:rsid w:val="004A4E69"/>
    <w:rsid w:val="004A51C8"/>
    <w:rsid w:val="004A5760"/>
    <w:rsid w:val="004A5DD7"/>
    <w:rsid w:val="004A622F"/>
    <w:rsid w:val="004A6EA3"/>
    <w:rsid w:val="004A716D"/>
    <w:rsid w:val="004A7822"/>
    <w:rsid w:val="004A7BA1"/>
    <w:rsid w:val="004B040F"/>
    <w:rsid w:val="004B0D68"/>
    <w:rsid w:val="004B10C5"/>
    <w:rsid w:val="004B15CC"/>
    <w:rsid w:val="004B2009"/>
    <w:rsid w:val="004B2053"/>
    <w:rsid w:val="004B214D"/>
    <w:rsid w:val="004B2703"/>
    <w:rsid w:val="004B2866"/>
    <w:rsid w:val="004B3318"/>
    <w:rsid w:val="004B3360"/>
    <w:rsid w:val="004B3420"/>
    <w:rsid w:val="004B3D95"/>
    <w:rsid w:val="004B429C"/>
    <w:rsid w:val="004B4682"/>
    <w:rsid w:val="004B4751"/>
    <w:rsid w:val="004B5159"/>
    <w:rsid w:val="004B546D"/>
    <w:rsid w:val="004B5D2F"/>
    <w:rsid w:val="004B5E12"/>
    <w:rsid w:val="004B67FE"/>
    <w:rsid w:val="004B7047"/>
    <w:rsid w:val="004B7131"/>
    <w:rsid w:val="004B7457"/>
    <w:rsid w:val="004C022A"/>
    <w:rsid w:val="004C035B"/>
    <w:rsid w:val="004C03E1"/>
    <w:rsid w:val="004C0A08"/>
    <w:rsid w:val="004C0E33"/>
    <w:rsid w:val="004C1EE5"/>
    <w:rsid w:val="004C2248"/>
    <w:rsid w:val="004C24A0"/>
    <w:rsid w:val="004C2561"/>
    <w:rsid w:val="004C2D66"/>
    <w:rsid w:val="004C2E40"/>
    <w:rsid w:val="004C315E"/>
    <w:rsid w:val="004C398C"/>
    <w:rsid w:val="004C3F94"/>
    <w:rsid w:val="004C4060"/>
    <w:rsid w:val="004C6436"/>
    <w:rsid w:val="004C680F"/>
    <w:rsid w:val="004C73F2"/>
    <w:rsid w:val="004C75F1"/>
    <w:rsid w:val="004C79F0"/>
    <w:rsid w:val="004C7F62"/>
    <w:rsid w:val="004D0653"/>
    <w:rsid w:val="004D06E1"/>
    <w:rsid w:val="004D0BBA"/>
    <w:rsid w:val="004D114E"/>
    <w:rsid w:val="004D1401"/>
    <w:rsid w:val="004D2682"/>
    <w:rsid w:val="004D2F8D"/>
    <w:rsid w:val="004D3112"/>
    <w:rsid w:val="004D3348"/>
    <w:rsid w:val="004D3505"/>
    <w:rsid w:val="004D3F89"/>
    <w:rsid w:val="004D3FF8"/>
    <w:rsid w:val="004D51EB"/>
    <w:rsid w:val="004D537F"/>
    <w:rsid w:val="004D5919"/>
    <w:rsid w:val="004D5A62"/>
    <w:rsid w:val="004D5AD8"/>
    <w:rsid w:val="004D665D"/>
    <w:rsid w:val="004D6EC7"/>
    <w:rsid w:val="004D6F6D"/>
    <w:rsid w:val="004D76BB"/>
    <w:rsid w:val="004E0604"/>
    <w:rsid w:val="004E0C3B"/>
    <w:rsid w:val="004E187F"/>
    <w:rsid w:val="004E1A68"/>
    <w:rsid w:val="004E26AB"/>
    <w:rsid w:val="004E26B0"/>
    <w:rsid w:val="004E35B2"/>
    <w:rsid w:val="004E39E1"/>
    <w:rsid w:val="004E39EC"/>
    <w:rsid w:val="004E46A3"/>
    <w:rsid w:val="004E49A9"/>
    <w:rsid w:val="004E4D58"/>
    <w:rsid w:val="004E606C"/>
    <w:rsid w:val="004E6162"/>
    <w:rsid w:val="004E63F5"/>
    <w:rsid w:val="004E66EE"/>
    <w:rsid w:val="004E681D"/>
    <w:rsid w:val="004E6946"/>
    <w:rsid w:val="004E6BC7"/>
    <w:rsid w:val="004E6CBD"/>
    <w:rsid w:val="004E6D5D"/>
    <w:rsid w:val="004E7547"/>
    <w:rsid w:val="004F0004"/>
    <w:rsid w:val="004F070A"/>
    <w:rsid w:val="004F0781"/>
    <w:rsid w:val="004F0B31"/>
    <w:rsid w:val="004F0F04"/>
    <w:rsid w:val="004F0FF6"/>
    <w:rsid w:val="004F10DD"/>
    <w:rsid w:val="004F1133"/>
    <w:rsid w:val="004F198C"/>
    <w:rsid w:val="004F1AD8"/>
    <w:rsid w:val="004F23C8"/>
    <w:rsid w:val="004F2BE6"/>
    <w:rsid w:val="004F2D3A"/>
    <w:rsid w:val="004F2EA3"/>
    <w:rsid w:val="004F3746"/>
    <w:rsid w:val="004F390B"/>
    <w:rsid w:val="004F416E"/>
    <w:rsid w:val="004F4BFB"/>
    <w:rsid w:val="004F4EB2"/>
    <w:rsid w:val="004F5198"/>
    <w:rsid w:val="004F53F2"/>
    <w:rsid w:val="004F6288"/>
    <w:rsid w:val="004F64FA"/>
    <w:rsid w:val="004F67DC"/>
    <w:rsid w:val="004F68E3"/>
    <w:rsid w:val="004F6D87"/>
    <w:rsid w:val="004F72E5"/>
    <w:rsid w:val="004F7FA1"/>
    <w:rsid w:val="004F7FFC"/>
    <w:rsid w:val="00500059"/>
    <w:rsid w:val="00500135"/>
    <w:rsid w:val="00501D2C"/>
    <w:rsid w:val="0050277E"/>
    <w:rsid w:val="00502B04"/>
    <w:rsid w:val="00502F9D"/>
    <w:rsid w:val="005035FA"/>
    <w:rsid w:val="005039CB"/>
    <w:rsid w:val="00504266"/>
    <w:rsid w:val="00504994"/>
    <w:rsid w:val="00504F23"/>
    <w:rsid w:val="00505147"/>
    <w:rsid w:val="0050558F"/>
    <w:rsid w:val="00505687"/>
    <w:rsid w:val="00505896"/>
    <w:rsid w:val="00505E89"/>
    <w:rsid w:val="00505F99"/>
    <w:rsid w:val="00506286"/>
    <w:rsid w:val="005064F0"/>
    <w:rsid w:val="00506596"/>
    <w:rsid w:val="00506EE4"/>
    <w:rsid w:val="00507402"/>
    <w:rsid w:val="00507492"/>
    <w:rsid w:val="00507D3F"/>
    <w:rsid w:val="005106B3"/>
    <w:rsid w:val="00510813"/>
    <w:rsid w:val="00510AA2"/>
    <w:rsid w:val="005115AC"/>
    <w:rsid w:val="00511990"/>
    <w:rsid w:val="00511DE0"/>
    <w:rsid w:val="00512153"/>
    <w:rsid w:val="00512263"/>
    <w:rsid w:val="00512871"/>
    <w:rsid w:val="00512A16"/>
    <w:rsid w:val="00512CDD"/>
    <w:rsid w:val="00513004"/>
    <w:rsid w:val="00513196"/>
    <w:rsid w:val="00513807"/>
    <w:rsid w:val="00514870"/>
    <w:rsid w:val="00514972"/>
    <w:rsid w:val="00514B9B"/>
    <w:rsid w:val="00515485"/>
    <w:rsid w:val="00516197"/>
    <w:rsid w:val="00516311"/>
    <w:rsid w:val="00516CF9"/>
    <w:rsid w:val="00516E5A"/>
    <w:rsid w:val="0051789C"/>
    <w:rsid w:val="00517C7D"/>
    <w:rsid w:val="00517F02"/>
    <w:rsid w:val="00520510"/>
    <w:rsid w:val="0052243F"/>
    <w:rsid w:val="005224FD"/>
    <w:rsid w:val="00522550"/>
    <w:rsid w:val="00522919"/>
    <w:rsid w:val="00522C1F"/>
    <w:rsid w:val="0052336A"/>
    <w:rsid w:val="005237BD"/>
    <w:rsid w:val="00523EE4"/>
    <w:rsid w:val="0052410D"/>
    <w:rsid w:val="00524303"/>
    <w:rsid w:val="0052435B"/>
    <w:rsid w:val="005244AB"/>
    <w:rsid w:val="005246D8"/>
    <w:rsid w:val="00524C29"/>
    <w:rsid w:val="00524E3F"/>
    <w:rsid w:val="00525373"/>
    <w:rsid w:val="005258A2"/>
    <w:rsid w:val="00525EEF"/>
    <w:rsid w:val="00526274"/>
    <w:rsid w:val="00526809"/>
    <w:rsid w:val="00526937"/>
    <w:rsid w:val="00526D0D"/>
    <w:rsid w:val="00526DBB"/>
    <w:rsid w:val="00526F13"/>
    <w:rsid w:val="00527755"/>
    <w:rsid w:val="00527C50"/>
    <w:rsid w:val="005303D1"/>
    <w:rsid w:val="00530F46"/>
    <w:rsid w:val="00531165"/>
    <w:rsid w:val="00532685"/>
    <w:rsid w:val="005326D2"/>
    <w:rsid w:val="00532AC7"/>
    <w:rsid w:val="00532D5D"/>
    <w:rsid w:val="00532F2D"/>
    <w:rsid w:val="00533C40"/>
    <w:rsid w:val="005342C1"/>
    <w:rsid w:val="0053468E"/>
    <w:rsid w:val="00534CA3"/>
    <w:rsid w:val="00535407"/>
    <w:rsid w:val="00535546"/>
    <w:rsid w:val="0053600E"/>
    <w:rsid w:val="00536AC5"/>
    <w:rsid w:val="00536C51"/>
    <w:rsid w:val="005370FF"/>
    <w:rsid w:val="005371B1"/>
    <w:rsid w:val="00537435"/>
    <w:rsid w:val="0053778F"/>
    <w:rsid w:val="00537ACD"/>
    <w:rsid w:val="00537EB7"/>
    <w:rsid w:val="005401AE"/>
    <w:rsid w:val="0054072F"/>
    <w:rsid w:val="0054081D"/>
    <w:rsid w:val="00541001"/>
    <w:rsid w:val="00541644"/>
    <w:rsid w:val="0054246C"/>
    <w:rsid w:val="005425D2"/>
    <w:rsid w:val="00542E07"/>
    <w:rsid w:val="00542E89"/>
    <w:rsid w:val="00543319"/>
    <w:rsid w:val="0054363B"/>
    <w:rsid w:val="0054475C"/>
    <w:rsid w:val="00545424"/>
    <w:rsid w:val="0054580D"/>
    <w:rsid w:val="00545F79"/>
    <w:rsid w:val="00546E28"/>
    <w:rsid w:val="00550C6A"/>
    <w:rsid w:val="005515A5"/>
    <w:rsid w:val="00551968"/>
    <w:rsid w:val="00551C29"/>
    <w:rsid w:val="00552556"/>
    <w:rsid w:val="005526C2"/>
    <w:rsid w:val="00552887"/>
    <w:rsid w:val="00553127"/>
    <w:rsid w:val="00553408"/>
    <w:rsid w:val="00554301"/>
    <w:rsid w:val="005545E5"/>
    <w:rsid w:val="00554A7B"/>
    <w:rsid w:val="00554F56"/>
    <w:rsid w:val="005555F1"/>
    <w:rsid w:val="0055572C"/>
    <w:rsid w:val="00555D1C"/>
    <w:rsid w:val="00555F63"/>
    <w:rsid w:val="00556BD9"/>
    <w:rsid w:val="00557751"/>
    <w:rsid w:val="00560338"/>
    <w:rsid w:val="00560FF8"/>
    <w:rsid w:val="0056106A"/>
    <w:rsid w:val="0056107D"/>
    <w:rsid w:val="00561180"/>
    <w:rsid w:val="00564465"/>
    <w:rsid w:val="005650BE"/>
    <w:rsid w:val="00565FBE"/>
    <w:rsid w:val="005661FE"/>
    <w:rsid w:val="00566AB8"/>
    <w:rsid w:val="00566B43"/>
    <w:rsid w:val="00567F16"/>
    <w:rsid w:val="00570E0E"/>
    <w:rsid w:val="005712DD"/>
    <w:rsid w:val="005720AE"/>
    <w:rsid w:val="005720B2"/>
    <w:rsid w:val="005727F0"/>
    <w:rsid w:val="00572B02"/>
    <w:rsid w:val="0057398E"/>
    <w:rsid w:val="00573CA7"/>
    <w:rsid w:val="005744C7"/>
    <w:rsid w:val="00574CE6"/>
    <w:rsid w:val="0057592B"/>
    <w:rsid w:val="00575BE2"/>
    <w:rsid w:val="00575DC1"/>
    <w:rsid w:val="00576887"/>
    <w:rsid w:val="00576AE2"/>
    <w:rsid w:val="00576E4B"/>
    <w:rsid w:val="0057797F"/>
    <w:rsid w:val="00577BBE"/>
    <w:rsid w:val="005801C5"/>
    <w:rsid w:val="00580C34"/>
    <w:rsid w:val="0058193F"/>
    <w:rsid w:val="00581C2F"/>
    <w:rsid w:val="005829A8"/>
    <w:rsid w:val="005846E5"/>
    <w:rsid w:val="00584717"/>
    <w:rsid w:val="0058523D"/>
    <w:rsid w:val="00585350"/>
    <w:rsid w:val="005854F9"/>
    <w:rsid w:val="00585648"/>
    <w:rsid w:val="00585B63"/>
    <w:rsid w:val="00585F3B"/>
    <w:rsid w:val="0058664F"/>
    <w:rsid w:val="005869EF"/>
    <w:rsid w:val="00586F77"/>
    <w:rsid w:val="0058746F"/>
    <w:rsid w:val="00587E5A"/>
    <w:rsid w:val="00590BCB"/>
    <w:rsid w:val="0059141D"/>
    <w:rsid w:val="00591DCB"/>
    <w:rsid w:val="00591ED5"/>
    <w:rsid w:val="00592873"/>
    <w:rsid w:val="00593184"/>
    <w:rsid w:val="00593208"/>
    <w:rsid w:val="00593A8A"/>
    <w:rsid w:val="00593EC4"/>
    <w:rsid w:val="00594AEA"/>
    <w:rsid w:val="00594D77"/>
    <w:rsid w:val="005951D8"/>
    <w:rsid w:val="005959EF"/>
    <w:rsid w:val="00595A94"/>
    <w:rsid w:val="00595B31"/>
    <w:rsid w:val="005969E4"/>
    <w:rsid w:val="00596AC6"/>
    <w:rsid w:val="005972DD"/>
    <w:rsid w:val="00597907"/>
    <w:rsid w:val="00597C77"/>
    <w:rsid w:val="005A0255"/>
    <w:rsid w:val="005A0391"/>
    <w:rsid w:val="005A0519"/>
    <w:rsid w:val="005A06B7"/>
    <w:rsid w:val="005A0839"/>
    <w:rsid w:val="005A0D3D"/>
    <w:rsid w:val="005A16AE"/>
    <w:rsid w:val="005A1759"/>
    <w:rsid w:val="005A1E28"/>
    <w:rsid w:val="005A25E5"/>
    <w:rsid w:val="005A2717"/>
    <w:rsid w:val="005A2ADC"/>
    <w:rsid w:val="005A2AEC"/>
    <w:rsid w:val="005A2E2F"/>
    <w:rsid w:val="005A313E"/>
    <w:rsid w:val="005A34A3"/>
    <w:rsid w:val="005A37AF"/>
    <w:rsid w:val="005A43E2"/>
    <w:rsid w:val="005A44AA"/>
    <w:rsid w:val="005A46EA"/>
    <w:rsid w:val="005A48AC"/>
    <w:rsid w:val="005A4928"/>
    <w:rsid w:val="005A51B7"/>
    <w:rsid w:val="005A58E5"/>
    <w:rsid w:val="005A5B9B"/>
    <w:rsid w:val="005A5F59"/>
    <w:rsid w:val="005A5F95"/>
    <w:rsid w:val="005A6151"/>
    <w:rsid w:val="005A6312"/>
    <w:rsid w:val="005A6367"/>
    <w:rsid w:val="005A6563"/>
    <w:rsid w:val="005A68A7"/>
    <w:rsid w:val="005A6926"/>
    <w:rsid w:val="005A73B7"/>
    <w:rsid w:val="005A7450"/>
    <w:rsid w:val="005A752A"/>
    <w:rsid w:val="005A7EFA"/>
    <w:rsid w:val="005B14A9"/>
    <w:rsid w:val="005B2582"/>
    <w:rsid w:val="005B26CB"/>
    <w:rsid w:val="005B2A34"/>
    <w:rsid w:val="005B2C95"/>
    <w:rsid w:val="005B2D2D"/>
    <w:rsid w:val="005B2F8A"/>
    <w:rsid w:val="005B382E"/>
    <w:rsid w:val="005B3AC7"/>
    <w:rsid w:val="005B4247"/>
    <w:rsid w:val="005B4350"/>
    <w:rsid w:val="005B5348"/>
    <w:rsid w:val="005B5A5E"/>
    <w:rsid w:val="005B64DA"/>
    <w:rsid w:val="005B7411"/>
    <w:rsid w:val="005C0879"/>
    <w:rsid w:val="005C0FE9"/>
    <w:rsid w:val="005C10C6"/>
    <w:rsid w:val="005C15DD"/>
    <w:rsid w:val="005C1DED"/>
    <w:rsid w:val="005C2326"/>
    <w:rsid w:val="005C31ED"/>
    <w:rsid w:val="005C329B"/>
    <w:rsid w:val="005C3AAB"/>
    <w:rsid w:val="005C40C2"/>
    <w:rsid w:val="005C4279"/>
    <w:rsid w:val="005C43A8"/>
    <w:rsid w:val="005C43E8"/>
    <w:rsid w:val="005C4FFB"/>
    <w:rsid w:val="005C51AE"/>
    <w:rsid w:val="005C5329"/>
    <w:rsid w:val="005C56F7"/>
    <w:rsid w:val="005C5928"/>
    <w:rsid w:val="005C6998"/>
    <w:rsid w:val="005C6C03"/>
    <w:rsid w:val="005C713A"/>
    <w:rsid w:val="005C745E"/>
    <w:rsid w:val="005D05CE"/>
    <w:rsid w:val="005D0708"/>
    <w:rsid w:val="005D099B"/>
    <w:rsid w:val="005D0A20"/>
    <w:rsid w:val="005D0C67"/>
    <w:rsid w:val="005D0C7E"/>
    <w:rsid w:val="005D1557"/>
    <w:rsid w:val="005D1C97"/>
    <w:rsid w:val="005D21FC"/>
    <w:rsid w:val="005D34C6"/>
    <w:rsid w:val="005D36AB"/>
    <w:rsid w:val="005D36ED"/>
    <w:rsid w:val="005D39F9"/>
    <w:rsid w:val="005D3E8D"/>
    <w:rsid w:val="005D48F0"/>
    <w:rsid w:val="005D5872"/>
    <w:rsid w:val="005D59AF"/>
    <w:rsid w:val="005D605B"/>
    <w:rsid w:val="005D60FD"/>
    <w:rsid w:val="005D6127"/>
    <w:rsid w:val="005D647A"/>
    <w:rsid w:val="005D6581"/>
    <w:rsid w:val="005D6F92"/>
    <w:rsid w:val="005D7442"/>
    <w:rsid w:val="005D7753"/>
    <w:rsid w:val="005D7C92"/>
    <w:rsid w:val="005D7FC9"/>
    <w:rsid w:val="005E052B"/>
    <w:rsid w:val="005E0549"/>
    <w:rsid w:val="005E078C"/>
    <w:rsid w:val="005E091E"/>
    <w:rsid w:val="005E1C9C"/>
    <w:rsid w:val="005E1EB3"/>
    <w:rsid w:val="005E1EFE"/>
    <w:rsid w:val="005E2749"/>
    <w:rsid w:val="005E2B45"/>
    <w:rsid w:val="005E2EA2"/>
    <w:rsid w:val="005E3FA1"/>
    <w:rsid w:val="005E3FEA"/>
    <w:rsid w:val="005E4B21"/>
    <w:rsid w:val="005E4BFA"/>
    <w:rsid w:val="005E5164"/>
    <w:rsid w:val="005E56AD"/>
    <w:rsid w:val="005E582D"/>
    <w:rsid w:val="005E5BFF"/>
    <w:rsid w:val="005E5D45"/>
    <w:rsid w:val="005E5EA5"/>
    <w:rsid w:val="005E66AA"/>
    <w:rsid w:val="005E6EA5"/>
    <w:rsid w:val="005E70BE"/>
    <w:rsid w:val="005E7DEE"/>
    <w:rsid w:val="005E7F04"/>
    <w:rsid w:val="005F0052"/>
    <w:rsid w:val="005F01BA"/>
    <w:rsid w:val="005F0E41"/>
    <w:rsid w:val="005F15A2"/>
    <w:rsid w:val="005F1D9F"/>
    <w:rsid w:val="005F228D"/>
    <w:rsid w:val="005F24F8"/>
    <w:rsid w:val="005F31FB"/>
    <w:rsid w:val="005F33AD"/>
    <w:rsid w:val="005F3B20"/>
    <w:rsid w:val="005F44C1"/>
    <w:rsid w:val="005F4FB9"/>
    <w:rsid w:val="005F5021"/>
    <w:rsid w:val="005F55FF"/>
    <w:rsid w:val="005F5623"/>
    <w:rsid w:val="005F5876"/>
    <w:rsid w:val="005F5D14"/>
    <w:rsid w:val="005F637E"/>
    <w:rsid w:val="005F6390"/>
    <w:rsid w:val="005F6402"/>
    <w:rsid w:val="005F6AFA"/>
    <w:rsid w:val="005F74A7"/>
    <w:rsid w:val="005F7A78"/>
    <w:rsid w:val="00601C30"/>
    <w:rsid w:val="00602564"/>
    <w:rsid w:val="0060293C"/>
    <w:rsid w:val="00603767"/>
    <w:rsid w:val="00603B00"/>
    <w:rsid w:val="006043F1"/>
    <w:rsid w:val="00604B7E"/>
    <w:rsid w:val="00604DFB"/>
    <w:rsid w:val="006058DE"/>
    <w:rsid w:val="006061BD"/>
    <w:rsid w:val="006062AB"/>
    <w:rsid w:val="00606353"/>
    <w:rsid w:val="0060651B"/>
    <w:rsid w:val="00606E13"/>
    <w:rsid w:val="00607738"/>
    <w:rsid w:val="00607CD3"/>
    <w:rsid w:val="006100D8"/>
    <w:rsid w:val="00610493"/>
    <w:rsid w:val="006109E9"/>
    <w:rsid w:val="00610ACD"/>
    <w:rsid w:val="00611672"/>
    <w:rsid w:val="0061170B"/>
    <w:rsid w:val="00612192"/>
    <w:rsid w:val="00612B38"/>
    <w:rsid w:val="00613187"/>
    <w:rsid w:val="0061381A"/>
    <w:rsid w:val="00613B9C"/>
    <w:rsid w:val="00614069"/>
    <w:rsid w:val="00614333"/>
    <w:rsid w:val="006149CA"/>
    <w:rsid w:val="0061504D"/>
    <w:rsid w:val="00615268"/>
    <w:rsid w:val="00615511"/>
    <w:rsid w:val="0061572B"/>
    <w:rsid w:val="00615ACB"/>
    <w:rsid w:val="00615F83"/>
    <w:rsid w:val="00616B7E"/>
    <w:rsid w:val="00616D48"/>
    <w:rsid w:val="00616FC9"/>
    <w:rsid w:val="00617CC3"/>
    <w:rsid w:val="00617CE9"/>
    <w:rsid w:val="00620BD8"/>
    <w:rsid w:val="0062140C"/>
    <w:rsid w:val="006220C7"/>
    <w:rsid w:val="0062242B"/>
    <w:rsid w:val="006224E0"/>
    <w:rsid w:val="00622B39"/>
    <w:rsid w:val="0062354E"/>
    <w:rsid w:val="00623959"/>
    <w:rsid w:val="00623E12"/>
    <w:rsid w:val="0062407B"/>
    <w:rsid w:val="006244EF"/>
    <w:rsid w:val="00624987"/>
    <w:rsid w:val="00624B14"/>
    <w:rsid w:val="00625F4C"/>
    <w:rsid w:val="00626582"/>
    <w:rsid w:val="0062694E"/>
    <w:rsid w:val="00626B5D"/>
    <w:rsid w:val="00626EA1"/>
    <w:rsid w:val="00626F02"/>
    <w:rsid w:val="00627312"/>
    <w:rsid w:val="00627477"/>
    <w:rsid w:val="00627585"/>
    <w:rsid w:val="006304B1"/>
    <w:rsid w:val="00630621"/>
    <w:rsid w:val="00630D26"/>
    <w:rsid w:val="0063160B"/>
    <w:rsid w:val="00631736"/>
    <w:rsid w:val="00631B7A"/>
    <w:rsid w:val="00631C86"/>
    <w:rsid w:val="006329A4"/>
    <w:rsid w:val="00632EA2"/>
    <w:rsid w:val="00632EBD"/>
    <w:rsid w:val="00633C5A"/>
    <w:rsid w:val="00634825"/>
    <w:rsid w:val="00634A6C"/>
    <w:rsid w:val="00634F4D"/>
    <w:rsid w:val="0063509D"/>
    <w:rsid w:val="00635C47"/>
    <w:rsid w:val="00635F68"/>
    <w:rsid w:val="00636B90"/>
    <w:rsid w:val="00637705"/>
    <w:rsid w:val="006377A6"/>
    <w:rsid w:val="00637A3D"/>
    <w:rsid w:val="006408E4"/>
    <w:rsid w:val="0064093A"/>
    <w:rsid w:val="00640C35"/>
    <w:rsid w:val="006411EF"/>
    <w:rsid w:val="00641240"/>
    <w:rsid w:val="00641921"/>
    <w:rsid w:val="00641C88"/>
    <w:rsid w:val="006424E0"/>
    <w:rsid w:val="00642B45"/>
    <w:rsid w:val="00642FB7"/>
    <w:rsid w:val="006431A2"/>
    <w:rsid w:val="00643E16"/>
    <w:rsid w:val="00644BF0"/>
    <w:rsid w:val="00644E7F"/>
    <w:rsid w:val="006450E2"/>
    <w:rsid w:val="00645AB4"/>
    <w:rsid w:val="006464DD"/>
    <w:rsid w:val="006467E1"/>
    <w:rsid w:val="00646DDB"/>
    <w:rsid w:val="00646F06"/>
    <w:rsid w:val="00647178"/>
    <w:rsid w:val="00650D3F"/>
    <w:rsid w:val="0065143E"/>
    <w:rsid w:val="006518D3"/>
    <w:rsid w:val="00651E63"/>
    <w:rsid w:val="00652A9A"/>
    <w:rsid w:val="00652BB0"/>
    <w:rsid w:val="0065304C"/>
    <w:rsid w:val="00653180"/>
    <w:rsid w:val="00653485"/>
    <w:rsid w:val="00653CE1"/>
    <w:rsid w:val="00653FC5"/>
    <w:rsid w:val="00654154"/>
    <w:rsid w:val="00654252"/>
    <w:rsid w:val="00654352"/>
    <w:rsid w:val="00654C4A"/>
    <w:rsid w:val="0065526D"/>
    <w:rsid w:val="006557E3"/>
    <w:rsid w:val="00655A57"/>
    <w:rsid w:val="006564F9"/>
    <w:rsid w:val="006567D8"/>
    <w:rsid w:val="0065797F"/>
    <w:rsid w:val="00657E92"/>
    <w:rsid w:val="00660227"/>
    <w:rsid w:val="00660277"/>
    <w:rsid w:val="006604AC"/>
    <w:rsid w:val="006605BA"/>
    <w:rsid w:val="006608CC"/>
    <w:rsid w:val="00660BD2"/>
    <w:rsid w:val="0066158F"/>
    <w:rsid w:val="006623C4"/>
    <w:rsid w:val="00662496"/>
    <w:rsid w:val="00663EF9"/>
    <w:rsid w:val="0066438F"/>
    <w:rsid w:val="00664577"/>
    <w:rsid w:val="006645F8"/>
    <w:rsid w:val="0066472E"/>
    <w:rsid w:val="00664D4D"/>
    <w:rsid w:val="00664E37"/>
    <w:rsid w:val="00664ED3"/>
    <w:rsid w:val="00665750"/>
    <w:rsid w:val="00665A15"/>
    <w:rsid w:val="00665E9C"/>
    <w:rsid w:val="00666346"/>
    <w:rsid w:val="00667027"/>
    <w:rsid w:val="00667763"/>
    <w:rsid w:val="00667EEB"/>
    <w:rsid w:val="0067098F"/>
    <w:rsid w:val="00670F61"/>
    <w:rsid w:val="00671309"/>
    <w:rsid w:val="00671425"/>
    <w:rsid w:val="00671766"/>
    <w:rsid w:val="00671A3C"/>
    <w:rsid w:val="00672066"/>
    <w:rsid w:val="00672266"/>
    <w:rsid w:val="00673315"/>
    <w:rsid w:val="006737F5"/>
    <w:rsid w:val="006738FC"/>
    <w:rsid w:val="00673D02"/>
    <w:rsid w:val="00673F27"/>
    <w:rsid w:val="00674802"/>
    <w:rsid w:val="006748B8"/>
    <w:rsid w:val="006749D2"/>
    <w:rsid w:val="00674C21"/>
    <w:rsid w:val="00675161"/>
    <w:rsid w:val="0067553B"/>
    <w:rsid w:val="006756F9"/>
    <w:rsid w:val="0067577F"/>
    <w:rsid w:val="00675A31"/>
    <w:rsid w:val="00676496"/>
    <w:rsid w:val="00676DB7"/>
    <w:rsid w:val="006775C3"/>
    <w:rsid w:val="00677D78"/>
    <w:rsid w:val="00680134"/>
    <w:rsid w:val="0068021D"/>
    <w:rsid w:val="00680BAF"/>
    <w:rsid w:val="00680E18"/>
    <w:rsid w:val="00680E3F"/>
    <w:rsid w:val="00682067"/>
    <w:rsid w:val="006823C8"/>
    <w:rsid w:val="006825FA"/>
    <w:rsid w:val="00682AAC"/>
    <w:rsid w:val="00682D99"/>
    <w:rsid w:val="00682DB3"/>
    <w:rsid w:val="00682EE5"/>
    <w:rsid w:val="0068311A"/>
    <w:rsid w:val="006831AF"/>
    <w:rsid w:val="00683288"/>
    <w:rsid w:val="00684445"/>
    <w:rsid w:val="0068499F"/>
    <w:rsid w:val="00685A53"/>
    <w:rsid w:val="00686C88"/>
    <w:rsid w:val="00687BAD"/>
    <w:rsid w:val="00687F25"/>
    <w:rsid w:val="0069066D"/>
    <w:rsid w:val="00691071"/>
    <w:rsid w:val="00691A7E"/>
    <w:rsid w:val="00691CE3"/>
    <w:rsid w:val="0069210C"/>
    <w:rsid w:val="00692165"/>
    <w:rsid w:val="006925FD"/>
    <w:rsid w:val="0069290A"/>
    <w:rsid w:val="00692C5A"/>
    <w:rsid w:val="00692EAC"/>
    <w:rsid w:val="00694481"/>
    <w:rsid w:val="00694892"/>
    <w:rsid w:val="00694B92"/>
    <w:rsid w:val="006950AE"/>
    <w:rsid w:val="00695290"/>
    <w:rsid w:val="00695A33"/>
    <w:rsid w:val="006962CC"/>
    <w:rsid w:val="00696BA3"/>
    <w:rsid w:val="0069775A"/>
    <w:rsid w:val="00697813"/>
    <w:rsid w:val="006A027B"/>
    <w:rsid w:val="006A02C5"/>
    <w:rsid w:val="006A0A13"/>
    <w:rsid w:val="006A15E4"/>
    <w:rsid w:val="006A2170"/>
    <w:rsid w:val="006A283B"/>
    <w:rsid w:val="006A2BEB"/>
    <w:rsid w:val="006A370D"/>
    <w:rsid w:val="006A3BEE"/>
    <w:rsid w:val="006A3EE8"/>
    <w:rsid w:val="006A41A6"/>
    <w:rsid w:val="006A4B5B"/>
    <w:rsid w:val="006A53D2"/>
    <w:rsid w:val="006A5712"/>
    <w:rsid w:val="006A5E54"/>
    <w:rsid w:val="006A60F0"/>
    <w:rsid w:val="006A693C"/>
    <w:rsid w:val="006A6D71"/>
    <w:rsid w:val="006A7297"/>
    <w:rsid w:val="006A72BF"/>
    <w:rsid w:val="006A7577"/>
    <w:rsid w:val="006A7723"/>
    <w:rsid w:val="006B03F2"/>
    <w:rsid w:val="006B05DA"/>
    <w:rsid w:val="006B0C9E"/>
    <w:rsid w:val="006B0EFE"/>
    <w:rsid w:val="006B10D0"/>
    <w:rsid w:val="006B1CA2"/>
    <w:rsid w:val="006B1E49"/>
    <w:rsid w:val="006B2259"/>
    <w:rsid w:val="006B2372"/>
    <w:rsid w:val="006B24FA"/>
    <w:rsid w:val="006B2D2D"/>
    <w:rsid w:val="006B328A"/>
    <w:rsid w:val="006B338F"/>
    <w:rsid w:val="006B36F7"/>
    <w:rsid w:val="006B37DC"/>
    <w:rsid w:val="006B3AF5"/>
    <w:rsid w:val="006B47CD"/>
    <w:rsid w:val="006B4BCD"/>
    <w:rsid w:val="006B4C15"/>
    <w:rsid w:val="006B4E72"/>
    <w:rsid w:val="006B4F68"/>
    <w:rsid w:val="006B5283"/>
    <w:rsid w:val="006B5F64"/>
    <w:rsid w:val="006B6558"/>
    <w:rsid w:val="006B666A"/>
    <w:rsid w:val="006B66FA"/>
    <w:rsid w:val="006B6C5C"/>
    <w:rsid w:val="006B6F44"/>
    <w:rsid w:val="006B6F9A"/>
    <w:rsid w:val="006B70D8"/>
    <w:rsid w:val="006B71BB"/>
    <w:rsid w:val="006B7203"/>
    <w:rsid w:val="006B7535"/>
    <w:rsid w:val="006B7907"/>
    <w:rsid w:val="006B7F81"/>
    <w:rsid w:val="006C0592"/>
    <w:rsid w:val="006C0CEB"/>
    <w:rsid w:val="006C1699"/>
    <w:rsid w:val="006C2205"/>
    <w:rsid w:val="006C272E"/>
    <w:rsid w:val="006C3BD9"/>
    <w:rsid w:val="006C3D33"/>
    <w:rsid w:val="006C3F28"/>
    <w:rsid w:val="006C3F99"/>
    <w:rsid w:val="006C400F"/>
    <w:rsid w:val="006C4145"/>
    <w:rsid w:val="006C4374"/>
    <w:rsid w:val="006C44FA"/>
    <w:rsid w:val="006C4574"/>
    <w:rsid w:val="006C45C9"/>
    <w:rsid w:val="006C4651"/>
    <w:rsid w:val="006C5350"/>
    <w:rsid w:val="006C5479"/>
    <w:rsid w:val="006C5B76"/>
    <w:rsid w:val="006C5F4A"/>
    <w:rsid w:val="006C62BE"/>
    <w:rsid w:val="006C63A6"/>
    <w:rsid w:val="006C64B8"/>
    <w:rsid w:val="006C6895"/>
    <w:rsid w:val="006C6AAF"/>
    <w:rsid w:val="006C6B0C"/>
    <w:rsid w:val="006C78B9"/>
    <w:rsid w:val="006C7CF0"/>
    <w:rsid w:val="006D0251"/>
    <w:rsid w:val="006D02B3"/>
    <w:rsid w:val="006D03AC"/>
    <w:rsid w:val="006D054B"/>
    <w:rsid w:val="006D08D7"/>
    <w:rsid w:val="006D13B5"/>
    <w:rsid w:val="006D1430"/>
    <w:rsid w:val="006D153C"/>
    <w:rsid w:val="006D1B26"/>
    <w:rsid w:val="006D1BDC"/>
    <w:rsid w:val="006D2A27"/>
    <w:rsid w:val="006D2C56"/>
    <w:rsid w:val="006D2ED2"/>
    <w:rsid w:val="006D2F36"/>
    <w:rsid w:val="006D3A64"/>
    <w:rsid w:val="006D3C14"/>
    <w:rsid w:val="006D3DEA"/>
    <w:rsid w:val="006D4005"/>
    <w:rsid w:val="006D478F"/>
    <w:rsid w:val="006D487B"/>
    <w:rsid w:val="006D4989"/>
    <w:rsid w:val="006D4C0A"/>
    <w:rsid w:val="006D558D"/>
    <w:rsid w:val="006D5E7F"/>
    <w:rsid w:val="006D6E14"/>
    <w:rsid w:val="006D7087"/>
    <w:rsid w:val="006D760F"/>
    <w:rsid w:val="006D775A"/>
    <w:rsid w:val="006D796A"/>
    <w:rsid w:val="006E0632"/>
    <w:rsid w:val="006E0AB7"/>
    <w:rsid w:val="006E0BB0"/>
    <w:rsid w:val="006E0D7C"/>
    <w:rsid w:val="006E12FF"/>
    <w:rsid w:val="006E1C16"/>
    <w:rsid w:val="006E1C43"/>
    <w:rsid w:val="006E1C50"/>
    <w:rsid w:val="006E2077"/>
    <w:rsid w:val="006E2C8E"/>
    <w:rsid w:val="006E2F7E"/>
    <w:rsid w:val="006E41F3"/>
    <w:rsid w:val="006E44F5"/>
    <w:rsid w:val="006E482B"/>
    <w:rsid w:val="006E4940"/>
    <w:rsid w:val="006E4AB2"/>
    <w:rsid w:val="006E4CBD"/>
    <w:rsid w:val="006E554B"/>
    <w:rsid w:val="006E5AE2"/>
    <w:rsid w:val="006E5BC7"/>
    <w:rsid w:val="006E607E"/>
    <w:rsid w:val="006E6FD0"/>
    <w:rsid w:val="006E70C2"/>
    <w:rsid w:val="006E7323"/>
    <w:rsid w:val="006E79BF"/>
    <w:rsid w:val="006E7AF3"/>
    <w:rsid w:val="006F01C2"/>
    <w:rsid w:val="006F0528"/>
    <w:rsid w:val="006F06A7"/>
    <w:rsid w:val="006F16A3"/>
    <w:rsid w:val="006F187E"/>
    <w:rsid w:val="006F191C"/>
    <w:rsid w:val="006F1935"/>
    <w:rsid w:val="006F1CC3"/>
    <w:rsid w:val="006F2243"/>
    <w:rsid w:val="006F299E"/>
    <w:rsid w:val="006F32DC"/>
    <w:rsid w:val="006F34B2"/>
    <w:rsid w:val="006F3AB2"/>
    <w:rsid w:val="006F3C40"/>
    <w:rsid w:val="006F4329"/>
    <w:rsid w:val="006F473E"/>
    <w:rsid w:val="006F4A77"/>
    <w:rsid w:val="006F4B55"/>
    <w:rsid w:val="006F53D7"/>
    <w:rsid w:val="006F56A4"/>
    <w:rsid w:val="006F59BF"/>
    <w:rsid w:val="006F5D04"/>
    <w:rsid w:val="006F5FF1"/>
    <w:rsid w:val="006F6834"/>
    <w:rsid w:val="006F6A7A"/>
    <w:rsid w:val="006F6C5E"/>
    <w:rsid w:val="006F6E09"/>
    <w:rsid w:val="006F6F46"/>
    <w:rsid w:val="006F7049"/>
    <w:rsid w:val="006F79A2"/>
    <w:rsid w:val="006F7CC9"/>
    <w:rsid w:val="00700080"/>
    <w:rsid w:val="007005E4"/>
    <w:rsid w:val="00700696"/>
    <w:rsid w:val="00700B45"/>
    <w:rsid w:val="00701251"/>
    <w:rsid w:val="0070185C"/>
    <w:rsid w:val="00701A0A"/>
    <w:rsid w:val="00701ACD"/>
    <w:rsid w:val="00701FAA"/>
    <w:rsid w:val="00702052"/>
    <w:rsid w:val="00702783"/>
    <w:rsid w:val="00702820"/>
    <w:rsid w:val="00702C2D"/>
    <w:rsid w:val="00702E34"/>
    <w:rsid w:val="00702FAD"/>
    <w:rsid w:val="007032C0"/>
    <w:rsid w:val="007042EF"/>
    <w:rsid w:val="00705448"/>
    <w:rsid w:val="00705EB2"/>
    <w:rsid w:val="0070603D"/>
    <w:rsid w:val="00706C5D"/>
    <w:rsid w:val="00707048"/>
    <w:rsid w:val="0070771F"/>
    <w:rsid w:val="00707CF9"/>
    <w:rsid w:val="00707E5F"/>
    <w:rsid w:val="00710F66"/>
    <w:rsid w:val="00711919"/>
    <w:rsid w:val="0071198A"/>
    <w:rsid w:val="00711FEE"/>
    <w:rsid w:val="00712A1F"/>
    <w:rsid w:val="00712D12"/>
    <w:rsid w:val="0071386F"/>
    <w:rsid w:val="007139D3"/>
    <w:rsid w:val="0071411D"/>
    <w:rsid w:val="00714A42"/>
    <w:rsid w:val="00715A40"/>
    <w:rsid w:val="00715ABE"/>
    <w:rsid w:val="0071688D"/>
    <w:rsid w:val="00716908"/>
    <w:rsid w:val="00716EDF"/>
    <w:rsid w:val="007170D6"/>
    <w:rsid w:val="0072075B"/>
    <w:rsid w:val="007207FB"/>
    <w:rsid w:val="00720C8C"/>
    <w:rsid w:val="0072144C"/>
    <w:rsid w:val="0072198E"/>
    <w:rsid w:val="00721AFC"/>
    <w:rsid w:val="00721BFC"/>
    <w:rsid w:val="00721FA5"/>
    <w:rsid w:val="00722032"/>
    <w:rsid w:val="00722300"/>
    <w:rsid w:val="00722995"/>
    <w:rsid w:val="0072354C"/>
    <w:rsid w:val="00723B90"/>
    <w:rsid w:val="00724031"/>
    <w:rsid w:val="0072460F"/>
    <w:rsid w:val="00724A7B"/>
    <w:rsid w:val="00724E81"/>
    <w:rsid w:val="0072512C"/>
    <w:rsid w:val="00725414"/>
    <w:rsid w:val="007258A0"/>
    <w:rsid w:val="00725E36"/>
    <w:rsid w:val="00726187"/>
    <w:rsid w:val="0072662A"/>
    <w:rsid w:val="00726900"/>
    <w:rsid w:val="00726E63"/>
    <w:rsid w:val="00726FAE"/>
    <w:rsid w:val="0072710C"/>
    <w:rsid w:val="0072717E"/>
    <w:rsid w:val="0072777C"/>
    <w:rsid w:val="00727A9C"/>
    <w:rsid w:val="007300D3"/>
    <w:rsid w:val="007303B5"/>
    <w:rsid w:val="0073073C"/>
    <w:rsid w:val="007310CB"/>
    <w:rsid w:val="00731757"/>
    <w:rsid w:val="00731C34"/>
    <w:rsid w:val="00731F4F"/>
    <w:rsid w:val="00731FC9"/>
    <w:rsid w:val="007327E8"/>
    <w:rsid w:val="00732922"/>
    <w:rsid w:val="00733236"/>
    <w:rsid w:val="0073366E"/>
    <w:rsid w:val="00733929"/>
    <w:rsid w:val="00733A81"/>
    <w:rsid w:val="00733C77"/>
    <w:rsid w:val="0073418F"/>
    <w:rsid w:val="00734FE4"/>
    <w:rsid w:val="00735059"/>
    <w:rsid w:val="0073524C"/>
    <w:rsid w:val="00735C78"/>
    <w:rsid w:val="007368B5"/>
    <w:rsid w:val="00736C35"/>
    <w:rsid w:val="00736C71"/>
    <w:rsid w:val="007379B0"/>
    <w:rsid w:val="00737FEA"/>
    <w:rsid w:val="00740637"/>
    <w:rsid w:val="00740D1F"/>
    <w:rsid w:val="0074118F"/>
    <w:rsid w:val="007415DF"/>
    <w:rsid w:val="00741A44"/>
    <w:rsid w:val="00741FE7"/>
    <w:rsid w:val="00742042"/>
    <w:rsid w:val="00743A7D"/>
    <w:rsid w:val="00743AA2"/>
    <w:rsid w:val="00743CC3"/>
    <w:rsid w:val="00744C23"/>
    <w:rsid w:val="007453D9"/>
    <w:rsid w:val="00745A47"/>
    <w:rsid w:val="007460FC"/>
    <w:rsid w:val="007460FE"/>
    <w:rsid w:val="007465C6"/>
    <w:rsid w:val="00746C62"/>
    <w:rsid w:val="00747B12"/>
    <w:rsid w:val="00747B4C"/>
    <w:rsid w:val="0075095E"/>
    <w:rsid w:val="00750C72"/>
    <w:rsid w:val="0075162E"/>
    <w:rsid w:val="00751951"/>
    <w:rsid w:val="007521B4"/>
    <w:rsid w:val="0075256E"/>
    <w:rsid w:val="007525A8"/>
    <w:rsid w:val="0075296C"/>
    <w:rsid w:val="00753C6C"/>
    <w:rsid w:val="00753D9E"/>
    <w:rsid w:val="00754034"/>
    <w:rsid w:val="0075441D"/>
    <w:rsid w:val="007549CD"/>
    <w:rsid w:val="007551A4"/>
    <w:rsid w:val="007558F0"/>
    <w:rsid w:val="00755BAD"/>
    <w:rsid w:val="007562D8"/>
    <w:rsid w:val="00756556"/>
    <w:rsid w:val="00756A93"/>
    <w:rsid w:val="007577EC"/>
    <w:rsid w:val="00760CA3"/>
    <w:rsid w:val="007618C4"/>
    <w:rsid w:val="00762380"/>
    <w:rsid w:val="00762664"/>
    <w:rsid w:val="00762947"/>
    <w:rsid w:val="0076337B"/>
    <w:rsid w:val="00763CE1"/>
    <w:rsid w:val="007654D5"/>
    <w:rsid w:val="00765B81"/>
    <w:rsid w:val="007660EA"/>
    <w:rsid w:val="007662D1"/>
    <w:rsid w:val="00766316"/>
    <w:rsid w:val="00766321"/>
    <w:rsid w:val="0076640B"/>
    <w:rsid w:val="00766DD7"/>
    <w:rsid w:val="00767732"/>
    <w:rsid w:val="00767980"/>
    <w:rsid w:val="00767D66"/>
    <w:rsid w:val="007700AF"/>
    <w:rsid w:val="007706B5"/>
    <w:rsid w:val="00770778"/>
    <w:rsid w:val="00770B19"/>
    <w:rsid w:val="00770B56"/>
    <w:rsid w:val="00770FFB"/>
    <w:rsid w:val="00771099"/>
    <w:rsid w:val="00773359"/>
    <w:rsid w:val="0077463F"/>
    <w:rsid w:val="007748CF"/>
    <w:rsid w:val="00774900"/>
    <w:rsid w:val="00775022"/>
    <w:rsid w:val="0077573E"/>
    <w:rsid w:val="00775E85"/>
    <w:rsid w:val="007765D5"/>
    <w:rsid w:val="007767B4"/>
    <w:rsid w:val="00776BCC"/>
    <w:rsid w:val="00776F75"/>
    <w:rsid w:val="007771EE"/>
    <w:rsid w:val="007772E9"/>
    <w:rsid w:val="00777810"/>
    <w:rsid w:val="0077782E"/>
    <w:rsid w:val="00780073"/>
    <w:rsid w:val="007804B2"/>
    <w:rsid w:val="0078057A"/>
    <w:rsid w:val="007809F1"/>
    <w:rsid w:val="007811FB"/>
    <w:rsid w:val="007815DC"/>
    <w:rsid w:val="007819FB"/>
    <w:rsid w:val="007829A8"/>
    <w:rsid w:val="007829AD"/>
    <w:rsid w:val="00782A4E"/>
    <w:rsid w:val="00782C0D"/>
    <w:rsid w:val="007836EA"/>
    <w:rsid w:val="0078412F"/>
    <w:rsid w:val="00784452"/>
    <w:rsid w:val="00784B5F"/>
    <w:rsid w:val="00784CDA"/>
    <w:rsid w:val="007853E0"/>
    <w:rsid w:val="0078608C"/>
    <w:rsid w:val="00786A75"/>
    <w:rsid w:val="00786CEA"/>
    <w:rsid w:val="00786EB5"/>
    <w:rsid w:val="00786ED1"/>
    <w:rsid w:val="00787705"/>
    <w:rsid w:val="00787762"/>
    <w:rsid w:val="00787FEE"/>
    <w:rsid w:val="007902B2"/>
    <w:rsid w:val="007906C4"/>
    <w:rsid w:val="00790DC5"/>
    <w:rsid w:val="007911E3"/>
    <w:rsid w:val="00791555"/>
    <w:rsid w:val="00791A93"/>
    <w:rsid w:val="0079218E"/>
    <w:rsid w:val="00792684"/>
    <w:rsid w:val="00792B0A"/>
    <w:rsid w:val="007939DF"/>
    <w:rsid w:val="007940EA"/>
    <w:rsid w:val="007949F8"/>
    <w:rsid w:val="00794E23"/>
    <w:rsid w:val="00795412"/>
    <w:rsid w:val="00795760"/>
    <w:rsid w:val="00795916"/>
    <w:rsid w:val="00796220"/>
    <w:rsid w:val="007967E8"/>
    <w:rsid w:val="00796FC4"/>
    <w:rsid w:val="007975AF"/>
    <w:rsid w:val="00797686"/>
    <w:rsid w:val="00797C9A"/>
    <w:rsid w:val="00797CAE"/>
    <w:rsid w:val="00797D00"/>
    <w:rsid w:val="007A096D"/>
    <w:rsid w:val="007A0B65"/>
    <w:rsid w:val="007A1153"/>
    <w:rsid w:val="007A11D2"/>
    <w:rsid w:val="007A15F0"/>
    <w:rsid w:val="007A2170"/>
    <w:rsid w:val="007A22BF"/>
    <w:rsid w:val="007A2D3E"/>
    <w:rsid w:val="007A3323"/>
    <w:rsid w:val="007A3374"/>
    <w:rsid w:val="007A4229"/>
    <w:rsid w:val="007A47FE"/>
    <w:rsid w:val="007A535D"/>
    <w:rsid w:val="007A54DF"/>
    <w:rsid w:val="007A55AB"/>
    <w:rsid w:val="007A57F4"/>
    <w:rsid w:val="007A5E65"/>
    <w:rsid w:val="007A6367"/>
    <w:rsid w:val="007A64F5"/>
    <w:rsid w:val="007A6E94"/>
    <w:rsid w:val="007A6F2D"/>
    <w:rsid w:val="007A7CE6"/>
    <w:rsid w:val="007B1165"/>
    <w:rsid w:val="007B1725"/>
    <w:rsid w:val="007B1E52"/>
    <w:rsid w:val="007B1F9F"/>
    <w:rsid w:val="007B22E9"/>
    <w:rsid w:val="007B2F88"/>
    <w:rsid w:val="007B3188"/>
    <w:rsid w:val="007B32F5"/>
    <w:rsid w:val="007B33F9"/>
    <w:rsid w:val="007B3E7E"/>
    <w:rsid w:val="007B4001"/>
    <w:rsid w:val="007B5398"/>
    <w:rsid w:val="007B5B6C"/>
    <w:rsid w:val="007B5D19"/>
    <w:rsid w:val="007B72B8"/>
    <w:rsid w:val="007B79B8"/>
    <w:rsid w:val="007B7A58"/>
    <w:rsid w:val="007C0033"/>
    <w:rsid w:val="007C061C"/>
    <w:rsid w:val="007C0E91"/>
    <w:rsid w:val="007C0E94"/>
    <w:rsid w:val="007C1034"/>
    <w:rsid w:val="007C11E0"/>
    <w:rsid w:val="007C179E"/>
    <w:rsid w:val="007C1B39"/>
    <w:rsid w:val="007C21B5"/>
    <w:rsid w:val="007C21F1"/>
    <w:rsid w:val="007C24FC"/>
    <w:rsid w:val="007C252B"/>
    <w:rsid w:val="007C274B"/>
    <w:rsid w:val="007C3001"/>
    <w:rsid w:val="007C3039"/>
    <w:rsid w:val="007C35CE"/>
    <w:rsid w:val="007C3EEE"/>
    <w:rsid w:val="007C4043"/>
    <w:rsid w:val="007C4138"/>
    <w:rsid w:val="007C43EB"/>
    <w:rsid w:val="007C4853"/>
    <w:rsid w:val="007C4ACC"/>
    <w:rsid w:val="007C4F0C"/>
    <w:rsid w:val="007C52D4"/>
    <w:rsid w:val="007C5516"/>
    <w:rsid w:val="007C551D"/>
    <w:rsid w:val="007C58C9"/>
    <w:rsid w:val="007C597E"/>
    <w:rsid w:val="007C5A66"/>
    <w:rsid w:val="007C5CD7"/>
    <w:rsid w:val="007C61ED"/>
    <w:rsid w:val="007C6738"/>
    <w:rsid w:val="007C6A7D"/>
    <w:rsid w:val="007C7A04"/>
    <w:rsid w:val="007C7FD0"/>
    <w:rsid w:val="007D0887"/>
    <w:rsid w:val="007D0C9F"/>
    <w:rsid w:val="007D1406"/>
    <w:rsid w:val="007D143A"/>
    <w:rsid w:val="007D20AC"/>
    <w:rsid w:val="007D24BF"/>
    <w:rsid w:val="007D24FF"/>
    <w:rsid w:val="007D28D2"/>
    <w:rsid w:val="007D2DC9"/>
    <w:rsid w:val="007D31F3"/>
    <w:rsid w:val="007D36AF"/>
    <w:rsid w:val="007D3FE6"/>
    <w:rsid w:val="007D42CD"/>
    <w:rsid w:val="007D490E"/>
    <w:rsid w:val="007D4937"/>
    <w:rsid w:val="007D51C6"/>
    <w:rsid w:val="007D5836"/>
    <w:rsid w:val="007D5959"/>
    <w:rsid w:val="007D5D11"/>
    <w:rsid w:val="007D5F9B"/>
    <w:rsid w:val="007D61FF"/>
    <w:rsid w:val="007D6F8B"/>
    <w:rsid w:val="007D7BFF"/>
    <w:rsid w:val="007E05F6"/>
    <w:rsid w:val="007E104A"/>
    <w:rsid w:val="007E17B6"/>
    <w:rsid w:val="007E1A9E"/>
    <w:rsid w:val="007E1B95"/>
    <w:rsid w:val="007E1E7D"/>
    <w:rsid w:val="007E27BF"/>
    <w:rsid w:val="007E2870"/>
    <w:rsid w:val="007E3156"/>
    <w:rsid w:val="007E33C2"/>
    <w:rsid w:val="007E3ADA"/>
    <w:rsid w:val="007E44E7"/>
    <w:rsid w:val="007E463D"/>
    <w:rsid w:val="007E4BD2"/>
    <w:rsid w:val="007E4C72"/>
    <w:rsid w:val="007E522F"/>
    <w:rsid w:val="007E5AD8"/>
    <w:rsid w:val="007E5E71"/>
    <w:rsid w:val="007E6260"/>
    <w:rsid w:val="007E634A"/>
    <w:rsid w:val="007E6865"/>
    <w:rsid w:val="007E69B7"/>
    <w:rsid w:val="007E6A31"/>
    <w:rsid w:val="007E6A5E"/>
    <w:rsid w:val="007E6E44"/>
    <w:rsid w:val="007E6F88"/>
    <w:rsid w:val="007E77BE"/>
    <w:rsid w:val="007E7809"/>
    <w:rsid w:val="007F0003"/>
    <w:rsid w:val="007F01CF"/>
    <w:rsid w:val="007F020A"/>
    <w:rsid w:val="007F02B5"/>
    <w:rsid w:val="007F0540"/>
    <w:rsid w:val="007F15F1"/>
    <w:rsid w:val="007F38CC"/>
    <w:rsid w:val="007F3CAB"/>
    <w:rsid w:val="007F478C"/>
    <w:rsid w:val="007F4907"/>
    <w:rsid w:val="007F4CCF"/>
    <w:rsid w:val="007F5554"/>
    <w:rsid w:val="007F603D"/>
    <w:rsid w:val="007F6569"/>
    <w:rsid w:val="007F68A6"/>
    <w:rsid w:val="007F6B7A"/>
    <w:rsid w:val="007F6EA6"/>
    <w:rsid w:val="007F73E1"/>
    <w:rsid w:val="007F772A"/>
    <w:rsid w:val="007F7752"/>
    <w:rsid w:val="007F797F"/>
    <w:rsid w:val="00801393"/>
    <w:rsid w:val="00801517"/>
    <w:rsid w:val="00801B2D"/>
    <w:rsid w:val="0080230F"/>
    <w:rsid w:val="008029C7"/>
    <w:rsid w:val="00802AE6"/>
    <w:rsid w:val="00802B28"/>
    <w:rsid w:val="00802E61"/>
    <w:rsid w:val="00802F88"/>
    <w:rsid w:val="00802FD7"/>
    <w:rsid w:val="00803302"/>
    <w:rsid w:val="008038DB"/>
    <w:rsid w:val="00803E37"/>
    <w:rsid w:val="008043D9"/>
    <w:rsid w:val="008048A1"/>
    <w:rsid w:val="0080601D"/>
    <w:rsid w:val="008068A9"/>
    <w:rsid w:val="0080735C"/>
    <w:rsid w:val="0081056D"/>
    <w:rsid w:val="00810573"/>
    <w:rsid w:val="0081057F"/>
    <w:rsid w:val="00811637"/>
    <w:rsid w:val="008122F4"/>
    <w:rsid w:val="0081277E"/>
    <w:rsid w:val="0081293E"/>
    <w:rsid w:val="00813A5D"/>
    <w:rsid w:val="00813AF8"/>
    <w:rsid w:val="00814440"/>
    <w:rsid w:val="0081445E"/>
    <w:rsid w:val="00814595"/>
    <w:rsid w:val="00814640"/>
    <w:rsid w:val="0081531B"/>
    <w:rsid w:val="00815465"/>
    <w:rsid w:val="00815FA4"/>
    <w:rsid w:val="008160B9"/>
    <w:rsid w:val="0081614A"/>
    <w:rsid w:val="00816907"/>
    <w:rsid w:val="00817277"/>
    <w:rsid w:val="008172DA"/>
    <w:rsid w:val="008172DE"/>
    <w:rsid w:val="0081735F"/>
    <w:rsid w:val="0081756B"/>
    <w:rsid w:val="00817E9A"/>
    <w:rsid w:val="00820378"/>
    <w:rsid w:val="008205B3"/>
    <w:rsid w:val="0082065C"/>
    <w:rsid w:val="00820B38"/>
    <w:rsid w:val="00820DA4"/>
    <w:rsid w:val="008212FC"/>
    <w:rsid w:val="008216FA"/>
    <w:rsid w:val="00821D10"/>
    <w:rsid w:val="00821E74"/>
    <w:rsid w:val="0082215D"/>
    <w:rsid w:val="008225EA"/>
    <w:rsid w:val="00822B91"/>
    <w:rsid w:val="00822E6D"/>
    <w:rsid w:val="00823153"/>
    <w:rsid w:val="008245AA"/>
    <w:rsid w:val="008247CC"/>
    <w:rsid w:val="00824B46"/>
    <w:rsid w:val="00824B51"/>
    <w:rsid w:val="00824DB8"/>
    <w:rsid w:val="00825174"/>
    <w:rsid w:val="008254D0"/>
    <w:rsid w:val="00825B85"/>
    <w:rsid w:val="00825C34"/>
    <w:rsid w:val="00826C1A"/>
    <w:rsid w:val="008301D0"/>
    <w:rsid w:val="0083042E"/>
    <w:rsid w:val="008306BD"/>
    <w:rsid w:val="00831A37"/>
    <w:rsid w:val="00831A80"/>
    <w:rsid w:val="0083204A"/>
    <w:rsid w:val="008320DD"/>
    <w:rsid w:val="00832E08"/>
    <w:rsid w:val="00832E4C"/>
    <w:rsid w:val="00832E8D"/>
    <w:rsid w:val="0083355B"/>
    <w:rsid w:val="008335EA"/>
    <w:rsid w:val="00833743"/>
    <w:rsid w:val="00833AC7"/>
    <w:rsid w:val="00833F14"/>
    <w:rsid w:val="008340A4"/>
    <w:rsid w:val="008340DE"/>
    <w:rsid w:val="00834187"/>
    <w:rsid w:val="008346C1"/>
    <w:rsid w:val="008351CB"/>
    <w:rsid w:val="00835297"/>
    <w:rsid w:val="008352F4"/>
    <w:rsid w:val="008356AB"/>
    <w:rsid w:val="00835E5F"/>
    <w:rsid w:val="00835FDB"/>
    <w:rsid w:val="00836137"/>
    <w:rsid w:val="0083618B"/>
    <w:rsid w:val="008371A0"/>
    <w:rsid w:val="008375FA"/>
    <w:rsid w:val="00837BAC"/>
    <w:rsid w:val="00840024"/>
    <w:rsid w:val="00840B1C"/>
    <w:rsid w:val="00840F2D"/>
    <w:rsid w:val="00840F77"/>
    <w:rsid w:val="00840FE2"/>
    <w:rsid w:val="008410AE"/>
    <w:rsid w:val="00841657"/>
    <w:rsid w:val="0084180F"/>
    <w:rsid w:val="00841BDA"/>
    <w:rsid w:val="00842698"/>
    <w:rsid w:val="00842B16"/>
    <w:rsid w:val="0084381C"/>
    <w:rsid w:val="008438E3"/>
    <w:rsid w:val="00843922"/>
    <w:rsid w:val="00843A00"/>
    <w:rsid w:val="00843F6D"/>
    <w:rsid w:val="00843F93"/>
    <w:rsid w:val="0084468D"/>
    <w:rsid w:val="008452CA"/>
    <w:rsid w:val="00846234"/>
    <w:rsid w:val="0084685D"/>
    <w:rsid w:val="00847BB5"/>
    <w:rsid w:val="008502B0"/>
    <w:rsid w:val="00850861"/>
    <w:rsid w:val="00850CF2"/>
    <w:rsid w:val="00850E9E"/>
    <w:rsid w:val="0085116A"/>
    <w:rsid w:val="00851C3D"/>
    <w:rsid w:val="008529B3"/>
    <w:rsid w:val="00852CD9"/>
    <w:rsid w:val="008543EE"/>
    <w:rsid w:val="00854B30"/>
    <w:rsid w:val="00854FE0"/>
    <w:rsid w:val="0085523C"/>
    <w:rsid w:val="008552AD"/>
    <w:rsid w:val="00855982"/>
    <w:rsid w:val="00855B36"/>
    <w:rsid w:val="00855DC7"/>
    <w:rsid w:val="00856483"/>
    <w:rsid w:val="0085739D"/>
    <w:rsid w:val="00857921"/>
    <w:rsid w:val="00860728"/>
    <w:rsid w:val="00860C61"/>
    <w:rsid w:val="0086127C"/>
    <w:rsid w:val="00861404"/>
    <w:rsid w:val="0086143A"/>
    <w:rsid w:val="008622E8"/>
    <w:rsid w:val="00862C91"/>
    <w:rsid w:val="00863747"/>
    <w:rsid w:val="0086389A"/>
    <w:rsid w:val="008641A6"/>
    <w:rsid w:val="0086425F"/>
    <w:rsid w:val="008642C1"/>
    <w:rsid w:val="00864698"/>
    <w:rsid w:val="00864856"/>
    <w:rsid w:val="00865734"/>
    <w:rsid w:val="00865A53"/>
    <w:rsid w:val="00865BC9"/>
    <w:rsid w:val="00866163"/>
    <w:rsid w:val="00866AAA"/>
    <w:rsid w:val="008670FF"/>
    <w:rsid w:val="008672D6"/>
    <w:rsid w:val="00867952"/>
    <w:rsid w:val="00867A86"/>
    <w:rsid w:val="00867F78"/>
    <w:rsid w:val="00870C34"/>
    <w:rsid w:val="0087135F"/>
    <w:rsid w:val="00871421"/>
    <w:rsid w:val="0087185E"/>
    <w:rsid w:val="0087233A"/>
    <w:rsid w:val="00872742"/>
    <w:rsid w:val="008728A3"/>
    <w:rsid w:val="00872D94"/>
    <w:rsid w:val="008730E9"/>
    <w:rsid w:val="00873CF8"/>
    <w:rsid w:val="00875A3B"/>
    <w:rsid w:val="00876131"/>
    <w:rsid w:val="0087646B"/>
    <w:rsid w:val="00876E83"/>
    <w:rsid w:val="00877767"/>
    <w:rsid w:val="00877DAF"/>
    <w:rsid w:val="008800C3"/>
    <w:rsid w:val="00880364"/>
    <w:rsid w:val="00880574"/>
    <w:rsid w:val="00880870"/>
    <w:rsid w:val="00881895"/>
    <w:rsid w:val="0088290B"/>
    <w:rsid w:val="00882C12"/>
    <w:rsid w:val="00882FDC"/>
    <w:rsid w:val="008862C2"/>
    <w:rsid w:val="00886801"/>
    <w:rsid w:val="00886BE7"/>
    <w:rsid w:val="00886C59"/>
    <w:rsid w:val="00886CC4"/>
    <w:rsid w:val="00886CDC"/>
    <w:rsid w:val="00886DC5"/>
    <w:rsid w:val="00887D12"/>
    <w:rsid w:val="008910CD"/>
    <w:rsid w:val="008913D7"/>
    <w:rsid w:val="00891592"/>
    <w:rsid w:val="00891E9E"/>
    <w:rsid w:val="0089239F"/>
    <w:rsid w:val="00893100"/>
    <w:rsid w:val="00893ABA"/>
    <w:rsid w:val="0089424C"/>
    <w:rsid w:val="00894855"/>
    <w:rsid w:val="008949EC"/>
    <w:rsid w:val="00895036"/>
    <w:rsid w:val="00895513"/>
    <w:rsid w:val="008959FC"/>
    <w:rsid w:val="00895DC4"/>
    <w:rsid w:val="0089604D"/>
    <w:rsid w:val="00896404"/>
    <w:rsid w:val="008965F3"/>
    <w:rsid w:val="008969F7"/>
    <w:rsid w:val="00896CA8"/>
    <w:rsid w:val="00896DC0"/>
    <w:rsid w:val="00897F49"/>
    <w:rsid w:val="008A0BC1"/>
    <w:rsid w:val="008A0F1E"/>
    <w:rsid w:val="008A1625"/>
    <w:rsid w:val="008A1644"/>
    <w:rsid w:val="008A19E8"/>
    <w:rsid w:val="008A2C16"/>
    <w:rsid w:val="008A2E44"/>
    <w:rsid w:val="008A2F68"/>
    <w:rsid w:val="008A3009"/>
    <w:rsid w:val="008A31F9"/>
    <w:rsid w:val="008A3639"/>
    <w:rsid w:val="008A37C7"/>
    <w:rsid w:val="008A3ADE"/>
    <w:rsid w:val="008A3BA9"/>
    <w:rsid w:val="008A3ED7"/>
    <w:rsid w:val="008A3FF9"/>
    <w:rsid w:val="008A44A1"/>
    <w:rsid w:val="008A490A"/>
    <w:rsid w:val="008A4D88"/>
    <w:rsid w:val="008A50E1"/>
    <w:rsid w:val="008A5451"/>
    <w:rsid w:val="008A6382"/>
    <w:rsid w:val="008A63CC"/>
    <w:rsid w:val="008A6E7D"/>
    <w:rsid w:val="008A755E"/>
    <w:rsid w:val="008A78DC"/>
    <w:rsid w:val="008A7BE4"/>
    <w:rsid w:val="008A7E38"/>
    <w:rsid w:val="008B027E"/>
    <w:rsid w:val="008B0418"/>
    <w:rsid w:val="008B04C1"/>
    <w:rsid w:val="008B0867"/>
    <w:rsid w:val="008B147A"/>
    <w:rsid w:val="008B1836"/>
    <w:rsid w:val="008B2091"/>
    <w:rsid w:val="008B22AB"/>
    <w:rsid w:val="008B2CFC"/>
    <w:rsid w:val="008B32D1"/>
    <w:rsid w:val="008B450B"/>
    <w:rsid w:val="008B4A27"/>
    <w:rsid w:val="008B4AF9"/>
    <w:rsid w:val="008B4B34"/>
    <w:rsid w:val="008B4FA6"/>
    <w:rsid w:val="008B5282"/>
    <w:rsid w:val="008B5DA0"/>
    <w:rsid w:val="008B5F9C"/>
    <w:rsid w:val="008B661A"/>
    <w:rsid w:val="008B6B36"/>
    <w:rsid w:val="008B7C17"/>
    <w:rsid w:val="008C09FA"/>
    <w:rsid w:val="008C0F52"/>
    <w:rsid w:val="008C1585"/>
    <w:rsid w:val="008C17C8"/>
    <w:rsid w:val="008C2D01"/>
    <w:rsid w:val="008C2D81"/>
    <w:rsid w:val="008C34AC"/>
    <w:rsid w:val="008C394A"/>
    <w:rsid w:val="008C3B13"/>
    <w:rsid w:val="008C40E6"/>
    <w:rsid w:val="008C42DA"/>
    <w:rsid w:val="008C48DF"/>
    <w:rsid w:val="008C4B8D"/>
    <w:rsid w:val="008C5711"/>
    <w:rsid w:val="008C5AF6"/>
    <w:rsid w:val="008C5C83"/>
    <w:rsid w:val="008C5D58"/>
    <w:rsid w:val="008C60CA"/>
    <w:rsid w:val="008C60F1"/>
    <w:rsid w:val="008C6A02"/>
    <w:rsid w:val="008C6C07"/>
    <w:rsid w:val="008C712E"/>
    <w:rsid w:val="008C72CC"/>
    <w:rsid w:val="008C72DB"/>
    <w:rsid w:val="008D0118"/>
    <w:rsid w:val="008D04D1"/>
    <w:rsid w:val="008D050C"/>
    <w:rsid w:val="008D0C04"/>
    <w:rsid w:val="008D0F55"/>
    <w:rsid w:val="008D0F7A"/>
    <w:rsid w:val="008D1FF1"/>
    <w:rsid w:val="008D2C80"/>
    <w:rsid w:val="008D3848"/>
    <w:rsid w:val="008D38CD"/>
    <w:rsid w:val="008D392D"/>
    <w:rsid w:val="008D4D30"/>
    <w:rsid w:val="008D544C"/>
    <w:rsid w:val="008D549C"/>
    <w:rsid w:val="008D54BE"/>
    <w:rsid w:val="008D603D"/>
    <w:rsid w:val="008D60B7"/>
    <w:rsid w:val="008D68E4"/>
    <w:rsid w:val="008E0444"/>
    <w:rsid w:val="008E0506"/>
    <w:rsid w:val="008E0792"/>
    <w:rsid w:val="008E0CFF"/>
    <w:rsid w:val="008E13A1"/>
    <w:rsid w:val="008E1AD0"/>
    <w:rsid w:val="008E1D19"/>
    <w:rsid w:val="008E248D"/>
    <w:rsid w:val="008E2ED2"/>
    <w:rsid w:val="008E3517"/>
    <w:rsid w:val="008E3655"/>
    <w:rsid w:val="008E39D5"/>
    <w:rsid w:val="008E3CA7"/>
    <w:rsid w:val="008E3CEC"/>
    <w:rsid w:val="008E46F1"/>
    <w:rsid w:val="008E472E"/>
    <w:rsid w:val="008E476C"/>
    <w:rsid w:val="008E49C4"/>
    <w:rsid w:val="008E4AA7"/>
    <w:rsid w:val="008E51E8"/>
    <w:rsid w:val="008E5793"/>
    <w:rsid w:val="008E593B"/>
    <w:rsid w:val="008E5D6B"/>
    <w:rsid w:val="008E5D77"/>
    <w:rsid w:val="008E6378"/>
    <w:rsid w:val="008E6B99"/>
    <w:rsid w:val="008E7606"/>
    <w:rsid w:val="008E760A"/>
    <w:rsid w:val="008E76F0"/>
    <w:rsid w:val="008F09A5"/>
    <w:rsid w:val="008F15FE"/>
    <w:rsid w:val="008F16E4"/>
    <w:rsid w:val="008F1B79"/>
    <w:rsid w:val="008F1FAA"/>
    <w:rsid w:val="008F2A05"/>
    <w:rsid w:val="008F2D29"/>
    <w:rsid w:val="008F326A"/>
    <w:rsid w:val="008F3828"/>
    <w:rsid w:val="008F3D74"/>
    <w:rsid w:val="008F3D8F"/>
    <w:rsid w:val="008F3DB0"/>
    <w:rsid w:val="008F3EF0"/>
    <w:rsid w:val="008F475A"/>
    <w:rsid w:val="008F4827"/>
    <w:rsid w:val="008F4A68"/>
    <w:rsid w:val="008F4E06"/>
    <w:rsid w:val="008F5187"/>
    <w:rsid w:val="008F5212"/>
    <w:rsid w:val="008F53F7"/>
    <w:rsid w:val="008F5460"/>
    <w:rsid w:val="008F5D6B"/>
    <w:rsid w:val="008F60D8"/>
    <w:rsid w:val="008F6A29"/>
    <w:rsid w:val="008F6F29"/>
    <w:rsid w:val="008F75A3"/>
    <w:rsid w:val="008F76D5"/>
    <w:rsid w:val="008F77BE"/>
    <w:rsid w:val="00900576"/>
    <w:rsid w:val="009006C5"/>
    <w:rsid w:val="00900ED8"/>
    <w:rsid w:val="00901091"/>
    <w:rsid w:val="00901A80"/>
    <w:rsid w:val="0090206C"/>
    <w:rsid w:val="009023F3"/>
    <w:rsid w:val="0090269F"/>
    <w:rsid w:val="00902727"/>
    <w:rsid w:val="00902FB5"/>
    <w:rsid w:val="0090312B"/>
    <w:rsid w:val="00904054"/>
    <w:rsid w:val="00904711"/>
    <w:rsid w:val="0090487D"/>
    <w:rsid w:val="00904B7C"/>
    <w:rsid w:val="00904B83"/>
    <w:rsid w:val="00904EB5"/>
    <w:rsid w:val="009056E1"/>
    <w:rsid w:val="00906166"/>
    <w:rsid w:val="00906273"/>
    <w:rsid w:val="00906DBB"/>
    <w:rsid w:val="009073A5"/>
    <w:rsid w:val="0090770B"/>
    <w:rsid w:val="00907906"/>
    <w:rsid w:val="00907956"/>
    <w:rsid w:val="00910380"/>
    <w:rsid w:val="009108F7"/>
    <w:rsid w:val="00911B5B"/>
    <w:rsid w:val="00911B84"/>
    <w:rsid w:val="00912A30"/>
    <w:rsid w:val="00912F5D"/>
    <w:rsid w:val="0091503E"/>
    <w:rsid w:val="00915070"/>
    <w:rsid w:val="0091507D"/>
    <w:rsid w:val="009150AD"/>
    <w:rsid w:val="0091589A"/>
    <w:rsid w:val="0091607D"/>
    <w:rsid w:val="00916212"/>
    <w:rsid w:val="00916483"/>
    <w:rsid w:val="00916852"/>
    <w:rsid w:val="00916908"/>
    <w:rsid w:val="00916A1E"/>
    <w:rsid w:val="0091701F"/>
    <w:rsid w:val="0091705B"/>
    <w:rsid w:val="0091736D"/>
    <w:rsid w:val="009176D5"/>
    <w:rsid w:val="00917BCF"/>
    <w:rsid w:val="00917F47"/>
    <w:rsid w:val="00920456"/>
    <w:rsid w:val="00920F1A"/>
    <w:rsid w:val="009217FF"/>
    <w:rsid w:val="0092250D"/>
    <w:rsid w:val="00922F27"/>
    <w:rsid w:val="009233BC"/>
    <w:rsid w:val="00923534"/>
    <w:rsid w:val="00924B58"/>
    <w:rsid w:val="00925466"/>
    <w:rsid w:val="0092551A"/>
    <w:rsid w:val="0092633E"/>
    <w:rsid w:val="0092641E"/>
    <w:rsid w:val="00926457"/>
    <w:rsid w:val="00926756"/>
    <w:rsid w:val="00926A52"/>
    <w:rsid w:val="00926D13"/>
    <w:rsid w:val="00926F03"/>
    <w:rsid w:val="009273BA"/>
    <w:rsid w:val="00927C51"/>
    <w:rsid w:val="0093037A"/>
    <w:rsid w:val="00930CE7"/>
    <w:rsid w:val="009310F5"/>
    <w:rsid w:val="00931354"/>
    <w:rsid w:val="00931C36"/>
    <w:rsid w:val="0093232A"/>
    <w:rsid w:val="0093269B"/>
    <w:rsid w:val="009326BB"/>
    <w:rsid w:val="00933D16"/>
    <w:rsid w:val="00933E1A"/>
    <w:rsid w:val="0093462F"/>
    <w:rsid w:val="00935EAD"/>
    <w:rsid w:val="009367E1"/>
    <w:rsid w:val="00936FC3"/>
    <w:rsid w:val="0093773C"/>
    <w:rsid w:val="00937D5A"/>
    <w:rsid w:val="00937DAD"/>
    <w:rsid w:val="009401F1"/>
    <w:rsid w:val="009402BB"/>
    <w:rsid w:val="009404F1"/>
    <w:rsid w:val="009407E2"/>
    <w:rsid w:val="009414B4"/>
    <w:rsid w:val="0094154D"/>
    <w:rsid w:val="0094243A"/>
    <w:rsid w:val="00942558"/>
    <w:rsid w:val="00942860"/>
    <w:rsid w:val="009434EC"/>
    <w:rsid w:val="0094425E"/>
    <w:rsid w:val="00944480"/>
    <w:rsid w:val="009458AC"/>
    <w:rsid w:val="00945CE5"/>
    <w:rsid w:val="00946099"/>
    <w:rsid w:val="0094689B"/>
    <w:rsid w:val="0094699D"/>
    <w:rsid w:val="00946C07"/>
    <w:rsid w:val="00947321"/>
    <w:rsid w:val="00947933"/>
    <w:rsid w:val="00950AE0"/>
    <w:rsid w:val="0095155F"/>
    <w:rsid w:val="009518AB"/>
    <w:rsid w:val="00951FDC"/>
    <w:rsid w:val="009520D4"/>
    <w:rsid w:val="00952390"/>
    <w:rsid w:val="0095282D"/>
    <w:rsid w:val="0095359C"/>
    <w:rsid w:val="009539CA"/>
    <w:rsid w:val="00953C4E"/>
    <w:rsid w:val="00954429"/>
    <w:rsid w:val="00954455"/>
    <w:rsid w:val="009555D3"/>
    <w:rsid w:val="00955BA4"/>
    <w:rsid w:val="00956087"/>
    <w:rsid w:val="009563CE"/>
    <w:rsid w:val="00957230"/>
    <w:rsid w:val="00957C36"/>
    <w:rsid w:val="00957D84"/>
    <w:rsid w:val="00960263"/>
    <w:rsid w:val="00961685"/>
    <w:rsid w:val="009617BC"/>
    <w:rsid w:val="00961931"/>
    <w:rsid w:val="00961CF7"/>
    <w:rsid w:val="00961E07"/>
    <w:rsid w:val="009621C3"/>
    <w:rsid w:val="00962992"/>
    <w:rsid w:val="00962C3C"/>
    <w:rsid w:val="00962C68"/>
    <w:rsid w:val="00962D22"/>
    <w:rsid w:val="009632F3"/>
    <w:rsid w:val="0096365F"/>
    <w:rsid w:val="0096394C"/>
    <w:rsid w:val="00963B79"/>
    <w:rsid w:val="00963CF2"/>
    <w:rsid w:val="00964149"/>
    <w:rsid w:val="009643FA"/>
    <w:rsid w:val="00965105"/>
    <w:rsid w:val="009659BD"/>
    <w:rsid w:val="00965CF3"/>
    <w:rsid w:val="009666DF"/>
    <w:rsid w:val="00966767"/>
    <w:rsid w:val="00966E60"/>
    <w:rsid w:val="0096744B"/>
    <w:rsid w:val="0096756A"/>
    <w:rsid w:val="00967C08"/>
    <w:rsid w:val="00970141"/>
    <w:rsid w:val="009702CB"/>
    <w:rsid w:val="00970A2F"/>
    <w:rsid w:val="009711DF"/>
    <w:rsid w:val="00971913"/>
    <w:rsid w:val="00972565"/>
    <w:rsid w:val="009726B9"/>
    <w:rsid w:val="00972CBF"/>
    <w:rsid w:val="00973007"/>
    <w:rsid w:val="009735C8"/>
    <w:rsid w:val="009739BF"/>
    <w:rsid w:val="00973DE2"/>
    <w:rsid w:val="00974059"/>
    <w:rsid w:val="00974148"/>
    <w:rsid w:val="00975EA3"/>
    <w:rsid w:val="00976328"/>
    <w:rsid w:val="0097680D"/>
    <w:rsid w:val="0097721E"/>
    <w:rsid w:val="009772D1"/>
    <w:rsid w:val="0097743B"/>
    <w:rsid w:val="009775DE"/>
    <w:rsid w:val="00977E26"/>
    <w:rsid w:val="00980639"/>
    <w:rsid w:val="00980A79"/>
    <w:rsid w:val="00980BD6"/>
    <w:rsid w:val="00980E82"/>
    <w:rsid w:val="00980F8B"/>
    <w:rsid w:val="009815A1"/>
    <w:rsid w:val="00981610"/>
    <w:rsid w:val="00982035"/>
    <w:rsid w:val="00982438"/>
    <w:rsid w:val="00982696"/>
    <w:rsid w:val="00982A06"/>
    <w:rsid w:val="0098404C"/>
    <w:rsid w:val="00984209"/>
    <w:rsid w:val="009844EC"/>
    <w:rsid w:val="00984A57"/>
    <w:rsid w:val="00984D01"/>
    <w:rsid w:val="00985283"/>
    <w:rsid w:val="009852C8"/>
    <w:rsid w:val="0098544E"/>
    <w:rsid w:val="009855C4"/>
    <w:rsid w:val="0098576E"/>
    <w:rsid w:val="009857C9"/>
    <w:rsid w:val="009861FA"/>
    <w:rsid w:val="0098703C"/>
    <w:rsid w:val="00990106"/>
    <w:rsid w:val="0099102C"/>
    <w:rsid w:val="00991344"/>
    <w:rsid w:val="00991410"/>
    <w:rsid w:val="0099193C"/>
    <w:rsid w:val="0099229E"/>
    <w:rsid w:val="009924CA"/>
    <w:rsid w:val="0099308E"/>
    <w:rsid w:val="00993DFD"/>
    <w:rsid w:val="00993E19"/>
    <w:rsid w:val="00994C10"/>
    <w:rsid w:val="00994DE6"/>
    <w:rsid w:val="00994E0E"/>
    <w:rsid w:val="0099533D"/>
    <w:rsid w:val="00995992"/>
    <w:rsid w:val="00995F2F"/>
    <w:rsid w:val="009965AD"/>
    <w:rsid w:val="009968D5"/>
    <w:rsid w:val="009970C4"/>
    <w:rsid w:val="00997170"/>
    <w:rsid w:val="0099721A"/>
    <w:rsid w:val="00997238"/>
    <w:rsid w:val="0099723F"/>
    <w:rsid w:val="00997E1A"/>
    <w:rsid w:val="009A03E5"/>
    <w:rsid w:val="009A05CB"/>
    <w:rsid w:val="009A0887"/>
    <w:rsid w:val="009A0BD6"/>
    <w:rsid w:val="009A0F3B"/>
    <w:rsid w:val="009A11C0"/>
    <w:rsid w:val="009A14BF"/>
    <w:rsid w:val="009A160D"/>
    <w:rsid w:val="009A1BB4"/>
    <w:rsid w:val="009A2025"/>
    <w:rsid w:val="009A2628"/>
    <w:rsid w:val="009A2C70"/>
    <w:rsid w:val="009A31C6"/>
    <w:rsid w:val="009A3200"/>
    <w:rsid w:val="009A3C77"/>
    <w:rsid w:val="009A45E5"/>
    <w:rsid w:val="009A4EC8"/>
    <w:rsid w:val="009A5282"/>
    <w:rsid w:val="009A5362"/>
    <w:rsid w:val="009A5D2C"/>
    <w:rsid w:val="009A5E6D"/>
    <w:rsid w:val="009A6517"/>
    <w:rsid w:val="009A6659"/>
    <w:rsid w:val="009A6EFB"/>
    <w:rsid w:val="009A6F97"/>
    <w:rsid w:val="009A7489"/>
    <w:rsid w:val="009A7F54"/>
    <w:rsid w:val="009B03D1"/>
    <w:rsid w:val="009B06E0"/>
    <w:rsid w:val="009B0897"/>
    <w:rsid w:val="009B096D"/>
    <w:rsid w:val="009B0C13"/>
    <w:rsid w:val="009B109B"/>
    <w:rsid w:val="009B1142"/>
    <w:rsid w:val="009B1420"/>
    <w:rsid w:val="009B14FF"/>
    <w:rsid w:val="009B1633"/>
    <w:rsid w:val="009B1E26"/>
    <w:rsid w:val="009B3063"/>
    <w:rsid w:val="009B35CB"/>
    <w:rsid w:val="009B3864"/>
    <w:rsid w:val="009B46E8"/>
    <w:rsid w:val="009B5752"/>
    <w:rsid w:val="009B579A"/>
    <w:rsid w:val="009B5D38"/>
    <w:rsid w:val="009B5F3C"/>
    <w:rsid w:val="009B6E90"/>
    <w:rsid w:val="009B6FC8"/>
    <w:rsid w:val="009B7233"/>
    <w:rsid w:val="009B7410"/>
    <w:rsid w:val="009B7BD9"/>
    <w:rsid w:val="009C13EA"/>
    <w:rsid w:val="009C1C4D"/>
    <w:rsid w:val="009C1F6E"/>
    <w:rsid w:val="009C2DCD"/>
    <w:rsid w:val="009C3180"/>
    <w:rsid w:val="009C3218"/>
    <w:rsid w:val="009C3FDE"/>
    <w:rsid w:val="009C4783"/>
    <w:rsid w:val="009C48AA"/>
    <w:rsid w:val="009C6D10"/>
    <w:rsid w:val="009C6F55"/>
    <w:rsid w:val="009C735B"/>
    <w:rsid w:val="009C76F2"/>
    <w:rsid w:val="009C7ABE"/>
    <w:rsid w:val="009C7CD5"/>
    <w:rsid w:val="009C7DD5"/>
    <w:rsid w:val="009D0AC4"/>
    <w:rsid w:val="009D0C84"/>
    <w:rsid w:val="009D0E0F"/>
    <w:rsid w:val="009D1A63"/>
    <w:rsid w:val="009D1B82"/>
    <w:rsid w:val="009D285C"/>
    <w:rsid w:val="009D2D6C"/>
    <w:rsid w:val="009D2F1C"/>
    <w:rsid w:val="009D319F"/>
    <w:rsid w:val="009D3AA5"/>
    <w:rsid w:val="009D3EFB"/>
    <w:rsid w:val="009D4310"/>
    <w:rsid w:val="009D4B65"/>
    <w:rsid w:val="009D5357"/>
    <w:rsid w:val="009D5806"/>
    <w:rsid w:val="009D6AB7"/>
    <w:rsid w:val="009D6BCC"/>
    <w:rsid w:val="009D7161"/>
    <w:rsid w:val="009D74B8"/>
    <w:rsid w:val="009D78F9"/>
    <w:rsid w:val="009D7905"/>
    <w:rsid w:val="009E0268"/>
    <w:rsid w:val="009E052E"/>
    <w:rsid w:val="009E0642"/>
    <w:rsid w:val="009E13FF"/>
    <w:rsid w:val="009E1AC7"/>
    <w:rsid w:val="009E1B45"/>
    <w:rsid w:val="009E227D"/>
    <w:rsid w:val="009E2AB1"/>
    <w:rsid w:val="009E31B7"/>
    <w:rsid w:val="009E3CA2"/>
    <w:rsid w:val="009E3FF1"/>
    <w:rsid w:val="009E4204"/>
    <w:rsid w:val="009E4352"/>
    <w:rsid w:val="009E465B"/>
    <w:rsid w:val="009E4CAF"/>
    <w:rsid w:val="009E5019"/>
    <w:rsid w:val="009E53FE"/>
    <w:rsid w:val="009E5A13"/>
    <w:rsid w:val="009E5A40"/>
    <w:rsid w:val="009E5D97"/>
    <w:rsid w:val="009E5FA8"/>
    <w:rsid w:val="009E63FE"/>
    <w:rsid w:val="009E64EC"/>
    <w:rsid w:val="009E6749"/>
    <w:rsid w:val="009E6F09"/>
    <w:rsid w:val="009F0165"/>
    <w:rsid w:val="009F0707"/>
    <w:rsid w:val="009F0C39"/>
    <w:rsid w:val="009F0EF9"/>
    <w:rsid w:val="009F1177"/>
    <w:rsid w:val="009F1853"/>
    <w:rsid w:val="009F1927"/>
    <w:rsid w:val="009F1E79"/>
    <w:rsid w:val="009F1E84"/>
    <w:rsid w:val="009F203E"/>
    <w:rsid w:val="009F3542"/>
    <w:rsid w:val="009F3AD0"/>
    <w:rsid w:val="009F3D87"/>
    <w:rsid w:val="009F441C"/>
    <w:rsid w:val="009F4426"/>
    <w:rsid w:val="009F45F6"/>
    <w:rsid w:val="009F474E"/>
    <w:rsid w:val="009F48D2"/>
    <w:rsid w:val="009F50A3"/>
    <w:rsid w:val="009F619F"/>
    <w:rsid w:val="009F7DC3"/>
    <w:rsid w:val="009F7E62"/>
    <w:rsid w:val="00A00E20"/>
    <w:rsid w:val="00A01293"/>
    <w:rsid w:val="00A01E96"/>
    <w:rsid w:val="00A0288E"/>
    <w:rsid w:val="00A0432E"/>
    <w:rsid w:val="00A04F1B"/>
    <w:rsid w:val="00A0501B"/>
    <w:rsid w:val="00A0552E"/>
    <w:rsid w:val="00A05EB0"/>
    <w:rsid w:val="00A05EC1"/>
    <w:rsid w:val="00A062A8"/>
    <w:rsid w:val="00A06BA7"/>
    <w:rsid w:val="00A07691"/>
    <w:rsid w:val="00A078C4"/>
    <w:rsid w:val="00A1059A"/>
    <w:rsid w:val="00A107B2"/>
    <w:rsid w:val="00A10852"/>
    <w:rsid w:val="00A119C9"/>
    <w:rsid w:val="00A1212C"/>
    <w:rsid w:val="00A124CA"/>
    <w:rsid w:val="00A12844"/>
    <w:rsid w:val="00A12CAF"/>
    <w:rsid w:val="00A13BA7"/>
    <w:rsid w:val="00A14947"/>
    <w:rsid w:val="00A14D7C"/>
    <w:rsid w:val="00A15194"/>
    <w:rsid w:val="00A15C84"/>
    <w:rsid w:val="00A15CE4"/>
    <w:rsid w:val="00A15E03"/>
    <w:rsid w:val="00A16387"/>
    <w:rsid w:val="00A1715D"/>
    <w:rsid w:val="00A21BE3"/>
    <w:rsid w:val="00A221CA"/>
    <w:rsid w:val="00A22528"/>
    <w:rsid w:val="00A22DD3"/>
    <w:rsid w:val="00A23C47"/>
    <w:rsid w:val="00A244DB"/>
    <w:rsid w:val="00A24A87"/>
    <w:rsid w:val="00A25458"/>
    <w:rsid w:val="00A256ED"/>
    <w:rsid w:val="00A2583E"/>
    <w:rsid w:val="00A259C5"/>
    <w:rsid w:val="00A25A42"/>
    <w:rsid w:val="00A26994"/>
    <w:rsid w:val="00A27680"/>
    <w:rsid w:val="00A27939"/>
    <w:rsid w:val="00A3038E"/>
    <w:rsid w:val="00A305A1"/>
    <w:rsid w:val="00A3077A"/>
    <w:rsid w:val="00A30AAB"/>
    <w:rsid w:val="00A30B73"/>
    <w:rsid w:val="00A30DBC"/>
    <w:rsid w:val="00A310D4"/>
    <w:rsid w:val="00A32005"/>
    <w:rsid w:val="00A32586"/>
    <w:rsid w:val="00A328C1"/>
    <w:rsid w:val="00A329A8"/>
    <w:rsid w:val="00A32A83"/>
    <w:rsid w:val="00A32C77"/>
    <w:rsid w:val="00A336E4"/>
    <w:rsid w:val="00A33C29"/>
    <w:rsid w:val="00A34502"/>
    <w:rsid w:val="00A34DAA"/>
    <w:rsid w:val="00A34F53"/>
    <w:rsid w:val="00A34FC3"/>
    <w:rsid w:val="00A368DB"/>
    <w:rsid w:val="00A37929"/>
    <w:rsid w:val="00A401B4"/>
    <w:rsid w:val="00A402DD"/>
    <w:rsid w:val="00A40718"/>
    <w:rsid w:val="00A409DB"/>
    <w:rsid w:val="00A41A7D"/>
    <w:rsid w:val="00A423AA"/>
    <w:rsid w:val="00A43169"/>
    <w:rsid w:val="00A431D5"/>
    <w:rsid w:val="00A431ED"/>
    <w:rsid w:val="00A43402"/>
    <w:rsid w:val="00A44476"/>
    <w:rsid w:val="00A44848"/>
    <w:rsid w:val="00A44A29"/>
    <w:rsid w:val="00A44B54"/>
    <w:rsid w:val="00A44B76"/>
    <w:rsid w:val="00A44DFE"/>
    <w:rsid w:val="00A472B8"/>
    <w:rsid w:val="00A47734"/>
    <w:rsid w:val="00A4797C"/>
    <w:rsid w:val="00A47A02"/>
    <w:rsid w:val="00A47B9B"/>
    <w:rsid w:val="00A47C79"/>
    <w:rsid w:val="00A47F34"/>
    <w:rsid w:val="00A501C6"/>
    <w:rsid w:val="00A5037C"/>
    <w:rsid w:val="00A5089A"/>
    <w:rsid w:val="00A5140F"/>
    <w:rsid w:val="00A518D3"/>
    <w:rsid w:val="00A518FA"/>
    <w:rsid w:val="00A51A26"/>
    <w:rsid w:val="00A52551"/>
    <w:rsid w:val="00A529EA"/>
    <w:rsid w:val="00A534FB"/>
    <w:rsid w:val="00A53EC6"/>
    <w:rsid w:val="00A541C3"/>
    <w:rsid w:val="00A54F41"/>
    <w:rsid w:val="00A557C3"/>
    <w:rsid w:val="00A55C0F"/>
    <w:rsid w:val="00A55E7E"/>
    <w:rsid w:val="00A55F6E"/>
    <w:rsid w:val="00A55FB4"/>
    <w:rsid w:val="00A56180"/>
    <w:rsid w:val="00A569AA"/>
    <w:rsid w:val="00A56C18"/>
    <w:rsid w:val="00A575FB"/>
    <w:rsid w:val="00A5788D"/>
    <w:rsid w:val="00A57CB4"/>
    <w:rsid w:val="00A60B43"/>
    <w:rsid w:val="00A60F9A"/>
    <w:rsid w:val="00A6174E"/>
    <w:rsid w:val="00A618AE"/>
    <w:rsid w:val="00A61D6A"/>
    <w:rsid w:val="00A634F1"/>
    <w:rsid w:val="00A641B9"/>
    <w:rsid w:val="00A64598"/>
    <w:rsid w:val="00A646C5"/>
    <w:rsid w:val="00A64BB6"/>
    <w:rsid w:val="00A65500"/>
    <w:rsid w:val="00A657D4"/>
    <w:rsid w:val="00A657FB"/>
    <w:rsid w:val="00A663DE"/>
    <w:rsid w:val="00A66E60"/>
    <w:rsid w:val="00A67375"/>
    <w:rsid w:val="00A701B4"/>
    <w:rsid w:val="00A70261"/>
    <w:rsid w:val="00A702F3"/>
    <w:rsid w:val="00A70506"/>
    <w:rsid w:val="00A70B2B"/>
    <w:rsid w:val="00A71051"/>
    <w:rsid w:val="00A71245"/>
    <w:rsid w:val="00A715FE"/>
    <w:rsid w:val="00A71DE1"/>
    <w:rsid w:val="00A72109"/>
    <w:rsid w:val="00A7224B"/>
    <w:rsid w:val="00A723A8"/>
    <w:rsid w:val="00A72511"/>
    <w:rsid w:val="00A729AF"/>
    <w:rsid w:val="00A73666"/>
    <w:rsid w:val="00A73B53"/>
    <w:rsid w:val="00A73BED"/>
    <w:rsid w:val="00A7441C"/>
    <w:rsid w:val="00A746B3"/>
    <w:rsid w:val="00A74E88"/>
    <w:rsid w:val="00A75A0C"/>
    <w:rsid w:val="00A760F6"/>
    <w:rsid w:val="00A779F0"/>
    <w:rsid w:val="00A779F6"/>
    <w:rsid w:val="00A779FE"/>
    <w:rsid w:val="00A800EC"/>
    <w:rsid w:val="00A80168"/>
    <w:rsid w:val="00A808AE"/>
    <w:rsid w:val="00A808C7"/>
    <w:rsid w:val="00A80EA5"/>
    <w:rsid w:val="00A8124C"/>
    <w:rsid w:val="00A8274F"/>
    <w:rsid w:val="00A8288A"/>
    <w:rsid w:val="00A82A2D"/>
    <w:rsid w:val="00A82B2B"/>
    <w:rsid w:val="00A82BD2"/>
    <w:rsid w:val="00A8361B"/>
    <w:rsid w:val="00A83796"/>
    <w:rsid w:val="00A84ECB"/>
    <w:rsid w:val="00A854AA"/>
    <w:rsid w:val="00A855D9"/>
    <w:rsid w:val="00A85751"/>
    <w:rsid w:val="00A85FC9"/>
    <w:rsid w:val="00A86C6F"/>
    <w:rsid w:val="00A8713F"/>
    <w:rsid w:val="00A8729C"/>
    <w:rsid w:val="00A874CA"/>
    <w:rsid w:val="00A907CF"/>
    <w:rsid w:val="00A90BA1"/>
    <w:rsid w:val="00A90F81"/>
    <w:rsid w:val="00A9236D"/>
    <w:rsid w:val="00A931FD"/>
    <w:rsid w:val="00A938F2"/>
    <w:rsid w:val="00A94DB0"/>
    <w:rsid w:val="00A957D0"/>
    <w:rsid w:val="00A95A11"/>
    <w:rsid w:val="00A95C32"/>
    <w:rsid w:val="00A96AD1"/>
    <w:rsid w:val="00A96C86"/>
    <w:rsid w:val="00A96C9F"/>
    <w:rsid w:val="00A97A9A"/>
    <w:rsid w:val="00A97B08"/>
    <w:rsid w:val="00A97C9E"/>
    <w:rsid w:val="00AA00EC"/>
    <w:rsid w:val="00AA017E"/>
    <w:rsid w:val="00AA0218"/>
    <w:rsid w:val="00AA0419"/>
    <w:rsid w:val="00AA0671"/>
    <w:rsid w:val="00AA0E49"/>
    <w:rsid w:val="00AA10EC"/>
    <w:rsid w:val="00AA1491"/>
    <w:rsid w:val="00AA18BD"/>
    <w:rsid w:val="00AA18EA"/>
    <w:rsid w:val="00AA1978"/>
    <w:rsid w:val="00AA19AF"/>
    <w:rsid w:val="00AA1D1B"/>
    <w:rsid w:val="00AA20CC"/>
    <w:rsid w:val="00AA2531"/>
    <w:rsid w:val="00AA25D0"/>
    <w:rsid w:val="00AA3144"/>
    <w:rsid w:val="00AA3991"/>
    <w:rsid w:val="00AA3A2F"/>
    <w:rsid w:val="00AA3DBC"/>
    <w:rsid w:val="00AA42B9"/>
    <w:rsid w:val="00AA4373"/>
    <w:rsid w:val="00AA4AA1"/>
    <w:rsid w:val="00AA4C44"/>
    <w:rsid w:val="00AA51C4"/>
    <w:rsid w:val="00AA539D"/>
    <w:rsid w:val="00AA560E"/>
    <w:rsid w:val="00AA61E0"/>
    <w:rsid w:val="00AA62FA"/>
    <w:rsid w:val="00AA6B65"/>
    <w:rsid w:val="00AA6C9E"/>
    <w:rsid w:val="00AA6DA2"/>
    <w:rsid w:val="00AA6FE2"/>
    <w:rsid w:val="00AA7222"/>
    <w:rsid w:val="00AA7DDF"/>
    <w:rsid w:val="00AB0152"/>
    <w:rsid w:val="00AB0326"/>
    <w:rsid w:val="00AB06BB"/>
    <w:rsid w:val="00AB0A69"/>
    <w:rsid w:val="00AB0B3C"/>
    <w:rsid w:val="00AB1247"/>
    <w:rsid w:val="00AB1291"/>
    <w:rsid w:val="00AB152F"/>
    <w:rsid w:val="00AB1696"/>
    <w:rsid w:val="00AB1E09"/>
    <w:rsid w:val="00AB1E38"/>
    <w:rsid w:val="00AB2398"/>
    <w:rsid w:val="00AB26B9"/>
    <w:rsid w:val="00AB2855"/>
    <w:rsid w:val="00AB2FFB"/>
    <w:rsid w:val="00AB33C5"/>
    <w:rsid w:val="00AB4169"/>
    <w:rsid w:val="00AB442F"/>
    <w:rsid w:val="00AB4D92"/>
    <w:rsid w:val="00AB5330"/>
    <w:rsid w:val="00AB5372"/>
    <w:rsid w:val="00AB55CB"/>
    <w:rsid w:val="00AB5A60"/>
    <w:rsid w:val="00AB62F3"/>
    <w:rsid w:val="00AB65DD"/>
    <w:rsid w:val="00AB66BF"/>
    <w:rsid w:val="00AB6863"/>
    <w:rsid w:val="00AB6980"/>
    <w:rsid w:val="00AB6B44"/>
    <w:rsid w:val="00AB737B"/>
    <w:rsid w:val="00AB73CB"/>
    <w:rsid w:val="00AB7747"/>
    <w:rsid w:val="00AC0E2F"/>
    <w:rsid w:val="00AC0F7C"/>
    <w:rsid w:val="00AC1291"/>
    <w:rsid w:val="00AC14CE"/>
    <w:rsid w:val="00AC1DA3"/>
    <w:rsid w:val="00AC1F51"/>
    <w:rsid w:val="00AC28D1"/>
    <w:rsid w:val="00AC2A56"/>
    <w:rsid w:val="00AC3075"/>
    <w:rsid w:val="00AC3697"/>
    <w:rsid w:val="00AC3BB0"/>
    <w:rsid w:val="00AC4022"/>
    <w:rsid w:val="00AC4572"/>
    <w:rsid w:val="00AC46DB"/>
    <w:rsid w:val="00AC53F0"/>
    <w:rsid w:val="00AC6444"/>
    <w:rsid w:val="00AC657F"/>
    <w:rsid w:val="00AC6643"/>
    <w:rsid w:val="00AC6FEC"/>
    <w:rsid w:val="00AC738A"/>
    <w:rsid w:val="00AC7862"/>
    <w:rsid w:val="00AC7A32"/>
    <w:rsid w:val="00AD0482"/>
    <w:rsid w:val="00AD055E"/>
    <w:rsid w:val="00AD12C7"/>
    <w:rsid w:val="00AD181E"/>
    <w:rsid w:val="00AD1873"/>
    <w:rsid w:val="00AD1C20"/>
    <w:rsid w:val="00AD1D9C"/>
    <w:rsid w:val="00AD2564"/>
    <w:rsid w:val="00AD2EF4"/>
    <w:rsid w:val="00AD3C41"/>
    <w:rsid w:val="00AD47A7"/>
    <w:rsid w:val="00AD5A05"/>
    <w:rsid w:val="00AD5AB9"/>
    <w:rsid w:val="00AD6579"/>
    <w:rsid w:val="00AD69F0"/>
    <w:rsid w:val="00AD7340"/>
    <w:rsid w:val="00AD7A8C"/>
    <w:rsid w:val="00AE0372"/>
    <w:rsid w:val="00AE08ED"/>
    <w:rsid w:val="00AE1265"/>
    <w:rsid w:val="00AE1A1F"/>
    <w:rsid w:val="00AE1A94"/>
    <w:rsid w:val="00AE1CEC"/>
    <w:rsid w:val="00AE2FF8"/>
    <w:rsid w:val="00AE3A64"/>
    <w:rsid w:val="00AE3B63"/>
    <w:rsid w:val="00AE3B9C"/>
    <w:rsid w:val="00AE3C04"/>
    <w:rsid w:val="00AE42FA"/>
    <w:rsid w:val="00AE463B"/>
    <w:rsid w:val="00AE4AA3"/>
    <w:rsid w:val="00AE4CA4"/>
    <w:rsid w:val="00AE4E1C"/>
    <w:rsid w:val="00AE506D"/>
    <w:rsid w:val="00AE50E0"/>
    <w:rsid w:val="00AE513B"/>
    <w:rsid w:val="00AE5330"/>
    <w:rsid w:val="00AE551D"/>
    <w:rsid w:val="00AE5726"/>
    <w:rsid w:val="00AE5A77"/>
    <w:rsid w:val="00AE5ABA"/>
    <w:rsid w:val="00AE61B4"/>
    <w:rsid w:val="00AE66DD"/>
    <w:rsid w:val="00AE7651"/>
    <w:rsid w:val="00AE7A1D"/>
    <w:rsid w:val="00AE7ED9"/>
    <w:rsid w:val="00AF0453"/>
    <w:rsid w:val="00AF0CBF"/>
    <w:rsid w:val="00AF11F2"/>
    <w:rsid w:val="00AF257F"/>
    <w:rsid w:val="00AF33CF"/>
    <w:rsid w:val="00AF43C5"/>
    <w:rsid w:val="00AF4B86"/>
    <w:rsid w:val="00AF4C46"/>
    <w:rsid w:val="00AF4D50"/>
    <w:rsid w:val="00AF532D"/>
    <w:rsid w:val="00AF5A32"/>
    <w:rsid w:val="00AF6179"/>
    <w:rsid w:val="00AF6268"/>
    <w:rsid w:val="00AF6496"/>
    <w:rsid w:val="00AF64BF"/>
    <w:rsid w:val="00AF66D2"/>
    <w:rsid w:val="00AF68AB"/>
    <w:rsid w:val="00AF6B44"/>
    <w:rsid w:val="00AF6F36"/>
    <w:rsid w:val="00AF7006"/>
    <w:rsid w:val="00AF7326"/>
    <w:rsid w:val="00AF7834"/>
    <w:rsid w:val="00AF7ABA"/>
    <w:rsid w:val="00B002F7"/>
    <w:rsid w:val="00B00D14"/>
    <w:rsid w:val="00B01196"/>
    <w:rsid w:val="00B0168D"/>
    <w:rsid w:val="00B0192B"/>
    <w:rsid w:val="00B01C6F"/>
    <w:rsid w:val="00B020A1"/>
    <w:rsid w:val="00B024BC"/>
    <w:rsid w:val="00B024C4"/>
    <w:rsid w:val="00B03307"/>
    <w:rsid w:val="00B0386B"/>
    <w:rsid w:val="00B03A0E"/>
    <w:rsid w:val="00B03CB4"/>
    <w:rsid w:val="00B03D1E"/>
    <w:rsid w:val="00B04092"/>
    <w:rsid w:val="00B047EB"/>
    <w:rsid w:val="00B04FF9"/>
    <w:rsid w:val="00B0511C"/>
    <w:rsid w:val="00B05390"/>
    <w:rsid w:val="00B058CE"/>
    <w:rsid w:val="00B058E4"/>
    <w:rsid w:val="00B067CC"/>
    <w:rsid w:val="00B067CD"/>
    <w:rsid w:val="00B07640"/>
    <w:rsid w:val="00B0768E"/>
    <w:rsid w:val="00B07B7A"/>
    <w:rsid w:val="00B102B2"/>
    <w:rsid w:val="00B10753"/>
    <w:rsid w:val="00B1111A"/>
    <w:rsid w:val="00B11518"/>
    <w:rsid w:val="00B116F1"/>
    <w:rsid w:val="00B11C14"/>
    <w:rsid w:val="00B1253D"/>
    <w:rsid w:val="00B1272E"/>
    <w:rsid w:val="00B1295A"/>
    <w:rsid w:val="00B12D87"/>
    <w:rsid w:val="00B12F1F"/>
    <w:rsid w:val="00B1303C"/>
    <w:rsid w:val="00B13318"/>
    <w:rsid w:val="00B14166"/>
    <w:rsid w:val="00B15153"/>
    <w:rsid w:val="00B15663"/>
    <w:rsid w:val="00B15CC4"/>
    <w:rsid w:val="00B15E31"/>
    <w:rsid w:val="00B15E73"/>
    <w:rsid w:val="00B16284"/>
    <w:rsid w:val="00B16362"/>
    <w:rsid w:val="00B16572"/>
    <w:rsid w:val="00B1672A"/>
    <w:rsid w:val="00B16AEC"/>
    <w:rsid w:val="00B16CE4"/>
    <w:rsid w:val="00B16ECE"/>
    <w:rsid w:val="00B17247"/>
    <w:rsid w:val="00B17377"/>
    <w:rsid w:val="00B173A2"/>
    <w:rsid w:val="00B17424"/>
    <w:rsid w:val="00B17C7C"/>
    <w:rsid w:val="00B20005"/>
    <w:rsid w:val="00B20132"/>
    <w:rsid w:val="00B20379"/>
    <w:rsid w:val="00B20A45"/>
    <w:rsid w:val="00B21050"/>
    <w:rsid w:val="00B21EF6"/>
    <w:rsid w:val="00B22BE8"/>
    <w:rsid w:val="00B22C5C"/>
    <w:rsid w:val="00B239B2"/>
    <w:rsid w:val="00B23BE3"/>
    <w:rsid w:val="00B24068"/>
    <w:rsid w:val="00B2425A"/>
    <w:rsid w:val="00B24A4F"/>
    <w:rsid w:val="00B24E87"/>
    <w:rsid w:val="00B24F30"/>
    <w:rsid w:val="00B2586D"/>
    <w:rsid w:val="00B26AD1"/>
    <w:rsid w:val="00B273A3"/>
    <w:rsid w:val="00B2778C"/>
    <w:rsid w:val="00B30BA7"/>
    <w:rsid w:val="00B30C94"/>
    <w:rsid w:val="00B3100C"/>
    <w:rsid w:val="00B31830"/>
    <w:rsid w:val="00B31869"/>
    <w:rsid w:val="00B31ABF"/>
    <w:rsid w:val="00B323BD"/>
    <w:rsid w:val="00B33251"/>
    <w:rsid w:val="00B33628"/>
    <w:rsid w:val="00B33874"/>
    <w:rsid w:val="00B33B67"/>
    <w:rsid w:val="00B33BBE"/>
    <w:rsid w:val="00B33BCB"/>
    <w:rsid w:val="00B33BE3"/>
    <w:rsid w:val="00B34C9A"/>
    <w:rsid w:val="00B35102"/>
    <w:rsid w:val="00B35573"/>
    <w:rsid w:val="00B35947"/>
    <w:rsid w:val="00B35EFD"/>
    <w:rsid w:val="00B360EC"/>
    <w:rsid w:val="00B36131"/>
    <w:rsid w:val="00B36266"/>
    <w:rsid w:val="00B36561"/>
    <w:rsid w:val="00B368C0"/>
    <w:rsid w:val="00B36934"/>
    <w:rsid w:val="00B375B2"/>
    <w:rsid w:val="00B37A0D"/>
    <w:rsid w:val="00B37EC3"/>
    <w:rsid w:val="00B404E9"/>
    <w:rsid w:val="00B407E2"/>
    <w:rsid w:val="00B41636"/>
    <w:rsid w:val="00B41B8A"/>
    <w:rsid w:val="00B42700"/>
    <w:rsid w:val="00B43E38"/>
    <w:rsid w:val="00B43EBB"/>
    <w:rsid w:val="00B44962"/>
    <w:rsid w:val="00B44E2C"/>
    <w:rsid w:val="00B4545E"/>
    <w:rsid w:val="00B4588C"/>
    <w:rsid w:val="00B45B27"/>
    <w:rsid w:val="00B45CFB"/>
    <w:rsid w:val="00B45D33"/>
    <w:rsid w:val="00B45FFD"/>
    <w:rsid w:val="00B470A7"/>
    <w:rsid w:val="00B47306"/>
    <w:rsid w:val="00B47CCC"/>
    <w:rsid w:val="00B50217"/>
    <w:rsid w:val="00B50276"/>
    <w:rsid w:val="00B505DE"/>
    <w:rsid w:val="00B518B3"/>
    <w:rsid w:val="00B5206E"/>
    <w:rsid w:val="00B52641"/>
    <w:rsid w:val="00B52858"/>
    <w:rsid w:val="00B528DE"/>
    <w:rsid w:val="00B52D8B"/>
    <w:rsid w:val="00B52F85"/>
    <w:rsid w:val="00B53B0C"/>
    <w:rsid w:val="00B53B5D"/>
    <w:rsid w:val="00B53CAB"/>
    <w:rsid w:val="00B53E51"/>
    <w:rsid w:val="00B54123"/>
    <w:rsid w:val="00B5489C"/>
    <w:rsid w:val="00B54B37"/>
    <w:rsid w:val="00B54CFF"/>
    <w:rsid w:val="00B5513A"/>
    <w:rsid w:val="00B56087"/>
    <w:rsid w:val="00B56822"/>
    <w:rsid w:val="00B5722F"/>
    <w:rsid w:val="00B5744E"/>
    <w:rsid w:val="00B5760A"/>
    <w:rsid w:val="00B60175"/>
    <w:rsid w:val="00B602B8"/>
    <w:rsid w:val="00B603B3"/>
    <w:rsid w:val="00B603CF"/>
    <w:rsid w:val="00B6055E"/>
    <w:rsid w:val="00B60F5B"/>
    <w:rsid w:val="00B6140C"/>
    <w:rsid w:val="00B61595"/>
    <w:rsid w:val="00B61829"/>
    <w:rsid w:val="00B620B1"/>
    <w:rsid w:val="00B621D0"/>
    <w:rsid w:val="00B62822"/>
    <w:rsid w:val="00B62890"/>
    <w:rsid w:val="00B62D09"/>
    <w:rsid w:val="00B63071"/>
    <w:rsid w:val="00B6317D"/>
    <w:rsid w:val="00B63513"/>
    <w:rsid w:val="00B639D5"/>
    <w:rsid w:val="00B63E84"/>
    <w:rsid w:val="00B64581"/>
    <w:rsid w:val="00B64A96"/>
    <w:rsid w:val="00B64AC8"/>
    <w:rsid w:val="00B6543B"/>
    <w:rsid w:val="00B65C54"/>
    <w:rsid w:val="00B664DB"/>
    <w:rsid w:val="00B6739C"/>
    <w:rsid w:val="00B704E9"/>
    <w:rsid w:val="00B708A3"/>
    <w:rsid w:val="00B708E3"/>
    <w:rsid w:val="00B70D6A"/>
    <w:rsid w:val="00B72014"/>
    <w:rsid w:val="00B72857"/>
    <w:rsid w:val="00B72882"/>
    <w:rsid w:val="00B72958"/>
    <w:rsid w:val="00B7304B"/>
    <w:rsid w:val="00B7350E"/>
    <w:rsid w:val="00B74671"/>
    <w:rsid w:val="00B748F2"/>
    <w:rsid w:val="00B74CBF"/>
    <w:rsid w:val="00B74DC0"/>
    <w:rsid w:val="00B756D4"/>
    <w:rsid w:val="00B75A92"/>
    <w:rsid w:val="00B76023"/>
    <w:rsid w:val="00B7603A"/>
    <w:rsid w:val="00B76BD5"/>
    <w:rsid w:val="00B76E6C"/>
    <w:rsid w:val="00B77037"/>
    <w:rsid w:val="00B7723F"/>
    <w:rsid w:val="00B7724D"/>
    <w:rsid w:val="00B77763"/>
    <w:rsid w:val="00B7783A"/>
    <w:rsid w:val="00B779BB"/>
    <w:rsid w:val="00B80534"/>
    <w:rsid w:val="00B81025"/>
    <w:rsid w:val="00B8128A"/>
    <w:rsid w:val="00B81338"/>
    <w:rsid w:val="00B82C3E"/>
    <w:rsid w:val="00B82E12"/>
    <w:rsid w:val="00B8315A"/>
    <w:rsid w:val="00B83386"/>
    <w:rsid w:val="00B8357F"/>
    <w:rsid w:val="00B838A9"/>
    <w:rsid w:val="00B83936"/>
    <w:rsid w:val="00B8433C"/>
    <w:rsid w:val="00B85B95"/>
    <w:rsid w:val="00B871E4"/>
    <w:rsid w:val="00B87323"/>
    <w:rsid w:val="00B87491"/>
    <w:rsid w:val="00B8751F"/>
    <w:rsid w:val="00B87910"/>
    <w:rsid w:val="00B87A7C"/>
    <w:rsid w:val="00B87F05"/>
    <w:rsid w:val="00B90A14"/>
    <w:rsid w:val="00B90A24"/>
    <w:rsid w:val="00B90EF0"/>
    <w:rsid w:val="00B913D5"/>
    <w:rsid w:val="00B91B15"/>
    <w:rsid w:val="00B91CBE"/>
    <w:rsid w:val="00B92336"/>
    <w:rsid w:val="00B9359D"/>
    <w:rsid w:val="00B93DB8"/>
    <w:rsid w:val="00B944E6"/>
    <w:rsid w:val="00B9489F"/>
    <w:rsid w:val="00B94990"/>
    <w:rsid w:val="00B9518D"/>
    <w:rsid w:val="00B95777"/>
    <w:rsid w:val="00B957B7"/>
    <w:rsid w:val="00B95880"/>
    <w:rsid w:val="00B966F0"/>
    <w:rsid w:val="00B97208"/>
    <w:rsid w:val="00B9771A"/>
    <w:rsid w:val="00B97C28"/>
    <w:rsid w:val="00B97E6B"/>
    <w:rsid w:val="00BA038F"/>
    <w:rsid w:val="00BA0688"/>
    <w:rsid w:val="00BA0EE9"/>
    <w:rsid w:val="00BA1063"/>
    <w:rsid w:val="00BA17B0"/>
    <w:rsid w:val="00BA19EC"/>
    <w:rsid w:val="00BA1E7B"/>
    <w:rsid w:val="00BA1F3E"/>
    <w:rsid w:val="00BA222B"/>
    <w:rsid w:val="00BA2429"/>
    <w:rsid w:val="00BA244E"/>
    <w:rsid w:val="00BA29E9"/>
    <w:rsid w:val="00BA356E"/>
    <w:rsid w:val="00BA3FF1"/>
    <w:rsid w:val="00BA4044"/>
    <w:rsid w:val="00BA4281"/>
    <w:rsid w:val="00BA4ABC"/>
    <w:rsid w:val="00BA4B2D"/>
    <w:rsid w:val="00BA4CD7"/>
    <w:rsid w:val="00BA51F7"/>
    <w:rsid w:val="00BA64CD"/>
    <w:rsid w:val="00BA6A2F"/>
    <w:rsid w:val="00BA6E99"/>
    <w:rsid w:val="00BA7142"/>
    <w:rsid w:val="00BA73F7"/>
    <w:rsid w:val="00BA7A31"/>
    <w:rsid w:val="00BB078A"/>
    <w:rsid w:val="00BB0F70"/>
    <w:rsid w:val="00BB1461"/>
    <w:rsid w:val="00BB19EC"/>
    <w:rsid w:val="00BB237C"/>
    <w:rsid w:val="00BB24C1"/>
    <w:rsid w:val="00BB28B3"/>
    <w:rsid w:val="00BB2D9C"/>
    <w:rsid w:val="00BB2F42"/>
    <w:rsid w:val="00BB38B6"/>
    <w:rsid w:val="00BB3ADD"/>
    <w:rsid w:val="00BB3DDA"/>
    <w:rsid w:val="00BB41A3"/>
    <w:rsid w:val="00BB440C"/>
    <w:rsid w:val="00BB47F3"/>
    <w:rsid w:val="00BB5431"/>
    <w:rsid w:val="00BB5707"/>
    <w:rsid w:val="00BB605D"/>
    <w:rsid w:val="00BB6545"/>
    <w:rsid w:val="00BB6D03"/>
    <w:rsid w:val="00BB714D"/>
    <w:rsid w:val="00BB7892"/>
    <w:rsid w:val="00BB7AF1"/>
    <w:rsid w:val="00BB7F8F"/>
    <w:rsid w:val="00BC05E6"/>
    <w:rsid w:val="00BC0925"/>
    <w:rsid w:val="00BC0FFE"/>
    <w:rsid w:val="00BC1029"/>
    <w:rsid w:val="00BC237E"/>
    <w:rsid w:val="00BC2D8C"/>
    <w:rsid w:val="00BC2EDB"/>
    <w:rsid w:val="00BC32DC"/>
    <w:rsid w:val="00BC35B6"/>
    <w:rsid w:val="00BC35C4"/>
    <w:rsid w:val="00BC3CC8"/>
    <w:rsid w:val="00BC3D7B"/>
    <w:rsid w:val="00BC42FB"/>
    <w:rsid w:val="00BC472F"/>
    <w:rsid w:val="00BC49DE"/>
    <w:rsid w:val="00BC4B15"/>
    <w:rsid w:val="00BC5941"/>
    <w:rsid w:val="00BC5962"/>
    <w:rsid w:val="00BC5A36"/>
    <w:rsid w:val="00BC6575"/>
    <w:rsid w:val="00BC6933"/>
    <w:rsid w:val="00BC6B47"/>
    <w:rsid w:val="00BC6DA2"/>
    <w:rsid w:val="00BD12DC"/>
    <w:rsid w:val="00BD146C"/>
    <w:rsid w:val="00BD18DD"/>
    <w:rsid w:val="00BD1B51"/>
    <w:rsid w:val="00BD2563"/>
    <w:rsid w:val="00BD2709"/>
    <w:rsid w:val="00BD2720"/>
    <w:rsid w:val="00BD2B77"/>
    <w:rsid w:val="00BD2DDB"/>
    <w:rsid w:val="00BD2ECB"/>
    <w:rsid w:val="00BD32FA"/>
    <w:rsid w:val="00BD3338"/>
    <w:rsid w:val="00BD41AA"/>
    <w:rsid w:val="00BD4596"/>
    <w:rsid w:val="00BD54FC"/>
    <w:rsid w:val="00BD574E"/>
    <w:rsid w:val="00BD5764"/>
    <w:rsid w:val="00BD598C"/>
    <w:rsid w:val="00BD5F14"/>
    <w:rsid w:val="00BD6173"/>
    <w:rsid w:val="00BD6264"/>
    <w:rsid w:val="00BD653E"/>
    <w:rsid w:val="00BD6C7F"/>
    <w:rsid w:val="00BD6EDF"/>
    <w:rsid w:val="00BD6EE3"/>
    <w:rsid w:val="00BD70D3"/>
    <w:rsid w:val="00BD7FCF"/>
    <w:rsid w:val="00BE0C27"/>
    <w:rsid w:val="00BE0E12"/>
    <w:rsid w:val="00BE1391"/>
    <w:rsid w:val="00BE1405"/>
    <w:rsid w:val="00BE1481"/>
    <w:rsid w:val="00BE1573"/>
    <w:rsid w:val="00BE1767"/>
    <w:rsid w:val="00BE1838"/>
    <w:rsid w:val="00BE199D"/>
    <w:rsid w:val="00BE3027"/>
    <w:rsid w:val="00BE312D"/>
    <w:rsid w:val="00BE35D4"/>
    <w:rsid w:val="00BE3B44"/>
    <w:rsid w:val="00BE4A5E"/>
    <w:rsid w:val="00BE4E10"/>
    <w:rsid w:val="00BE553C"/>
    <w:rsid w:val="00BE57B2"/>
    <w:rsid w:val="00BE69B3"/>
    <w:rsid w:val="00BE6A2A"/>
    <w:rsid w:val="00BE6B0A"/>
    <w:rsid w:val="00BE6D0A"/>
    <w:rsid w:val="00BE730B"/>
    <w:rsid w:val="00BE757D"/>
    <w:rsid w:val="00BE77D7"/>
    <w:rsid w:val="00BE7E7F"/>
    <w:rsid w:val="00BE7F87"/>
    <w:rsid w:val="00BE7FEC"/>
    <w:rsid w:val="00BF0B2E"/>
    <w:rsid w:val="00BF1220"/>
    <w:rsid w:val="00BF1593"/>
    <w:rsid w:val="00BF1C20"/>
    <w:rsid w:val="00BF1C24"/>
    <w:rsid w:val="00BF1D86"/>
    <w:rsid w:val="00BF1F1A"/>
    <w:rsid w:val="00BF2142"/>
    <w:rsid w:val="00BF26A8"/>
    <w:rsid w:val="00BF30CF"/>
    <w:rsid w:val="00BF30E1"/>
    <w:rsid w:val="00BF3645"/>
    <w:rsid w:val="00BF3735"/>
    <w:rsid w:val="00BF3A25"/>
    <w:rsid w:val="00BF3FDD"/>
    <w:rsid w:val="00BF471B"/>
    <w:rsid w:val="00BF4CBC"/>
    <w:rsid w:val="00BF4F1F"/>
    <w:rsid w:val="00BF519A"/>
    <w:rsid w:val="00BF56B4"/>
    <w:rsid w:val="00BF597A"/>
    <w:rsid w:val="00BF5F92"/>
    <w:rsid w:val="00BF6132"/>
    <w:rsid w:val="00BF6A5D"/>
    <w:rsid w:val="00BF6C0C"/>
    <w:rsid w:val="00BF6D16"/>
    <w:rsid w:val="00BF71A3"/>
    <w:rsid w:val="00BF71B8"/>
    <w:rsid w:val="00BF73C4"/>
    <w:rsid w:val="00BF7CC0"/>
    <w:rsid w:val="00C0069B"/>
    <w:rsid w:val="00C00986"/>
    <w:rsid w:val="00C0203E"/>
    <w:rsid w:val="00C0284B"/>
    <w:rsid w:val="00C02D51"/>
    <w:rsid w:val="00C02DB8"/>
    <w:rsid w:val="00C032C3"/>
    <w:rsid w:val="00C036B9"/>
    <w:rsid w:val="00C03AAB"/>
    <w:rsid w:val="00C03B04"/>
    <w:rsid w:val="00C03F92"/>
    <w:rsid w:val="00C0439C"/>
    <w:rsid w:val="00C04571"/>
    <w:rsid w:val="00C04815"/>
    <w:rsid w:val="00C04A69"/>
    <w:rsid w:val="00C04D6B"/>
    <w:rsid w:val="00C04DFA"/>
    <w:rsid w:val="00C05BD6"/>
    <w:rsid w:val="00C05E88"/>
    <w:rsid w:val="00C05ED7"/>
    <w:rsid w:val="00C0647B"/>
    <w:rsid w:val="00C06712"/>
    <w:rsid w:val="00C06AB1"/>
    <w:rsid w:val="00C06CC6"/>
    <w:rsid w:val="00C076CB"/>
    <w:rsid w:val="00C07801"/>
    <w:rsid w:val="00C07A43"/>
    <w:rsid w:val="00C1010C"/>
    <w:rsid w:val="00C10578"/>
    <w:rsid w:val="00C10B48"/>
    <w:rsid w:val="00C10F53"/>
    <w:rsid w:val="00C11676"/>
    <w:rsid w:val="00C12135"/>
    <w:rsid w:val="00C1213B"/>
    <w:rsid w:val="00C12D93"/>
    <w:rsid w:val="00C131C3"/>
    <w:rsid w:val="00C135BC"/>
    <w:rsid w:val="00C138BB"/>
    <w:rsid w:val="00C145B2"/>
    <w:rsid w:val="00C146D0"/>
    <w:rsid w:val="00C146DF"/>
    <w:rsid w:val="00C14935"/>
    <w:rsid w:val="00C149DE"/>
    <w:rsid w:val="00C14F3F"/>
    <w:rsid w:val="00C15552"/>
    <w:rsid w:val="00C15C95"/>
    <w:rsid w:val="00C168E4"/>
    <w:rsid w:val="00C168EC"/>
    <w:rsid w:val="00C200FF"/>
    <w:rsid w:val="00C20699"/>
    <w:rsid w:val="00C20C53"/>
    <w:rsid w:val="00C20DC4"/>
    <w:rsid w:val="00C21855"/>
    <w:rsid w:val="00C21988"/>
    <w:rsid w:val="00C22129"/>
    <w:rsid w:val="00C22426"/>
    <w:rsid w:val="00C224C3"/>
    <w:rsid w:val="00C22622"/>
    <w:rsid w:val="00C22862"/>
    <w:rsid w:val="00C22948"/>
    <w:rsid w:val="00C2299B"/>
    <w:rsid w:val="00C22D71"/>
    <w:rsid w:val="00C23116"/>
    <w:rsid w:val="00C2357D"/>
    <w:rsid w:val="00C236D7"/>
    <w:rsid w:val="00C23D0E"/>
    <w:rsid w:val="00C23EC9"/>
    <w:rsid w:val="00C24316"/>
    <w:rsid w:val="00C24437"/>
    <w:rsid w:val="00C247C6"/>
    <w:rsid w:val="00C2508E"/>
    <w:rsid w:val="00C2596A"/>
    <w:rsid w:val="00C26606"/>
    <w:rsid w:val="00C27537"/>
    <w:rsid w:val="00C27BB3"/>
    <w:rsid w:val="00C27D69"/>
    <w:rsid w:val="00C3043D"/>
    <w:rsid w:val="00C30815"/>
    <w:rsid w:val="00C3255C"/>
    <w:rsid w:val="00C328FE"/>
    <w:rsid w:val="00C32A8D"/>
    <w:rsid w:val="00C33507"/>
    <w:rsid w:val="00C3420E"/>
    <w:rsid w:val="00C3496A"/>
    <w:rsid w:val="00C34B04"/>
    <w:rsid w:val="00C359D5"/>
    <w:rsid w:val="00C35C01"/>
    <w:rsid w:val="00C35CA3"/>
    <w:rsid w:val="00C35DF8"/>
    <w:rsid w:val="00C35F13"/>
    <w:rsid w:val="00C36157"/>
    <w:rsid w:val="00C3626E"/>
    <w:rsid w:val="00C3633F"/>
    <w:rsid w:val="00C36434"/>
    <w:rsid w:val="00C36791"/>
    <w:rsid w:val="00C36CA7"/>
    <w:rsid w:val="00C36CB4"/>
    <w:rsid w:val="00C40029"/>
    <w:rsid w:val="00C40AD8"/>
    <w:rsid w:val="00C4118F"/>
    <w:rsid w:val="00C411C2"/>
    <w:rsid w:val="00C41619"/>
    <w:rsid w:val="00C41AA6"/>
    <w:rsid w:val="00C422B0"/>
    <w:rsid w:val="00C42588"/>
    <w:rsid w:val="00C426F1"/>
    <w:rsid w:val="00C429C2"/>
    <w:rsid w:val="00C42F2F"/>
    <w:rsid w:val="00C43015"/>
    <w:rsid w:val="00C4377C"/>
    <w:rsid w:val="00C438CE"/>
    <w:rsid w:val="00C43F12"/>
    <w:rsid w:val="00C4409D"/>
    <w:rsid w:val="00C4417A"/>
    <w:rsid w:val="00C44373"/>
    <w:rsid w:val="00C44557"/>
    <w:rsid w:val="00C4479D"/>
    <w:rsid w:val="00C44E72"/>
    <w:rsid w:val="00C44F15"/>
    <w:rsid w:val="00C45651"/>
    <w:rsid w:val="00C45A06"/>
    <w:rsid w:val="00C46307"/>
    <w:rsid w:val="00C47098"/>
    <w:rsid w:val="00C47D26"/>
    <w:rsid w:val="00C47E5B"/>
    <w:rsid w:val="00C50029"/>
    <w:rsid w:val="00C50099"/>
    <w:rsid w:val="00C5029A"/>
    <w:rsid w:val="00C503F8"/>
    <w:rsid w:val="00C50604"/>
    <w:rsid w:val="00C50D27"/>
    <w:rsid w:val="00C50F49"/>
    <w:rsid w:val="00C51292"/>
    <w:rsid w:val="00C5170F"/>
    <w:rsid w:val="00C51CEA"/>
    <w:rsid w:val="00C52933"/>
    <w:rsid w:val="00C52DF7"/>
    <w:rsid w:val="00C53D74"/>
    <w:rsid w:val="00C54DF7"/>
    <w:rsid w:val="00C54E4D"/>
    <w:rsid w:val="00C5514D"/>
    <w:rsid w:val="00C55325"/>
    <w:rsid w:val="00C555BE"/>
    <w:rsid w:val="00C55950"/>
    <w:rsid w:val="00C57ACA"/>
    <w:rsid w:val="00C6057B"/>
    <w:rsid w:val="00C60C9C"/>
    <w:rsid w:val="00C60D8C"/>
    <w:rsid w:val="00C61ACE"/>
    <w:rsid w:val="00C61D2B"/>
    <w:rsid w:val="00C61E4B"/>
    <w:rsid w:val="00C6222C"/>
    <w:rsid w:val="00C6249E"/>
    <w:rsid w:val="00C626AF"/>
    <w:rsid w:val="00C62F57"/>
    <w:rsid w:val="00C63E72"/>
    <w:rsid w:val="00C6421C"/>
    <w:rsid w:val="00C64616"/>
    <w:rsid w:val="00C6488C"/>
    <w:rsid w:val="00C64BFF"/>
    <w:rsid w:val="00C64CD6"/>
    <w:rsid w:val="00C64D24"/>
    <w:rsid w:val="00C653D2"/>
    <w:rsid w:val="00C65EF1"/>
    <w:rsid w:val="00C662C6"/>
    <w:rsid w:val="00C66716"/>
    <w:rsid w:val="00C66B94"/>
    <w:rsid w:val="00C66DF6"/>
    <w:rsid w:val="00C675AD"/>
    <w:rsid w:val="00C67B84"/>
    <w:rsid w:val="00C704E9"/>
    <w:rsid w:val="00C70505"/>
    <w:rsid w:val="00C7050F"/>
    <w:rsid w:val="00C70993"/>
    <w:rsid w:val="00C70A97"/>
    <w:rsid w:val="00C70E2B"/>
    <w:rsid w:val="00C71E6B"/>
    <w:rsid w:val="00C72DFF"/>
    <w:rsid w:val="00C72F61"/>
    <w:rsid w:val="00C7360C"/>
    <w:rsid w:val="00C73849"/>
    <w:rsid w:val="00C7402A"/>
    <w:rsid w:val="00C7463A"/>
    <w:rsid w:val="00C74860"/>
    <w:rsid w:val="00C74972"/>
    <w:rsid w:val="00C754A0"/>
    <w:rsid w:val="00C755BE"/>
    <w:rsid w:val="00C758C2"/>
    <w:rsid w:val="00C758C6"/>
    <w:rsid w:val="00C75CCC"/>
    <w:rsid w:val="00C763C9"/>
    <w:rsid w:val="00C76B51"/>
    <w:rsid w:val="00C76B99"/>
    <w:rsid w:val="00C77045"/>
    <w:rsid w:val="00C77AAF"/>
    <w:rsid w:val="00C77C5E"/>
    <w:rsid w:val="00C77E49"/>
    <w:rsid w:val="00C80057"/>
    <w:rsid w:val="00C81287"/>
    <w:rsid w:val="00C81667"/>
    <w:rsid w:val="00C81C85"/>
    <w:rsid w:val="00C82232"/>
    <w:rsid w:val="00C82913"/>
    <w:rsid w:val="00C83DD7"/>
    <w:rsid w:val="00C8434F"/>
    <w:rsid w:val="00C84FFF"/>
    <w:rsid w:val="00C854C3"/>
    <w:rsid w:val="00C855A8"/>
    <w:rsid w:val="00C85740"/>
    <w:rsid w:val="00C8592F"/>
    <w:rsid w:val="00C862C2"/>
    <w:rsid w:val="00C862FC"/>
    <w:rsid w:val="00C86443"/>
    <w:rsid w:val="00C868C7"/>
    <w:rsid w:val="00C86A2D"/>
    <w:rsid w:val="00C86D64"/>
    <w:rsid w:val="00C8736E"/>
    <w:rsid w:val="00C87B74"/>
    <w:rsid w:val="00C87C09"/>
    <w:rsid w:val="00C87E80"/>
    <w:rsid w:val="00C907D2"/>
    <w:rsid w:val="00C90F54"/>
    <w:rsid w:val="00C9164E"/>
    <w:rsid w:val="00C92196"/>
    <w:rsid w:val="00C92D81"/>
    <w:rsid w:val="00C9389A"/>
    <w:rsid w:val="00C93E73"/>
    <w:rsid w:val="00C94555"/>
    <w:rsid w:val="00C94C44"/>
    <w:rsid w:val="00C94E24"/>
    <w:rsid w:val="00C95D21"/>
    <w:rsid w:val="00C95F08"/>
    <w:rsid w:val="00C96EF1"/>
    <w:rsid w:val="00C972B1"/>
    <w:rsid w:val="00C97A0D"/>
    <w:rsid w:val="00CA0320"/>
    <w:rsid w:val="00CA0B64"/>
    <w:rsid w:val="00CA134D"/>
    <w:rsid w:val="00CA27B9"/>
    <w:rsid w:val="00CA2CCE"/>
    <w:rsid w:val="00CA2DAA"/>
    <w:rsid w:val="00CA2E49"/>
    <w:rsid w:val="00CA2EDB"/>
    <w:rsid w:val="00CA334A"/>
    <w:rsid w:val="00CA43FD"/>
    <w:rsid w:val="00CA4A66"/>
    <w:rsid w:val="00CA4D7E"/>
    <w:rsid w:val="00CA5265"/>
    <w:rsid w:val="00CA5792"/>
    <w:rsid w:val="00CA62B0"/>
    <w:rsid w:val="00CA7001"/>
    <w:rsid w:val="00CA7350"/>
    <w:rsid w:val="00CA7EF8"/>
    <w:rsid w:val="00CB219B"/>
    <w:rsid w:val="00CB29A3"/>
    <w:rsid w:val="00CB2FDD"/>
    <w:rsid w:val="00CB30F6"/>
    <w:rsid w:val="00CB317C"/>
    <w:rsid w:val="00CB31F9"/>
    <w:rsid w:val="00CB32F7"/>
    <w:rsid w:val="00CB37B6"/>
    <w:rsid w:val="00CB40A0"/>
    <w:rsid w:val="00CB43AB"/>
    <w:rsid w:val="00CB4795"/>
    <w:rsid w:val="00CB4BAE"/>
    <w:rsid w:val="00CB4C9C"/>
    <w:rsid w:val="00CB5AFB"/>
    <w:rsid w:val="00CB5E0F"/>
    <w:rsid w:val="00CB600B"/>
    <w:rsid w:val="00CB684C"/>
    <w:rsid w:val="00CB6A4B"/>
    <w:rsid w:val="00CB76F0"/>
    <w:rsid w:val="00CB77E3"/>
    <w:rsid w:val="00CB7D15"/>
    <w:rsid w:val="00CC0288"/>
    <w:rsid w:val="00CC0402"/>
    <w:rsid w:val="00CC0852"/>
    <w:rsid w:val="00CC0DF3"/>
    <w:rsid w:val="00CC0E10"/>
    <w:rsid w:val="00CC0E87"/>
    <w:rsid w:val="00CC0F2C"/>
    <w:rsid w:val="00CC2384"/>
    <w:rsid w:val="00CC25CF"/>
    <w:rsid w:val="00CC2991"/>
    <w:rsid w:val="00CC2D28"/>
    <w:rsid w:val="00CC3E40"/>
    <w:rsid w:val="00CC40C5"/>
    <w:rsid w:val="00CC4378"/>
    <w:rsid w:val="00CC4404"/>
    <w:rsid w:val="00CC4489"/>
    <w:rsid w:val="00CC489B"/>
    <w:rsid w:val="00CC6694"/>
    <w:rsid w:val="00CC699E"/>
    <w:rsid w:val="00CC771A"/>
    <w:rsid w:val="00CC7B6F"/>
    <w:rsid w:val="00CD0233"/>
    <w:rsid w:val="00CD117E"/>
    <w:rsid w:val="00CD11CE"/>
    <w:rsid w:val="00CD173B"/>
    <w:rsid w:val="00CD18A0"/>
    <w:rsid w:val="00CD19FA"/>
    <w:rsid w:val="00CD2490"/>
    <w:rsid w:val="00CD26C2"/>
    <w:rsid w:val="00CD28F6"/>
    <w:rsid w:val="00CD2BCD"/>
    <w:rsid w:val="00CD2D5D"/>
    <w:rsid w:val="00CD2F07"/>
    <w:rsid w:val="00CD3530"/>
    <w:rsid w:val="00CD36E2"/>
    <w:rsid w:val="00CD3793"/>
    <w:rsid w:val="00CD3890"/>
    <w:rsid w:val="00CD3A4C"/>
    <w:rsid w:val="00CD456E"/>
    <w:rsid w:val="00CD4733"/>
    <w:rsid w:val="00CD530A"/>
    <w:rsid w:val="00CD5B8E"/>
    <w:rsid w:val="00CD5F6C"/>
    <w:rsid w:val="00CD63E2"/>
    <w:rsid w:val="00CD656F"/>
    <w:rsid w:val="00CD78DE"/>
    <w:rsid w:val="00CD78E0"/>
    <w:rsid w:val="00CD79F3"/>
    <w:rsid w:val="00CD7A29"/>
    <w:rsid w:val="00CD7B93"/>
    <w:rsid w:val="00CE0B47"/>
    <w:rsid w:val="00CE10E9"/>
    <w:rsid w:val="00CE134B"/>
    <w:rsid w:val="00CE14A4"/>
    <w:rsid w:val="00CE16B0"/>
    <w:rsid w:val="00CE19F5"/>
    <w:rsid w:val="00CE1D50"/>
    <w:rsid w:val="00CE1DB9"/>
    <w:rsid w:val="00CE20DE"/>
    <w:rsid w:val="00CE2420"/>
    <w:rsid w:val="00CE2910"/>
    <w:rsid w:val="00CE2D77"/>
    <w:rsid w:val="00CE3105"/>
    <w:rsid w:val="00CE320D"/>
    <w:rsid w:val="00CE352D"/>
    <w:rsid w:val="00CE394D"/>
    <w:rsid w:val="00CE3980"/>
    <w:rsid w:val="00CE4102"/>
    <w:rsid w:val="00CE422F"/>
    <w:rsid w:val="00CE445E"/>
    <w:rsid w:val="00CE46B4"/>
    <w:rsid w:val="00CE46FF"/>
    <w:rsid w:val="00CE4A12"/>
    <w:rsid w:val="00CE5270"/>
    <w:rsid w:val="00CE52B8"/>
    <w:rsid w:val="00CE5334"/>
    <w:rsid w:val="00CE5393"/>
    <w:rsid w:val="00CE5DB9"/>
    <w:rsid w:val="00CE63BA"/>
    <w:rsid w:val="00CE65E1"/>
    <w:rsid w:val="00CE6668"/>
    <w:rsid w:val="00CE6A42"/>
    <w:rsid w:val="00CE789F"/>
    <w:rsid w:val="00CE7A97"/>
    <w:rsid w:val="00CE7ADB"/>
    <w:rsid w:val="00CF0145"/>
    <w:rsid w:val="00CF0998"/>
    <w:rsid w:val="00CF15A6"/>
    <w:rsid w:val="00CF19B0"/>
    <w:rsid w:val="00CF228D"/>
    <w:rsid w:val="00CF30D7"/>
    <w:rsid w:val="00CF3238"/>
    <w:rsid w:val="00CF3255"/>
    <w:rsid w:val="00CF36BE"/>
    <w:rsid w:val="00CF3BA1"/>
    <w:rsid w:val="00CF40DD"/>
    <w:rsid w:val="00CF4A4D"/>
    <w:rsid w:val="00CF4FE5"/>
    <w:rsid w:val="00CF539D"/>
    <w:rsid w:val="00CF5790"/>
    <w:rsid w:val="00CF58D0"/>
    <w:rsid w:val="00CF6000"/>
    <w:rsid w:val="00CF65F9"/>
    <w:rsid w:val="00CF6BA4"/>
    <w:rsid w:val="00CF7355"/>
    <w:rsid w:val="00CF76A6"/>
    <w:rsid w:val="00CF772D"/>
    <w:rsid w:val="00CF7C3B"/>
    <w:rsid w:val="00CF7F2A"/>
    <w:rsid w:val="00D003F3"/>
    <w:rsid w:val="00D00A86"/>
    <w:rsid w:val="00D00ACB"/>
    <w:rsid w:val="00D00CB2"/>
    <w:rsid w:val="00D01C26"/>
    <w:rsid w:val="00D01F71"/>
    <w:rsid w:val="00D02267"/>
    <w:rsid w:val="00D02804"/>
    <w:rsid w:val="00D02919"/>
    <w:rsid w:val="00D02B18"/>
    <w:rsid w:val="00D02DB0"/>
    <w:rsid w:val="00D0352D"/>
    <w:rsid w:val="00D0364F"/>
    <w:rsid w:val="00D03C53"/>
    <w:rsid w:val="00D03E45"/>
    <w:rsid w:val="00D04281"/>
    <w:rsid w:val="00D04680"/>
    <w:rsid w:val="00D048C5"/>
    <w:rsid w:val="00D04DB7"/>
    <w:rsid w:val="00D04EC6"/>
    <w:rsid w:val="00D05481"/>
    <w:rsid w:val="00D0612C"/>
    <w:rsid w:val="00D06834"/>
    <w:rsid w:val="00D06AF7"/>
    <w:rsid w:val="00D0785B"/>
    <w:rsid w:val="00D07C23"/>
    <w:rsid w:val="00D07FBF"/>
    <w:rsid w:val="00D107C7"/>
    <w:rsid w:val="00D107D9"/>
    <w:rsid w:val="00D1154A"/>
    <w:rsid w:val="00D1155B"/>
    <w:rsid w:val="00D11A41"/>
    <w:rsid w:val="00D11DDE"/>
    <w:rsid w:val="00D11F78"/>
    <w:rsid w:val="00D120D5"/>
    <w:rsid w:val="00D123A4"/>
    <w:rsid w:val="00D124D7"/>
    <w:rsid w:val="00D12583"/>
    <w:rsid w:val="00D12748"/>
    <w:rsid w:val="00D13513"/>
    <w:rsid w:val="00D13BE2"/>
    <w:rsid w:val="00D13C66"/>
    <w:rsid w:val="00D145CC"/>
    <w:rsid w:val="00D1465D"/>
    <w:rsid w:val="00D14D8F"/>
    <w:rsid w:val="00D15978"/>
    <w:rsid w:val="00D15CEA"/>
    <w:rsid w:val="00D16539"/>
    <w:rsid w:val="00D165D6"/>
    <w:rsid w:val="00D16D7B"/>
    <w:rsid w:val="00D16E8C"/>
    <w:rsid w:val="00D16F81"/>
    <w:rsid w:val="00D17D68"/>
    <w:rsid w:val="00D2080D"/>
    <w:rsid w:val="00D20B71"/>
    <w:rsid w:val="00D2114B"/>
    <w:rsid w:val="00D212EF"/>
    <w:rsid w:val="00D2142A"/>
    <w:rsid w:val="00D225D8"/>
    <w:rsid w:val="00D226D2"/>
    <w:rsid w:val="00D22930"/>
    <w:rsid w:val="00D22F15"/>
    <w:rsid w:val="00D2386A"/>
    <w:rsid w:val="00D23A85"/>
    <w:rsid w:val="00D24C8E"/>
    <w:rsid w:val="00D24D5D"/>
    <w:rsid w:val="00D250C2"/>
    <w:rsid w:val="00D2577E"/>
    <w:rsid w:val="00D264A4"/>
    <w:rsid w:val="00D26871"/>
    <w:rsid w:val="00D26A6B"/>
    <w:rsid w:val="00D26C55"/>
    <w:rsid w:val="00D26F13"/>
    <w:rsid w:val="00D27B1C"/>
    <w:rsid w:val="00D27F24"/>
    <w:rsid w:val="00D300E2"/>
    <w:rsid w:val="00D30181"/>
    <w:rsid w:val="00D30819"/>
    <w:rsid w:val="00D308ED"/>
    <w:rsid w:val="00D3182F"/>
    <w:rsid w:val="00D31DFF"/>
    <w:rsid w:val="00D32874"/>
    <w:rsid w:val="00D33E3A"/>
    <w:rsid w:val="00D34DB5"/>
    <w:rsid w:val="00D350F1"/>
    <w:rsid w:val="00D35307"/>
    <w:rsid w:val="00D35654"/>
    <w:rsid w:val="00D357CF"/>
    <w:rsid w:val="00D35D24"/>
    <w:rsid w:val="00D369D1"/>
    <w:rsid w:val="00D36D86"/>
    <w:rsid w:val="00D36E50"/>
    <w:rsid w:val="00D3763A"/>
    <w:rsid w:val="00D378BE"/>
    <w:rsid w:val="00D3795D"/>
    <w:rsid w:val="00D40466"/>
    <w:rsid w:val="00D40632"/>
    <w:rsid w:val="00D406AC"/>
    <w:rsid w:val="00D407B2"/>
    <w:rsid w:val="00D40FF1"/>
    <w:rsid w:val="00D411EE"/>
    <w:rsid w:val="00D417FA"/>
    <w:rsid w:val="00D41814"/>
    <w:rsid w:val="00D41CA2"/>
    <w:rsid w:val="00D42687"/>
    <w:rsid w:val="00D426E1"/>
    <w:rsid w:val="00D428AA"/>
    <w:rsid w:val="00D42C78"/>
    <w:rsid w:val="00D432A1"/>
    <w:rsid w:val="00D434BB"/>
    <w:rsid w:val="00D43A60"/>
    <w:rsid w:val="00D4447E"/>
    <w:rsid w:val="00D44661"/>
    <w:rsid w:val="00D45243"/>
    <w:rsid w:val="00D45582"/>
    <w:rsid w:val="00D45DDC"/>
    <w:rsid w:val="00D45FA2"/>
    <w:rsid w:val="00D465F3"/>
    <w:rsid w:val="00D47043"/>
    <w:rsid w:val="00D472D0"/>
    <w:rsid w:val="00D47385"/>
    <w:rsid w:val="00D47574"/>
    <w:rsid w:val="00D47692"/>
    <w:rsid w:val="00D4782F"/>
    <w:rsid w:val="00D478D3"/>
    <w:rsid w:val="00D500D0"/>
    <w:rsid w:val="00D50777"/>
    <w:rsid w:val="00D50A34"/>
    <w:rsid w:val="00D50E73"/>
    <w:rsid w:val="00D50F23"/>
    <w:rsid w:val="00D513AF"/>
    <w:rsid w:val="00D51402"/>
    <w:rsid w:val="00D51793"/>
    <w:rsid w:val="00D51896"/>
    <w:rsid w:val="00D51AC5"/>
    <w:rsid w:val="00D51DBF"/>
    <w:rsid w:val="00D51FC7"/>
    <w:rsid w:val="00D52686"/>
    <w:rsid w:val="00D531BC"/>
    <w:rsid w:val="00D538AE"/>
    <w:rsid w:val="00D53EFA"/>
    <w:rsid w:val="00D540A9"/>
    <w:rsid w:val="00D54272"/>
    <w:rsid w:val="00D54427"/>
    <w:rsid w:val="00D54CA7"/>
    <w:rsid w:val="00D5583C"/>
    <w:rsid w:val="00D55F10"/>
    <w:rsid w:val="00D562EA"/>
    <w:rsid w:val="00D5683A"/>
    <w:rsid w:val="00D56A74"/>
    <w:rsid w:val="00D5765D"/>
    <w:rsid w:val="00D577A3"/>
    <w:rsid w:val="00D577FA"/>
    <w:rsid w:val="00D57B42"/>
    <w:rsid w:val="00D60A30"/>
    <w:rsid w:val="00D60F3A"/>
    <w:rsid w:val="00D62374"/>
    <w:rsid w:val="00D62763"/>
    <w:rsid w:val="00D629F4"/>
    <w:rsid w:val="00D62EBA"/>
    <w:rsid w:val="00D62F32"/>
    <w:rsid w:val="00D63B69"/>
    <w:rsid w:val="00D63F2E"/>
    <w:rsid w:val="00D64154"/>
    <w:rsid w:val="00D6444B"/>
    <w:rsid w:val="00D64B5D"/>
    <w:rsid w:val="00D65341"/>
    <w:rsid w:val="00D65680"/>
    <w:rsid w:val="00D65AA8"/>
    <w:rsid w:val="00D65B20"/>
    <w:rsid w:val="00D66224"/>
    <w:rsid w:val="00D662CF"/>
    <w:rsid w:val="00D66335"/>
    <w:rsid w:val="00D66857"/>
    <w:rsid w:val="00D66ECA"/>
    <w:rsid w:val="00D67CAD"/>
    <w:rsid w:val="00D67CEB"/>
    <w:rsid w:val="00D67F33"/>
    <w:rsid w:val="00D7017E"/>
    <w:rsid w:val="00D703CB"/>
    <w:rsid w:val="00D70EC5"/>
    <w:rsid w:val="00D713DC"/>
    <w:rsid w:val="00D714CF"/>
    <w:rsid w:val="00D71C6B"/>
    <w:rsid w:val="00D71D60"/>
    <w:rsid w:val="00D72601"/>
    <w:rsid w:val="00D72B4C"/>
    <w:rsid w:val="00D72C1C"/>
    <w:rsid w:val="00D72CAA"/>
    <w:rsid w:val="00D742E9"/>
    <w:rsid w:val="00D74342"/>
    <w:rsid w:val="00D7478B"/>
    <w:rsid w:val="00D7493F"/>
    <w:rsid w:val="00D74BD6"/>
    <w:rsid w:val="00D74D09"/>
    <w:rsid w:val="00D755C1"/>
    <w:rsid w:val="00D75A57"/>
    <w:rsid w:val="00D75EDC"/>
    <w:rsid w:val="00D75FDE"/>
    <w:rsid w:val="00D762DE"/>
    <w:rsid w:val="00D76916"/>
    <w:rsid w:val="00D76C87"/>
    <w:rsid w:val="00D77E1F"/>
    <w:rsid w:val="00D80901"/>
    <w:rsid w:val="00D81239"/>
    <w:rsid w:val="00D81422"/>
    <w:rsid w:val="00D818F2"/>
    <w:rsid w:val="00D8194E"/>
    <w:rsid w:val="00D81A4A"/>
    <w:rsid w:val="00D81B6A"/>
    <w:rsid w:val="00D81BA9"/>
    <w:rsid w:val="00D82405"/>
    <w:rsid w:val="00D82F93"/>
    <w:rsid w:val="00D83660"/>
    <w:rsid w:val="00D84017"/>
    <w:rsid w:val="00D8458C"/>
    <w:rsid w:val="00D84F29"/>
    <w:rsid w:val="00D85325"/>
    <w:rsid w:val="00D8553A"/>
    <w:rsid w:val="00D85728"/>
    <w:rsid w:val="00D8589F"/>
    <w:rsid w:val="00D859D0"/>
    <w:rsid w:val="00D86655"/>
    <w:rsid w:val="00D86FED"/>
    <w:rsid w:val="00D8712A"/>
    <w:rsid w:val="00D87345"/>
    <w:rsid w:val="00D875D5"/>
    <w:rsid w:val="00D87ECC"/>
    <w:rsid w:val="00D90305"/>
    <w:rsid w:val="00D907DE"/>
    <w:rsid w:val="00D90D1D"/>
    <w:rsid w:val="00D91175"/>
    <w:rsid w:val="00D9158D"/>
    <w:rsid w:val="00D917E1"/>
    <w:rsid w:val="00D91E36"/>
    <w:rsid w:val="00D92CBC"/>
    <w:rsid w:val="00D9400C"/>
    <w:rsid w:val="00D94469"/>
    <w:rsid w:val="00D94901"/>
    <w:rsid w:val="00D94A7C"/>
    <w:rsid w:val="00D94DBC"/>
    <w:rsid w:val="00D95288"/>
    <w:rsid w:val="00D953E2"/>
    <w:rsid w:val="00D9563F"/>
    <w:rsid w:val="00D95896"/>
    <w:rsid w:val="00D95C2B"/>
    <w:rsid w:val="00D95F91"/>
    <w:rsid w:val="00D96580"/>
    <w:rsid w:val="00D96902"/>
    <w:rsid w:val="00D96C78"/>
    <w:rsid w:val="00DA09D1"/>
    <w:rsid w:val="00DA0F4C"/>
    <w:rsid w:val="00DA12C1"/>
    <w:rsid w:val="00DA169E"/>
    <w:rsid w:val="00DA17CC"/>
    <w:rsid w:val="00DA192E"/>
    <w:rsid w:val="00DA2572"/>
    <w:rsid w:val="00DA27AB"/>
    <w:rsid w:val="00DA2B88"/>
    <w:rsid w:val="00DA3BAA"/>
    <w:rsid w:val="00DA43CD"/>
    <w:rsid w:val="00DA4DFB"/>
    <w:rsid w:val="00DA51E2"/>
    <w:rsid w:val="00DA5D6D"/>
    <w:rsid w:val="00DB0208"/>
    <w:rsid w:val="00DB02CB"/>
    <w:rsid w:val="00DB11FE"/>
    <w:rsid w:val="00DB2825"/>
    <w:rsid w:val="00DB2983"/>
    <w:rsid w:val="00DB2AE1"/>
    <w:rsid w:val="00DB3661"/>
    <w:rsid w:val="00DB39F8"/>
    <w:rsid w:val="00DB423D"/>
    <w:rsid w:val="00DB4303"/>
    <w:rsid w:val="00DB4361"/>
    <w:rsid w:val="00DB4D97"/>
    <w:rsid w:val="00DB5B24"/>
    <w:rsid w:val="00DB5D84"/>
    <w:rsid w:val="00DB7339"/>
    <w:rsid w:val="00DB7656"/>
    <w:rsid w:val="00DB7861"/>
    <w:rsid w:val="00DC03AD"/>
    <w:rsid w:val="00DC0769"/>
    <w:rsid w:val="00DC11FA"/>
    <w:rsid w:val="00DC1257"/>
    <w:rsid w:val="00DC1C6D"/>
    <w:rsid w:val="00DC1C92"/>
    <w:rsid w:val="00DC24F1"/>
    <w:rsid w:val="00DC2724"/>
    <w:rsid w:val="00DC2BD3"/>
    <w:rsid w:val="00DC2DB9"/>
    <w:rsid w:val="00DC2FD8"/>
    <w:rsid w:val="00DC3DC0"/>
    <w:rsid w:val="00DC41BD"/>
    <w:rsid w:val="00DC4B30"/>
    <w:rsid w:val="00DC4CDA"/>
    <w:rsid w:val="00DC5B2B"/>
    <w:rsid w:val="00DC5CE9"/>
    <w:rsid w:val="00DC6AD4"/>
    <w:rsid w:val="00DC7196"/>
    <w:rsid w:val="00DC729F"/>
    <w:rsid w:val="00DD0749"/>
    <w:rsid w:val="00DD08EF"/>
    <w:rsid w:val="00DD0A54"/>
    <w:rsid w:val="00DD1450"/>
    <w:rsid w:val="00DD14A9"/>
    <w:rsid w:val="00DD1518"/>
    <w:rsid w:val="00DD1883"/>
    <w:rsid w:val="00DD1F6A"/>
    <w:rsid w:val="00DD1F8B"/>
    <w:rsid w:val="00DD20C9"/>
    <w:rsid w:val="00DD2409"/>
    <w:rsid w:val="00DD2719"/>
    <w:rsid w:val="00DD318D"/>
    <w:rsid w:val="00DD3667"/>
    <w:rsid w:val="00DD3713"/>
    <w:rsid w:val="00DD37C2"/>
    <w:rsid w:val="00DD39AC"/>
    <w:rsid w:val="00DD3C51"/>
    <w:rsid w:val="00DD3F53"/>
    <w:rsid w:val="00DD4DCB"/>
    <w:rsid w:val="00DD5226"/>
    <w:rsid w:val="00DD54EB"/>
    <w:rsid w:val="00DD5ECA"/>
    <w:rsid w:val="00DD62B1"/>
    <w:rsid w:val="00DD6975"/>
    <w:rsid w:val="00DD6B8B"/>
    <w:rsid w:val="00DD7CCA"/>
    <w:rsid w:val="00DE00C2"/>
    <w:rsid w:val="00DE0A9D"/>
    <w:rsid w:val="00DE0D79"/>
    <w:rsid w:val="00DE1128"/>
    <w:rsid w:val="00DE113C"/>
    <w:rsid w:val="00DE152A"/>
    <w:rsid w:val="00DE16D6"/>
    <w:rsid w:val="00DE17B4"/>
    <w:rsid w:val="00DE1BBA"/>
    <w:rsid w:val="00DE1D07"/>
    <w:rsid w:val="00DE1FA3"/>
    <w:rsid w:val="00DE23BC"/>
    <w:rsid w:val="00DE2549"/>
    <w:rsid w:val="00DE2B5B"/>
    <w:rsid w:val="00DE36D1"/>
    <w:rsid w:val="00DE3924"/>
    <w:rsid w:val="00DE3B10"/>
    <w:rsid w:val="00DE4296"/>
    <w:rsid w:val="00DE4E97"/>
    <w:rsid w:val="00DE51B8"/>
    <w:rsid w:val="00DE5C58"/>
    <w:rsid w:val="00DE5DE9"/>
    <w:rsid w:val="00DE5ED8"/>
    <w:rsid w:val="00DE6D2D"/>
    <w:rsid w:val="00DE7500"/>
    <w:rsid w:val="00DE776B"/>
    <w:rsid w:val="00DE777B"/>
    <w:rsid w:val="00DE78A9"/>
    <w:rsid w:val="00DE7D00"/>
    <w:rsid w:val="00DE7D53"/>
    <w:rsid w:val="00DE7E9F"/>
    <w:rsid w:val="00DE7F2E"/>
    <w:rsid w:val="00DF000C"/>
    <w:rsid w:val="00DF048B"/>
    <w:rsid w:val="00DF0649"/>
    <w:rsid w:val="00DF1ED2"/>
    <w:rsid w:val="00DF25E2"/>
    <w:rsid w:val="00DF2758"/>
    <w:rsid w:val="00DF2E12"/>
    <w:rsid w:val="00DF45C0"/>
    <w:rsid w:val="00DF4DFC"/>
    <w:rsid w:val="00DF4F70"/>
    <w:rsid w:val="00DF514A"/>
    <w:rsid w:val="00DF52F7"/>
    <w:rsid w:val="00DF58D7"/>
    <w:rsid w:val="00DF5B4E"/>
    <w:rsid w:val="00DF5C2B"/>
    <w:rsid w:val="00DF5E7C"/>
    <w:rsid w:val="00DF6690"/>
    <w:rsid w:val="00DF6804"/>
    <w:rsid w:val="00DF6B94"/>
    <w:rsid w:val="00DF7215"/>
    <w:rsid w:val="00DF7D43"/>
    <w:rsid w:val="00DF7EE5"/>
    <w:rsid w:val="00E00014"/>
    <w:rsid w:val="00E00357"/>
    <w:rsid w:val="00E00E7F"/>
    <w:rsid w:val="00E00EC3"/>
    <w:rsid w:val="00E017A2"/>
    <w:rsid w:val="00E020C3"/>
    <w:rsid w:val="00E0213A"/>
    <w:rsid w:val="00E033A5"/>
    <w:rsid w:val="00E034BB"/>
    <w:rsid w:val="00E0358D"/>
    <w:rsid w:val="00E03B67"/>
    <w:rsid w:val="00E0416C"/>
    <w:rsid w:val="00E04323"/>
    <w:rsid w:val="00E048C4"/>
    <w:rsid w:val="00E04D43"/>
    <w:rsid w:val="00E04FD9"/>
    <w:rsid w:val="00E05806"/>
    <w:rsid w:val="00E05CBE"/>
    <w:rsid w:val="00E06021"/>
    <w:rsid w:val="00E06AA2"/>
    <w:rsid w:val="00E06B3D"/>
    <w:rsid w:val="00E06C69"/>
    <w:rsid w:val="00E070A2"/>
    <w:rsid w:val="00E103D5"/>
    <w:rsid w:val="00E10656"/>
    <w:rsid w:val="00E10936"/>
    <w:rsid w:val="00E113C5"/>
    <w:rsid w:val="00E11410"/>
    <w:rsid w:val="00E12316"/>
    <w:rsid w:val="00E1281D"/>
    <w:rsid w:val="00E12A46"/>
    <w:rsid w:val="00E12A5D"/>
    <w:rsid w:val="00E12C9B"/>
    <w:rsid w:val="00E134BA"/>
    <w:rsid w:val="00E13695"/>
    <w:rsid w:val="00E137CF"/>
    <w:rsid w:val="00E14DE5"/>
    <w:rsid w:val="00E150D9"/>
    <w:rsid w:val="00E1518A"/>
    <w:rsid w:val="00E155C8"/>
    <w:rsid w:val="00E1573E"/>
    <w:rsid w:val="00E15EB3"/>
    <w:rsid w:val="00E161C0"/>
    <w:rsid w:val="00E16B3A"/>
    <w:rsid w:val="00E16D60"/>
    <w:rsid w:val="00E16F10"/>
    <w:rsid w:val="00E17828"/>
    <w:rsid w:val="00E17B89"/>
    <w:rsid w:val="00E2044B"/>
    <w:rsid w:val="00E21486"/>
    <w:rsid w:val="00E21D19"/>
    <w:rsid w:val="00E22615"/>
    <w:rsid w:val="00E229F4"/>
    <w:rsid w:val="00E22B40"/>
    <w:rsid w:val="00E235E8"/>
    <w:rsid w:val="00E23DC8"/>
    <w:rsid w:val="00E24286"/>
    <w:rsid w:val="00E2434D"/>
    <w:rsid w:val="00E246E6"/>
    <w:rsid w:val="00E2480D"/>
    <w:rsid w:val="00E24F21"/>
    <w:rsid w:val="00E25208"/>
    <w:rsid w:val="00E25326"/>
    <w:rsid w:val="00E2592F"/>
    <w:rsid w:val="00E259CC"/>
    <w:rsid w:val="00E25B39"/>
    <w:rsid w:val="00E26172"/>
    <w:rsid w:val="00E2656A"/>
    <w:rsid w:val="00E2675F"/>
    <w:rsid w:val="00E27352"/>
    <w:rsid w:val="00E273B8"/>
    <w:rsid w:val="00E27CD8"/>
    <w:rsid w:val="00E27D41"/>
    <w:rsid w:val="00E3004A"/>
    <w:rsid w:val="00E301BC"/>
    <w:rsid w:val="00E30DBB"/>
    <w:rsid w:val="00E30EB0"/>
    <w:rsid w:val="00E3109B"/>
    <w:rsid w:val="00E32089"/>
    <w:rsid w:val="00E326F5"/>
    <w:rsid w:val="00E3315F"/>
    <w:rsid w:val="00E3322B"/>
    <w:rsid w:val="00E34C93"/>
    <w:rsid w:val="00E34D79"/>
    <w:rsid w:val="00E34FA8"/>
    <w:rsid w:val="00E35E53"/>
    <w:rsid w:val="00E35FF3"/>
    <w:rsid w:val="00E36862"/>
    <w:rsid w:val="00E36E60"/>
    <w:rsid w:val="00E3740A"/>
    <w:rsid w:val="00E37496"/>
    <w:rsid w:val="00E37756"/>
    <w:rsid w:val="00E37CC5"/>
    <w:rsid w:val="00E37D45"/>
    <w:rsid w:val="00E40155"/>
    <w:rsid w:val="00E4027A"/>
    <w:rsid w:val="00E4028E"/>
    <w:rsid w:val="00E4087E"/>
    <w:rsid w:val="00E40CDC"/>
    <w:rsid w:val="00E41161"/>
    <w:rsid w:val="00E412D0"/>
    <w:rsid w:val="00E41669"/>
    <w:rsid w:val="00E417B1"/>
    <w:rsid w:val="00E429B6"/>
    <w:rsid w:val="00E42D5E"/>
    <w:rsid w:val="00E443A7"/>
    <w:rsid w:val="00E447B8"/>
    <w:rsid w:val="00E44AAF"/>
    <w:rsid w:val="00E44F86"/>
    <w:rsid w:val="00E46061"/>
    <w:rsid w:val="00E4620D"/>
    <w:rsid w:val="00E4751B"/>
    <w:rsid w:val="00E478E5"/>
    <w:rsid w:val="00E47A93"/>
    <w:rsid w:val="00E47B14"/>
    <w:rsid w:val="00E504AD"/>
    <w:rsid w:val="00E504BA"/>
    <w:rsid w:val="00E50A33"/>
    <w:rsid w:val="00E510F8"/>
    <w:rsid w:val="00E51E92"/>
    <w:rsid w:val="00E51F68"/>
    <w:rsid w:val="00E51FE8"/>
    <w:rsid w:val="00E52015"/>
    <w:rsid w:val="00E5236B"/>
    <w:rsid w:val="00E52828"/>
    <w:rsid w:val="00E52DDD"/>
    <w:rsid w:val="00E534A4"/>
    <w:rsid w:val="00E53594"/>
    <w:rsid w:val="00E53661"/>
    <w:rsid w:val="00E53841"/>
    <w:rsid w:val="00E53A2E"/>
    <w:rsid w:val="00E53BE6"/>
    <w:rsid w:val="00E54260"/>
    <w:rsid w:val="00E54381"/>
    <w:rsid w:val="00E54452"/>
    <w:rsid w:val="00E547F2"/>
    <w:rsid w:val="00E549D8"/>
    <w:rsid w:val="00E54A12"/>
    <w:rsid w:val="00E54BD2"/>
    <w:rsid w:val="00E55334"/>
    <w:rsid w:val="00E55596"/>
    <w:rsid w:val="00E55863"/>
    <w:rsid w:val="00E55B39"/>
    <w:rsid w:val="00E55D15"/>
    <w:rsid w:val="00E56322"/>
    <w:rsid w:val="00E56D81"/>
    <w:rsid w:val="00E57472"/>
    <w:rsid w:val="00E574E2"/>
    <w:rsid w:val="00E57BBD"/>
    <w:rsid w:val="00E60982"/>
    <w:rsid w:val="00E60B7B"/>
    <w:rsid w:val="00E61570"/>
    <w:rsid w:val="00E6204E"/>
    <w:rsid w:val="00E628E6"/>
    <w:rsid w:val="00E62911"/>
    <w:rsid w:val="00E62C62"/>
    <w:rsid w:val="00E62EB7"/>
    <w:rsid w:val="00E6383C"/>
    <w:rsid w:val="00E6386C"/>
    <w:rsid w:val="00E63955"/>
    <w:rsid w:val="00E64128"/>
    <w:rsid w:val="00E64444"/>
    <w:rsid w:val="00E654C1"/>
    <w:rsid w:val="00E655BA"/>
    <w:rsid w:val="00E65D97"/>
    <w:rsid w:val="00E66646"/>
    <w:rsid w:val="00E666A9"/>
    <w:rsid w:val="00E66C85"/>
    <w:rsid w:val="00E66CAB"/>
    <w:rsid w:val="00E6712F"/>
    <w:rsid w:val="00E70705"/>
    <w:rsid w:val="00E70B99"/>
    <w:rsid w:val="00E71145"/>
    <w:rsid w:val="00E717F0"/>
    <w:rsid w:val="00E721C4"/>
    <w:rsid w:val="00E727C7"/>
    <w:rsid w:val="00E72A5A"/>
    <w:rsid w:val="00E73354"/>
    <w:rsid w:val="00E7372C"/>
    <w:rsid w:val="00E73DFC"/>
    <w:rsid w:val="00E73F3F"/>
    <w:rsid w:val="00E73FB0"/>
    <w:rsid w:val="00E741F5"/>
    <w:rsid w:val="00E743B1"/>
    <w:rsid w:val="00E74680"/>
    <w:rsid w:val="00E747FC"/>
    <w:rsid w:val="00E74BCC"/>
    <w:rsid w:val="00E74D2A"/>
    <w:rsid w:val="00E75232"/>
    <w:rsid w:val="00E7534C"/>
    <w:rsid w:val="00E7569F"/>
    <w:rsid w:val="00E756EC"/>
    <w:rsid w:val="00E75D73"/>
    <w:rsid w:val="00E766BA"/>
    <w:rsid w:val="00E76A21"/>
    <w:rsid w:val="00E76B09"/>
    <w:rsid w:val="00E77009"/>
    <w:rsid w:val="00E7701B"/>
    <w:rsid w:val="00E77734"/>
    <w:rsid w:val="00E77C6D"/>
    <w:rsid w:val="00E8027A"/>
    <w:rsid w:val="00E80C93"/>
    <w:rsid w:val="00E8114B"/>
    <w:rsid w:val="00E81439"/>
    <w:rsid w:val="00E81622"/>
    <w:rsid w:val="00E8197D"/>
    <w:rsid w:val="00E81E0E"/>
    <w:rsid w:val="00E82A3C"/>
    <w:rsid w:val="00E82B65"/>
    <w:rsid w:val="00E82CEB"/>
    <w:rsid w:val="00E82E66"/>
    <w:rsid w:val="00E82F30"/>
    <w:rsid w:val="00E83280"/>
    <w:rsid w:val="00E83529"/>
    <w:rsid w:val="00E84111"/>
    <w:rsid w:val="00E849EC"/>
    <w:rsid w:val="00E85537"/>
    <w:rsid w:val="00E857EC"/>
    <w:rsid w:val="00E8645B"/>
    <w:rsid w:val="00E864AC"/>
    <w:rsid w:val="00E86752"/>
    <w:rsid w:val="00E869A7"/>
    <w:rsid w:val="00E86A79"/>
    <w:rsid w:val="00E904D1"/>
    <w:rsid w:val="00E914C9"/>
    <w:rsid w:val="00E9242D"/>
    <w:rsid w:val="00E927D0"/>
    <w:rsid w:val="00E927DE"/>
    <w:rsid w:val="00E93301"/>
    <w:rsid w:val="00E933ED"/>
    <w:rsid w:val="00E935FF"/>
    <w:rsid w:val="00E93682"/>
    <w:rsid w:val="00E9370E"/>
    <w:rsid w:val="00E94437"/>
    <w:rsid w:val="00E94A3E"/>
    <w:rsid w:val="00E95A3B"/>
    <w:rsid w:val="00E95E87"/>
    <w:rsid w:val="00E9609A"/>
    <w:rsid w:val="00E9629C"/>
    <w:rsid w:val="00E965B8"/>
    <w:rsid w:val="00E967EC"/>
    <w:rsid w:val="00E97101"/>
    <w:rsid w:val="00E9724B"/>
    <w:rsid w:val="00E97803"/>
    <w:rsid w:val="00EA1594"/>
    <w:rsid w:val="00EA19F0"/>
    <w:rsid w:val="00EA1A3E"/>
    <w:rsid w:val="00EA2B6E"/>
    <w:rsid w:val="00EA3C7D"/>
    <w:rsid w:val="00EA40A0"/>
    <w:rsid w:val="00EA4F1D"/>
    <w:rsid w:val="00EA51CA"/>
    <w:rsid w:val="00EA55EB"/>
    <w:rsid w:val="00EA5D9D"/>
    <w:rsid w:val="00EA5EAA"/>
    <w:rsid w:val="00EA7CA4"/>
    <w:rsid w:val="00EA7E07"/>
    <w:rsid w:val="00EB0559"/>
    <w:rsid w:val="00EB26CC"/>
    <w:rsid w:val="00EB281B"/>
    <w:rsid w:val="00EB2B1A"/>
    <w:rsid w:val="00EB2E47"/>
    <w:rsid w:val="00EB3E52"/>
    <w:rsid w:val="00EB3F93"/>
    <w:rsid w:val="00EB413A"/>
    <w:rsid w:val="00EB450E"/>
    <w:rsid w:val="00EB4EAB"/>
    <w:rsid w:val="00EB5255"/>
    <w:rsid w:val="00EB56D1"/>
    <w:rsid w:val="00EB5C39"/>
    <w:rsid w:val="00EB5C47"/>
    <w:rsid w:val="00EB5E91"/>
    <w:rsid w:val="00EB5FF6"/>
    <w:rsid w:val="00EB628F"/>
    <w:rsid w:val="00EB67BD"/>
    <w:rsid w:val="00EB6B3A"/>
    <w:rsid w:val="00EB72FB"/>
    <w:rsid w:val="00EB758D"/>
    <w:rsid w:val="00EB778B"/>
    <w:rsid w:val="00EC002B"/>
    <w:rsid w:val="00EC009C"/>
    <w:rsid w:val="00EC0952"/>
    <w:rsid w:val="00EC0965"/>
    <w:rsid w:val="00EC1508"/>
    <w:rsid w:val="00EC168B"/>
    <w:rsid w:val="00EC1B13"/>
    <w:rsid w:val="00EC1FF0"/>
    <w:rsid w:val="00EC248A"/>
    <w:rsid w:val="00EC27CB"/>
    <w:rsid w:val="00EC27F9"/>
    <w:rsid w:val="00EC2AB8"/>
    <w:rsid w:val="00EC3210"/>
    <w:rsid w:val="00EC3674"/>
    <w:rsid w:val="00EC3EAC"/>
    <w:rsid w:val="00EC43A8"/>
    <w:rsid w:val="00EC46CC"/>
    <w:rsid w:val="00EC4C1C"/>
    <w:rsid w:val="00EC4CF0"/>
    <w:rsid w:val="00EC5E81"/>
    <w:rsid w:val="00EC7186"/>
    <w:rsid w:val="00EC765B"/>
    <w:rsid w:val="00EC7ACF"/>
    <w:rsid w:val="00EC7FB7"/>
    <w:rsid w:val="00ED0427"/>
    <w:rsid w:val="00ED0639"/>
    <w:rsid w:val="00ED0909"/>
    <w:rsid w:val="00ED0FC4"/>
    <w:rsid w:val="00ED1354"/>
    <w:rsid w:val="00ED1A82"/>
    <w:rsid w:val="00ED1FE9"/>
    <w:rsid w:val="00ED225F"/>
    <w:rsid w:val="00ED2274"/>
    <w:rsid w:val="00ED2F87"/>
    <w:rsid w:val="00ED396B"/>
    <w:rsid w:val="00ED3A5C"/>
    <w:rsid w:val="00ED427B"/>
    <w:rsid w:val="00ED439A"/>
    <w:rsid w:val="00ED4673"/>
    <w:rsid w:val="00ED4A0C"/>
    <w:rsid w:val="00ED54ED"/>
    <w:rsid w:val="00ED57AF"/>
    <w:rsid w:val="00ED637C"/>
    <w:rsid w:val="00ED6786"/>
    <w:rsid w:val="00ED6939"/>
    <w:rsid w:val="00ED6F8A"/>
    <w:rsid w:val="00ED72F5"/>
    <w:rsid w:val="00ED77B7"/>
    <w:rsid w:val="00ED7D00"/>
    <w:rsid w:val="00EE0EF0"/>
    <w:rsid w:val="00EE0F3B"/>
    <w:rsid w:val="00EE17F2"/>
    <w:rsid w:val="00EE19C3"/>
    <w:rsid w:val="00EE1E74"/>
    <w:rsid w:val="00EE1FBA"/>
    <w:rsid w:val="00EE220E"/>
    <w:rsid w:val="00EE2220"/>
    <w:rsid w:val="00EE27CC"/>
    <w:rsid w:val="00EE2F30"/>
    <w:rsid w:val="00EE2F4A"/>
    <w:rsid w:val="00EE374C"/>
    <w:rsid w:val="00EE3F0D"/>
    <w:rsid w:val="00EE42D7"/>
    <w:rsid w:val="00EE42DD"/>
    <w:rsid w:val="00EE4C25"/>
    <w:rsid w:val="00EE50BD"/>
    <w:rsid w:val="00EE533D"/>
    <w:rsid w:val="00EE544D"/>
    <w:rsid w:val="00EE5664"/>
    <w:rsid w:val="00EE57BD"/>
    <w:rsid w:val="00EE5843"/>
    <w:rsid w:val="00EE5ED2"/>
    <w:rsid w:val="00EE61D3"/>
    <w:rsid w:val="00EE63D5"/>
    <w:rsid w:val="00EE68CD"/>
    <w:rsid w:val="00EE6B35"/>
    <w:rsid w:val="00EE6BE1"/>
    <w:rsid w:val="00EE75EA"/>
    <w:rsid w:val="00EE761E"/>
    <w:rsid w:val="00EE76C3"/>
    <w:rsid w:val="00EF0738"/>
    <w:rsid w:val="00EF0DAE"/>
    <w:rsid w:val="00EF29F5"/>
    <w:rsid w:val="00EF2B95"/>
    <w:rsid w:val="00EF2C43"/>
    <w:rsid w:val="00EF2D32"/>
    <w:rsid w:val="00EF3028"/>
    <w:rsid w:val="00EF332B"/>
    <w:rsid w:val="00EF3719"/>
    <w:rsid w:val="00EF3C1B"/>
    <w:rsid w:val="00EF4220"/>
    <w:rsid w:val="00EF4755"/>
    <w:rsid w:val="00EF52C2"/>
    <w:rsid w:val="00EF6816"/>
    <w:rsid w:val="00EF7135"/>
    <w:rsid w:val="00EF7A88"/>
    <w:rsid w:val="00EF7D48"/>
    <w:rsid w:val="00EF7F2D"/>
    <w:rsid w:val="00F003EE"/>
    <w:rsid w:val="00F00653"/>
    <w:rsid w:val="00F00C2F"/>
    <w:rsid w:val="00F00C32"/>
    <w:rsid w:val="00F00F97"/>
    <w:rsid w:val="00F01373"/>
    <w:rsid w:val="00F016E1"/>
    <w:rsid w:val="00F01DF9"/>
    <w:rsid w:val="00F02475"/>
    <w:rsid w:val="00F026AB"/>
    <w:rsid w:val="00F027DB"/>
    <w:rsid w:val="00F04201"/>
    <w:rsid w:val="00F04434"/>
    <w:rsid w:val="00F046D1"/>
    <w:rsid w:val="00F04BEC"/>
    <w:rsid w:val="00F04D57"/>
    <w:rsid w:val="00F04F78"/>
    <w:rsid w:val="00F05491"/>
    <w:rsid w:val="00F05589"/>
    <w:rsid w:val="00F0604D"/>
    <w:rsid w:val="00F06ABD"/>
    <w:rsid w:val="00F11A38"/>
    <w:rsid w:val="00F1263C"/>
    <w:rsid w:val="00F12685"/>
    <w:rsid w:val="00F127A0"/>
    <w:rsid w:val="00F129E9"/>
    <w:rsid w:val="00F12B1E"/>
    <w:rsid w:val="00F12B2D"/>
    <w:rsid w:val="00F12B80"/>
    <w:rsid w:val="00F12BA8"/>
    <w:rsid w:val="00F1334B"/>
    <w:rsid w:val="00F13491"/>
    <w:rsid w:val="00F141C0"/>
    <w:rsid w:val="00F14A7A"/>
    <w:rsid w:val="00F155CB"/>
    <w:rsid w:val="00F16014"/>
    <w:rsid w:val="00F16106"/>
    <w:rsid w:val="00F16C56"/>
    <w:rsid w:val="00F17AAF"/>
    <w:rsid w:val="00F17D1E"/>
    <w:rsid w:val="00F20166"/>
    <w:rsid w:val="00F207C8"/>
    <w:rsid w:val="00F2163F"/>
    <w:rsid w:val="00F21BD2"/>
    <w:rsid w:val="00F2213C"/>
    <w:rsid w:val="00F22446"/>
    <w:rsid w:val="00F224F4"/>
    <w:rsid w:val="00F22869"/>
    <w:rsid w:val="00F22985"/>
    <w:rsid w:val="00F22EB3"/>
    <w:rsid w:val="00F23082"/>
    <w:rsid w:val="00F2324D"/>
    <w:rsid w:val="00F23514"/>
    <w:rsid w:val="00F23734"/>
    <w:rsid w:val="00F23B8B"/>
    <w:rsid w:val="00F23D65"/>
    <w:rsid w:val="00F23ED5"/>
    <w:rsid w:val="00F25CA8"/>
    <w:rsid w:val="00F25F30"/>
    <w:rsid w:val="00F26166"/>
    <w:rsid w:val="00F26F0A"/>
    <w:rsid w:val="00F2707C"/>
    <w:rsid w:val="00F27096"/>
    <w:rsid w:val="00F277C6"/>
    <w:rsid w:val="00F27EFD"/>
    <w:rsid w:val="00F30983"/>
    <w:rsid w:val="00F319C5"/>
    <w:rsid w:val="00F31F85"/>
    <w:rsid w:val="00F33453"/>
    <w:rsid w:val="00F3383E"/>
    <w:rsid w:val="00F33AC0"/>
    <w:rsid w:val="00F33DD4"/>
    <w:rsid w:val="00F33F27"/>
    <w:rsid w:val="00F34073"/>
    <w:rsid w:val="00F345F9"/>
    <w:rsid w:val="00F34A36"/>
    <w:rsid w:val="00F359A2"/>
    <w:rsid w:val="00F3634F"/>
    <w:rsid w:val="00F363F8"/>
    <w:rsid w:val="00F36D9F"/>
    <w:rsid w:val="00F37745"/>
    <w:rsid w:val="00F400FB"/>
    <w:rsid w:val="00F40CE8"/>
    <w:rsid w:val="00F40EDF"/>
    <w:rsid w:val="00F4149F"/>
    <w:rsid w:val="00F4151B"/>
    <w:rsid w:val="00F41B81"/>
    <w:rsid w:val="00F41D4D"/>
    <w:rsid w:val="00F41E9F"/>
    <w:rsid w:val="00F427B7"/>
    <w:rsid w:val="00F42895"/>
    <w:rsid w:val="00F428E0"/>
    <w:rsid w:val="00F42CE2"/>
    <w:rsid w:val="00F42D3E"/>
    <w:rsid w:val="00F42E7F"/>
    <w:rsid w:val="00F446A6"/>
    <w:rsid w:val="00F446B2"/>
    <w:rsid w:val="00F45254"/>
    <w:rsid w:val="00F45EEF"/>
    <w:rsid w:val="00F45EF1"/>
    <w:rsid w:val="00F465A7"/>
    <w:rsid w:val="00F46F9B"/>
    <w:rsid w:val="00F4719F"/>
    <w:rsid w:val="00F47250"/>
    <w:rsid w:val="00F505EA"/>
    <w:rsid w:val="00F50B7C"/>
    <w:rsid w:val="00F50EB5"/>
    <w:rsid w:val="00F50EDC"/>
    <w:rsid w:val="00F515EE"/>
    <w:rsid w:val="00F52117"/>
    <w:rsid w:val="00F5299F"/>
    <w:rsid w:val="00F52AE1"/>
    <w:rsid w:val="00F5354E"/>
    <w:rsid w:val="00F53951"/>
    <w:rsid w:val="00F55026"/>
    <w:rsid w:val="00F550E6"/>
    <w:rsid w:val="00F5568B"/>
    <w:rsid w:val="00F558C2"/>
    <w:rsid w:val="00F55AE8"/>
    <w:rsid w:val="00F55C2E"/>
    <w:rsid w:val="00F55C81"/>
    <w:rsid w:val="00F55E97"/>
    <w:rsid w:val="00F57627"/>
    <w:rsid w:val="00F60806"/>
    <w:rsid w:val="00F620FF"/>
    <w:rsid w:val="00F6270C"/>
    <w:rsid w:val="00F62722"/>
    <w:rsid w:val="00F62CC3"/>
    <w:rsid w:val="00F62F89"/>
    <w:rsid w:val="00F6333C"/>
    <w:rsid w:val="00F634AB"/>
    <w:rsid w:val="00F6382F"/>
    <w:rsid w:val="00F63A3D"/>
    <w:rsid w:val="00F6466E"/>
    <w:rsid w:val="00F64927"/>
    <w:rsid w:val="00F64CD0"/>
    <w:rsid w:val="00F6501B"/>
    <w:rsid w:val="00F65079"/>
    <w:rsid w:val="00F6588C"/>
    <w:rsid w:val="00F65EBB"/>
    <w:rsid w:val="00F66022"/>
    <w:rsid w:val="00F66851"/>
    <w:rsid w:val="00F66B65"/>
    <w:rsid w:val="00F66EFB"/>
    <w:rsid w:val="00F67030"/>
    <w:rsid w:val="00F67D99"/>
    <w:rsid w:val="00F708A5"/>
    <w:rsid w:val="00F70AD4"/>
    <w:rsid w:val="00F71490"/>
    <w:rsid w:val="00F716B0"/>
    <w:rsid w:val="00F7171F"/>
    <w:rsid w:val="00F72DF7"/>
    <w:rsid w:val="00F73BCA"/>
    <w:rsid w:val="00F73CA7"/>
    <w:rsid w:val="00F74225"/>
    <w:rsid w:val="00F74345"/>
    <w:rsid w:val="00F743E1"/>
    <w:rsid w:val="00F74624"/>
    <w:rsid w:val="00F74AAD"/>
    <w:rsid w:val="00F74C7F"/>
    <w:rsid w:val="00F75A0D"/>
    <w:rsid w:val="00F75CC3"/>
    <w:rsid w:val="00F7697E"/>
    <w:rsid w:val="00F76B0F"/>
    <w:rsid w:val="00F76E08"/>
    <w:rsid w:val="00F76E4C"/>
    <w:rsid w:val="00F76FC2"/>
    <w:rsid w:val="00F7701D"/>
    <w:rsid w:val="00F7761B"/>
    <w:rsid w:val="00F77628"/>
    <w:rsid w:val="00F7784D"/>
    <w:rsid w:val="00F77994"/>
    <w:rsid w:val="00F80A0A"/>
    <w:rsid w:val="00F80B8A"/>
    <w:rsid w:val="00F814C4"/>
    <w:rsid w:val="00F81644"/>
    <w:rsid w:val="00F8178F"/>
    <w:rsid w:val="00F81E92"/>
    <w:rsid w:val="00F81ED5"/>
    <w:rsid w:val="00F825E7"/>
    <w:rsid w:val="00F82B19"/>
    <w:rsid w:val="00F82FDD"/>
    <w:rsid w:val="00F835E5"/>
    <w:rsid w:val="00F83E5B"/>
    <w:rsid w:val="00F84399"/>
    <w:rsid w:val="00F8458B"/>
    <w:rsid w:val="00F854B9"/>
    <w:rsid w:val="00F85654"/>
    <w:rsid w:val="00F85724"/>
    <w:rsid w:val="00F857AC"/>
    <w:rsid w:val="00F86231"/>
    <w:rsid w:val="00F86276"/>
    <w:rsid w:val="00F862AB"/>
    <w:rsid w:val="00F8638B"/>
    <w:rsid w:val="00F865BF"/>
    <w:rsid w:val="00F90248"/>
    <w:rsid w:val="00F9096F"/>
    <w:rsid w:val="00F90FA0"/>
    <w:rsid w:val="00F9130F"/>
    <w:rsid w:val="00F9155B"/>
    <w:rsid w:val="00F91794"/>
    <w:rsid w:val="00F9212D"/>
    <w:rsid w:val="00F92665"/>
    <w:rsid w:val="00F928BF"/>
    <w:rsid w:val="00F9510F"/>
    <w:rsid w:val="00F957F4"/>
    <w:rsid w:val="00F96435"/>
    <w:rsid w:val="00F965DA"/>
    <w:rsid w:val="00F9707C"/>
    <w:rsid w:val="00F9719C"/>
    <w:rsid w:val="00F97D90"/>
    <w:rsid w:val="00FA0A9E"/>
    <w:rsid w:val="00FA0BDF"/>
    <w:rsid w:val="00FA0E6E"/>
    <w:rsid w:val="00FA15BC"/>
    <w:rsid w:val="00FA182B"/>
    <w:rsid w:val="00FA1936"/>
    <w:rsid w:val="00FA22EF"/>
    <w:rsid w:val="00FA24B5"/>
    <w:rsid w:val="00FA2AEC"/>
    <w:rsid w:val="00FA2CA9"/>
    <w:rsid w:val="00FA3546"/>
    <w:rsid w:val="00FA3E19"/>
    <w:rsid w:val="00FA3EAC"/>
    <w:rsid w:val="00FA406A"/>
    <w:rsid w:val="00FA462E"/>
    <w:rsid w:val="00FA47BD"/>
    <w:rsid w:val="00FA4AA4"/>
    <w:rsid w:val="00FA4D18"/>
    <w:rsid w:val="00FA5A1D"/>
    <w:rsid w:val="00FA5CE3"/>
    <w:rsid w:val="00FA5E04"/>
    <w:rsid w:val="00FA6534"/>
    <w:rsid w:val="00FA6820"/>
    <w:rsid w:val="00FA6E50"/>
    <w:rsid w:val="00FA6FEC"/>
    <w:rsid w:val="00FA6FF8"/>
    <w:rsid w:val="00FA7270"/>
    <w:rsid w:val="00FA743A"/>
    <w:rsid w:val="00FA77CE"/>
    <w:rsid w:val="00FB08ED"/>
    <w:rsid w:val="00FB09BE"/>
    <w:rsid w:val="00FB0EC8"/>
    <w:rsid w:val="00FB1A95"/>
    <w:rsid w:val="00FB1C93"/>
    <w:rsid w:val="00FB1FAD"/>
    <w:rsid w:val="00FB21D4"/>
    <w:rsid w:val="00FB2208"/>
    <w:rsid w:val="00FB243F"/>
    <w:rsid w:val="00FB24E0"/>
    <w:rsid w:val="00FB2C9C"/>
    <w:rsid w:val="00FB336D"/>
    <w:rsid w:val="00FB3EB6"/>
    <w:rsid w:val="00FB4509"/>
    <w:rsid w:val="00FB450D"/>
    <w:rsid w:val="00FB4926"/>
    <w:rsid w:val="00FB503A"/>
    <w:rsid w:val="00FB5153"/>
    <w:rsid w:val="00FB516C"/>
    <w:rsid w:val="00FB6A12"/>
    <w:rsid w:val="00FB7439"/>
    <w:rsid w:val="00FB77D4"/>
    <w:rsid w:val="00FB7E23"/>
    <w:rsid w:val="00FC018B"/>
    <w:rsid w:val="00FC070E"/>
    <w:rsid w:val="00FC0793"/>
    <w:rsid w:val="00FC104F"/>
    <w:rsid w:val="00FC119C"/>
    <w:rsid w:val="00FC1715"/>
    <w:rsid w:val="00FC23CF"/>
    <w:rsid w:val="00FC25CA"/>
    <w:rsid w:val="00FC2698"/>
    <w:rsid w:val="00FC2977"/>
    <w:rsid w:val="00FC2B71"/>
    <w:rsid w:val="00FC33D6"/>
    <w:rsid w:val="00FC34D0"/>
    <w:rsid w:val="00FC3977"/>
    <w:rsid w:val="00FC4684"/>
    <w:rsid w:val="00FC48CF"/>
    <w:rsid w:val="00FC5119"/>
    <w:rsid w:val="00FC5383"/>
    <w:rsid w:val="00FC59E2"/>
    <w:rsid w:val="00FC5AEF"/>
    <w:rsid w:val="00FC5B55"/>
    <w:rsid w:val="00FC5CDB"/>
    <w:rsid w:val="00FC5FF4"/>
    <w:rsid w:val="00FC6419"/>
    <w:rsid w:val="00FC6A67"/>
    <w:rsid w:val="00FC706C"/>
    <w:rsid w:val="00FC713E"/>
    <w:rsid w:val="00FC76B7"/>
    <w:rsid w:val="00FD0236"/>
    <w:rsid w:val="00FD1751"/>
    <w:rsid w:val="00FD17CC"/>
    <w:rsid w:val="00FD187B"/>
    <w:rsid w:val="00FD18F4"/>
    <w:rsid w:val="00FD1A87"/>
    <w:rsid w:val="00FD200E"/>
    <w:rsid w:val="00FD20CB"/>
    <w:rsid w:val="00FD2115"/>
    <w:rsid w:val="00FD25A4"/>
    <w:rsid w:val="00FD2949"/>
    <w:rsid w:val="00FD29D8"/>
    <w:rsid w:val="00FD4429"/>
    <w:rsid w:val="00FD4ADA"/>
    <w:rsid w:val="00FD4AE5"/>
    <w:rsid w:val="00FD4BD7"/>
    <w:rsid w:val="00FD54DB"/>
    <w:rsid w:val="00FD606D"/>
    <w:rsid w:val="00FD619F"/>
    <w:rsid w:val="00FD6761"/>
    <w:rsid w:val="00FD69E5"/>
    <w:rsid w:val="00FD6CED"/>
    <w:rsid w:val="00FD6F8B"/>
    <w:rsid w:val="00FD71B9"/>
    <w:rsid w:val="00FD7641"/>
    <w:rsid w:val="00FD77EA"/>
    <w:rsid w:val="00FE0135"/>
    <w:rsid w:val="00FE0CF3"/>
    <w:rsid w:val="00FE0EA1"/>
    <w:rsid w:val="00FE133D"/>
    <w:rsid w:val="00FE1C75"/>
    <w:rsid w:val="00FE2EC8"/>
    <w:rsid w:val="00FE3B72"/>
    <w:rsid w:val="00FE3F20"/>
    <w:rsid w:val="00FE3FC7"/>
    <w:rsid w:val="00FE44C4"/>
    <w:rsid w:val="00FE4B05"/>
    <w:rsid w:val="00FE559E"/>
    <w:rsid w:val="00FE567B"/>
    <w:rsid w:val="00FE5AE9"/>
    <w:rsid w:val="00FE5B9A"/>
    <w:rsid w:val="00FE6620"/>
    <w:rsid w:val="00FE68F5"/>
    <w:rsid w:val="00FE7118"/>
    <w:rsid w:val="00FE790E"/>
    <w:rsid w:val="00FF07FC"/>
    <w:rsid w:val="00FF0929"/>
    <w:rsid w:val="00FF0A68"/>
    <w:rsid w:val="00FF0A88"/>
    <w:rsid w:val="00FF0CAA"/>
    <w:rsid w:val="00FF0E21"/>
    <w:rsid w:val="00FF0F0D"/>
    <w:rsid w:val="00FF26E9"/>
    <w:rsid w:val="00FF2F27"/>
    <w:rsid w:val="00FF30DF"/>
    <w:rsid w:val="00FF337C"/>
    <w:rsid w:val="00FF40C9"/>
    <w:rsid w:val="00FF4704"/>
    <w:rsid w:val="00FF4D8D"/>
    <w:rsid w:val="00FF5117"/>
    <w:rsid w:val="00FF5A64"/>
    <w:rsid w:val="00FF5FCE"/>
    <w:rsid w:val="00FF652E"/>
    <w:rsid w:val="00FF6A46"/>
    <w:rsid w:val="00FF6A95"/>
    <w:rsid w:val="00FF7584"/>
    <w:rsid w:val="00FF7E70"/>
    <w:rsid w:val="00FF7F62"/>
    <w:rsid w:val="0105429D"/>
    <w:rsid w:val="01193227"/>
    <w:rsid w:val="01290F7E"/>
    <w:rsid w:val="015D1E09"/>
    <w:rsid w:val="0167376D"/>
    <w:rsid w:val="01AE7070"/>
    <w:rsid w:val="01D738CC"/>
    <w:rsid w:val="01F159E3"/>
    <w:rsid w:val="020218B9"/>
    <w:rsid w:val="020D1E66"/>
    <w:rsid w:val="021466F2"/>
    <w:rsid w:val="021A2451"/>
    <w:rsid w:val="024F5012"/>
    <w:rsid w:val="02502B53"/>
    <w:rsid w:val="025D22B6"/>
    <w:rsid w:val="02697903"/>
    <w:rsid w:val="026C1F95"/>
    <w:rsid w:val="02892A34"/>
    <w:rsid w:val="028D2DD7"/>
    <w:rsid w:val="02922A54"/>
    <w:rsid w:val="02995B20"/>
    <w:rsid w:val="02F54E20"/>
    <w:rsid w:val="02F96569"/>
    <w:rsid w:val="033E4E26"/>
    <w:rsid w:val="03721F9F"/>
    <w:rsid w:val="037D5E19"/>
    <w:rsid w:val="03854EFE"/>
    <w:rsid w:val="03C17FA3"/>
    <w:rsid w:val="03C963D7"/>
    <w:rsid w:val="03EA7B21"/>
    <w:rsid w:val="041B46D3"/>
    <w:rsid w:val="04636CD7"/>
    <w:rsid w:val="04670294"/>
    <w:rsid w:val="046B14CB"/>
    <w:rsid w:val="04715FB1"/>
    <w:rsid w:val="04766C7D"/>
    <w:rsid w:val="04B27D46"/>
    <w:rsid w:val="04E85138"/>
    <w:rsid w:val="04F823E8"/>
    <w:rsid w:val="04FC04E7"/>
    <w:rsid w:val="05364E97"/>
    <w:rsid w:val="057C1DB8"/>
    <w:rsid w:val="059D3D9A"/>
    <w:rsid w:val="05D37046"/>
    <w:rsid w:val="05ED095C"/>
    <w:rsid w:val="05F83EAE"/>
    <w:rsid w:val="06202243"/>
    <w:rsid w:val="063E7D85"/>
    <w:rsid w:val="0641310A"/>
    <w:rsid w:val="0661605C"/>
    <w:rsid w:val="06752035"/>
    <w:rsid w:val="069413D4"/>
    <w:rsid w:val="06CB740B"/>
    <w:rsid w:val="06E84819"/>
    <w:rsid w:val="07067596"/>
    <w:rsid w:val="07097F3B"/>
    <w:rsid w:val="07293586"/>
    <w:rsid w:val="07295285"/>
    <w:rsid w:val="072E39F7"/>
    <w:rsid w:val="0755472F"/>
    <w:rsid w:val="075F5571"/>
    <w:rsid w:val="07636392"/>
    <w:rsid w:val="07770C56"/>
    <w:rsid w:val="07BE322D"/>
    <w:rsid w:val="07C000E7"/>
    <w:rsid w:val="07D55C2F"/>
    <w:rsid w:val="07EB7656"/>
    <w:rsid w:val="08007077"/>
    <w:rsid w:val="084207CB"/>
    <w:rsid w:val="08585E3B"/>
    <w:rsid w:val="08651827"/>
    <w:rsid w:val="08CC2197"/>
    <w:rsid w:val="09217FFE"/>
    <w:rsid w:val="092217DD"/>
    <w:rsid w:val="093A7294"/>
    <w:rsid w:val="094226AF"/>
    <w:rsid w:val="09746FC6"/>
    <w:rsid w:val="09D8335C"/>
    <w:rsid w:val="09EC3C67"/>
    <w:rsid w:val="0A263993"/>
    <w:rsid w:val="0A274509"/>
    <w:rsid w:val="0A2D3AC2"/>
    <w:rsid w:val="0A3E44C2"/>
    <w:rsid w:val="0A4E0DF4"/>
    <w:rsid w:val="0A4F5D9A"/>
    <w:rsid w:val="0A7B374D"/>
    <w:rsid w:val="0A7E7B78"/>
    <w:rsid w:val="0AA755DF"/>
    <w:rsid w:val="0AE90C5E"/>
    <w:rsid w:val="0AEF0738"/>
    <w:rsid w:val="0AF860D0"/>
    <w:rsid w:val="0B120D44"/>
    <w:rsid w:val="0B1E02AD"/>
    <w:rsid w:val="0B226EB4"/>
    <w:rsid w:val="0B2E4BD3"/>
    <w:rsid w:val="0B3544E5"/>
    <w:rsid w:val="0B437774"/>
    <w:rsid w:val="0B532529"/>
    <w:rsid w:val="0B691A6F"/>
    <w:rsid w:val="0B6F3FC7"/>
    <w:rsid w:val="0B802913"/>
    <w:rsid w:val="0BB10AF7"/>
    <w:rsid w:val="0BBC2D7E"/>
    <w:rsid w:val="0BBF4A0F"/>
    <w:rsid w:val="0BD27BF6"/>
    <w:rsid w:val="0BF151B3"/>
    <w:rsid w:val="0C1744A8"/>
    <w:rsid w:val="0C3A473B"/>
    <w:rsid w:val="0C3B3C7D"/>
    <w:rsid w:val="0C4D3576"/>
    <w:rsid w:val="0C5932E6"/>
    <w:rsid w:val="0C5A5076"/>
    <w:rsid w:val="0C9B5F0E"/>
    <w:rsid w:val="0C9E04BB"/>
    <w:rsid w:val="0CA359C9"/>
    <w:rsid w:val="0CAB2EAE"/>
    <w:rsid w:val="0CC629F5"/>
    <w:rsid w:val="0CD4544D"/>
    <w:rsid w:val="0CD97BE4"/>
    <w:rsid w:val="0CE91F22"/>
    <w:rsid w:val="0D1936C6"/>
    <w:rsid w:val="0D3E0BE6"/>
    <w:rsid w:val="0D621C7D"/>
    <w:rsid w:val="0D823229"/>
    <w:rsid w:val="0DA95524"/>
    <w:rsid w:val="0DC45625"/>
    <w:rsid w:val="0DC7360C"/>
    <w:rsid w:val="0DCF6419"/>
    <w:rsid w:val="0DD850AB"/>
    <w:rsid w:val="0DF456E7"/>
    <w:rsid w:val="0E0D75DC"/>
    <w:rsid w:val="0E225079"/>
    <w:rsid w:val="0E580AA4"/>
    <w:rsid w:val="0E72094F"/>
    <w:rsid w:val="0E73034D"/>
    <w:rsid w:val="0E7B5D25"/>
    <w:rsid w:val="0E860DA7"/>
    <w:rsid w:val="0EC71CA9"/>
    <w:rsid w:val="0EDE3BEA"/>
    <w:rsid w:val="0F070BAE"/>
    <w:rsid w:val="0F0A2D9C"/>
    <w:rsid w:val="0F0D0AE5"/>
    <w:rsid w:val="0F0D5961"/>
    <w:rsid w:val="0F13775A"/>
    <w:rsid w:val="0F40451F"/>
    <w:rsid w:val="0F4E2289"/>
    <w:rsid w:val="0F522061"/>
    <w:rsid w:val="0F5F45FE"/>
    <w:rsid w:val="0F7A5CBE"/>
    <w:rsid w:val="0F942FF7"/>
    <w:rsid w:val="0F9A112B"/>
    <w:rsid w:val="0FB408FA"/>
    <w:rsid w:val="0FCA2EB5"/>
    <w:rsid w:val="10256926"/>
    <w:rsid w:val="103C0DA8"/>
    <w:rsid w:val="104A23BE"/>
    <w:rsid w:val="106D2F64"/>
    <w:rsid w:val="10727E89"/>
    <w:rsid w:val="10AB1B28"/>
    <w:rsid w:val="10B03D48"/>
    <w:rsid w:val="10B63710"/>
    <w:rsid w:val="10B84753"/>
    <w:rsid w:val="10CE79A6"/>
    <w:rsid w:val="10EB737D"/>
    <w:rsid w:val="10F10820"/>
    <w:rsid w:val="1107756A"/>
    <w:rsid w:val="111C2F7A"/>
    <w:rsid w:val="11234F74"/>
    <w:rsid w:val="11665CA1"/>
    <w:rsid w:val="11C969B0"/>
    <w:rsid w:val="11F47903"/>
    <w:rsid w:val="11FA4D64"/>
    <w:rsid w:val="11FA7C46"/>
    <w:rsid w:val="121207F8"/>
    <w:rsid w:val="121C0BCE"/>
    <w:rsid w:val="12214F6A"/>
    <w:rsid w:val="12233BB5"/>
    <w:rsid w:val="12395A4C"/>
    <w:rsid w:val="123B7C58"/>
    <w:rsid w:val="124A05FF"/>
    <w:rsid w:val="12557C2D"/>
    <w:rsid w:val="12664E27"/>
    <w:rsid w:val="126C2413"/>
    <w:rsid w:val="12783D28"/>
    <w:rsid w:val="128459ED"/>
    <w:rsid w:val="129568F3"/>
    <w:rsid w:val="12A314D3"/>
    <w:rsid w:val="12CE445E"/>
    <w:rsid w:val="12DE4889"/>
    <w:rsid w:val="12E76517"/>
    <w:rsid w:val="12F72E7A"/>
    <w:rsid w:val="131541CE"/>
    <w:rsid w:val="1315525B"/>
    <w:rsid w:val="135F0221"/>
    <w:rsid w:val="13951726"/>
    <w:rsid w:val="13E7411D"/>
    <w:rsid w:val="14396509"/>
    <w:rsid w:val="14431368"/>
    <w:rsid w:val="145D520F"/>
    <w:rsid w:val="146E0CFA"/>
    <w:rsid w:val="14723912"/>
    <w:rsid w:val="148510C0"/>
    <w:rsid w:val="148711A2"/>
    <w:rsid w:val="14DD2C3C"/>
    <w:rsid w:val="14E653AF"/>
    <w:rsid w:val="14EE78EA"/>
    <w:rsid w:val="15AF7455"/>
    <w:rsid w:val="15D4743A"/>
    <w:rsid w:val="15D71BA4"/>
    <w:rsid w:val="15EE3C73"/>
    <w:rsid w:val="16087E1D"/>
    <w:rsid w:val="165E41A4"/>
    <w:rsid w:val="16744099"/>
    <w:rsid w:val="167E77A4"/>
    <w:rsid w:val="16AB4B6A"/>
    <w:rsid w:val="16B320AF"/>
    <w:rsid w:val="16C70490"/>
    <w:rsid w:val="16CE6374"/>
    <w:rsid w:val="16EF36D4"/>
    <w:rsid w:val="1708629D"/>
    <w:rsid w:val="171D6EF5"/>
    <w:rsid w:val="1720474F"/>
    <w:rsid w:val="17583673"/>
    <w:rsid w:val="17701D14"/>
    <w:rsid w:val="17735226"/>
    <w:rsid w:val="17910C09"/>
    <w:rsid w:val="17BE5041"/>
    <w:rsid w:val="17C874D2"/>
    <w:rsid w:val="17E102B2"/>
    <w:rsid w:val="17E5125D"/>
    <w:rsid w:val="17EB0DE1"/>
    <w:rsid w:val="17F50204"/>
    <w:rsid w:val="18107DF1"/>
    <w:rsid w:val="183D6A58"/>
    <w:rsid w:val="187F0534"/>
    <w:rsid w:val="189F624C"/>
    <w:rsid w:val="18B33E97"/>
    <w:rsid w:val="18B8280D"/>
    <w:rsid w:val="18C54D05"/>
    <w:rsid w:val="18FE5807"/>
    <w:rsid w:val="19086D3F"/>
    <w:rsid w:val="19A00457"/>
    <w:rsid w:val="19B8492B"/>
    <w:rsid w:val="1A1C66C0"/>
    <w:rsid w:val="1A350D76"/>
    <w:rsid w:val="1A42393B"/>
    <w:rsid w:val="1A424B69"/>
    <w:rsid w:val="1A4277D1"/>
    <w:rsid w:val="1A7A7C98"/>
    <w:rsid w:val="1A7B1D7C"/>
    <w:rsid w:val="1A83328E"/>
    <w:rsid w:val="1A90381F"/>
    <w:rsid w:val="1AAD45DE"/>
    <w:rsid w:val="1AB24EA9"/>
    <w:rsid w:val="1AB41FB0"/>
    <w:rsid w:val="1ACB6D60"/>
    <w:rsid w:val="1B046F80"/>
    <w:rsid w:val="1B3267B5"/>
    <w:rsid w:val="1B40161D"/>
    <w:rsid w:val="1B441859"/>
    <w:rsid w:val="1B565E80"/>
    <w:rsid w:val="1B6606B1"/>
    <w:rsid w:val="1B6606B3"/>
    <w:rsid w:val="1BA55DBC"/>
    <w:rsid w:val="1BDF65CE"/>
    <w:rsid w:val="1C17644C"/>
    <w:rsid w:val="1C1C0CB7"/>
    <w:rsid w:val="1C395B85"/>
    <w:rsid w:val="1C5E7925"/>
    <w:rsid w:val="1C683993"/>
    <w:rsid w:val="1C9439B1"/>
    <w:rsid w:val="1C994A39"/>
    <w:rsid w:val="1CA53139"/>
    <w:rsid w:val="1CED4AAE"/>
    <w:rsid w:val="1CFD070F"/>
    <w:rsid w:val="1D0F5AEE"/>
    <w:rsid w:val="1D2B17D8"/>
    <w:rsid w:val="1D5F6196"/>
    <w:rsid w:val="1D6132A5"/>
    <w:rsid w:val="1D8E56D5"/>
    <w:rsid w:val="1D911CDD"/>
    <w:rsid w:val="1DA85E73"/>
    <w:rsid w:val="1DDE48DA"/>
    <w:rsid w:val="1E3D6A69"/>
    <w:rsid w:val="1E4E5C73"/>
    <w:rsid w:val="1E6C2B44"/>
    <w:rsid w:val="1E7A43DA"/>
    <w:rsid w:val="1E892CF5"/>
    <w:rsid w:val="1E9B68A6"/>
    <w:rsid w:val="1EEA4EF1"/>
    <w:rsid w:val="1EF54419"/>
    <w:rsid w:val="1F0A3376"/>
    <w:rsid w:val="1F0B2063"/>
    <w:rsid w:val="1F844CE8"/>
    <w:rsid w:val="1FC30C23"/>
    <w:rsid w:val="1FDF3E7E"/>
    <w:rsid w:val="1FE150E7"/>
    <w:rsid w:val="1FE7539E"/>
    <w:rsid w:val="1FF24834"/>
    <w:rsid w:val="2040709F"/>
    <w:rsid w:val="20546622"/>
    <w:rsid w:val="20647F1F"/>
    <w:rsid w:val="20671BE0"/>
    <w:rsid w:val="20963BE6"/>
    <w:rsid w:val="20963CB8"/>
    <w:rsid w:val="20A81A1B"/>
    <w:rsid w:val="20B07FB6"/>
    <w:rsid w:val="20B646FB"/>
    <w:rsid w:val="20D72BBB"/>
    <w:rsid w:val="210672E4"/>
    <w:rsid w:val="210C663D"/>
    <w:rsid w:val="213B74B1"/>
    <w:rsid w:val="21450365"/>
    <w:rsid w:val="214B3B02"/>
    <w:rsid w:val="215A2310"/>
    <w:rsid w:val="218958A1"/>
    <w:rsid w:val="21B705E1"/>
    <w:rsid w:val="21DE318A"/>
    <w:rsid w:val="21EF5B80"/>
    <w:rsid w:val="21F33572"/>
    <w:rsid w:val="22317166"/>
    <w:rsid w:val="223553B3"/>
    <w:rsid w:val="223F45B6"/>
    <w:rsid w:val="22463F27"/>
    <w:rsid w:val="22576990"/>
    <w:rsid w:val="2266019C"/>
    <w:rsid w:val="22912E70"/>
    <w:rsid w:val="22B40EE8"/>
    <w:rsid w:val="22C36C51"/>
    <w:rsid w:val="22EB55E3"/>
    <w:rsid w:val="22F47480"/>
    <w:rsid w:val="231451AF"/>
    <w:rsid w:val="232D2C18"/>
    <w:rsid w:val="23351659"/>
    <w:rsid w:val="23711B9D"/>
    <w:rsid w:val="23783429"/>
    <w:rsid w:val="238A6D4B"/>
    <w:rsid w:val="238F0EB2"/>
    <w:rsid w:val="23964D50"/>
    <w:rsid w:val="23A645AD"/>
    <w:rsid w:val="23DE1C48"/>
    <w:rsid w:val="240210CD"/>
    <w:rsid w:val="242E251D"/>
    <w:rsid w:val="247D70EF"/>
    <w:rsid w:val="24AF3FAD"/>
    <w:rsid w:val="24B269CF"/>
    <w:rsid w:val="24B64583"/>
    <w:rsid w:val="24BF09F7"/>
    <w:rsid w:val="24BF6D35"/>
    <w:rsid w:val="24D92795"/>
    <w:rsid w:val="250E6F64"/>
    <w:rsid w:val="252D53FE"/>
    <w:rsid w:val="253337F9"/>
    <w:rsid w:val="253A39DC"/>
    <w:rsid w:val="2540068A"/>
    <w:rsid w:val="254426C7"/>
    <w:rsid w:val="259521CA"/>
    <w:rsid w:val="25A27A28"/>
    <w:rsid w:val="25C00E94"/>
    <w:rsid w:val="25D92348"/>
    <w:rsid w:val="25EC2D81"/>
    <w:rsid w:val="25F10931"/>
    <w:rsid w:val="260945EF"/>
    <w:rsid w:val="26271312"/>
    <w:rsid w:val="268E1B37"/>
    <w:rsid w:val="26981DE7"/>
    <w:rsid w:val="269A4F4B"/>
    <w:rsid w:val="26A96FB3"/>
    <w:rsid w:val="26B35EA6"/>
    <w:rsid w:val="26F50CE0"/>
    <w:rsid w:val="272D69C2"/>
    <w:rsid w:val="27474E43"/>
    <w:rsid w:val="276513AD"/>
    <w:rsid w:val="277057A2"/>
    <w:rsid w:val="27A67B20"/>
    <w:rsid w:val="282A3011"/>
    <w:rsid w:val="28381015"/>
    <w:rsid w:val="28517C76"/>
    <w:rsid w:val="285E4B67"/>
    <w:rsid w:val="287F0039"/>
    <w:rsid w:val="28842896"/>
    <w:rsid w:val="28882669"/>
    <w:rsid w:val="28A3211F"/>
    <w:rsid w:val="28E47378"/>
    <w:rsid w:val="290E65DE"/>
    <w:rsid w:val="291929B0"/>
    <w:rsid w:val="29206EB8"/>
    <w:rsid w:val="29595666"/>
    <w:rsid w:val="29874881"/>
    <w:rsid w:val="298F5783"/>
    <w:rsid w:val="29A102DE"/>
    <w:rsid w:val="29A15B8F"/>
    <w:rsid w:val="29AE2018"/>
    <w:rsid w:val="29E325E0"/>
    <w:rsid w:val="29EA5DB5"/>
    <w:rsid w:val="2A0C60AA"/>
    <w:rsid w:val="2A39584D"/>
    <w:rsid w:val="2A4075F0"/>
    <w:rsid w:val="2A452503"/>
    <w:rsid w:val="2A9700EE"/>
    <w:rsid w:val="2A987657"/>
    <w:rsid w:val="2AA137CD"/>
    <w:rsid w:val="2AA543E3"/>
    <w:rsid w:val="2AB23C33"/>
    <w:rsid w:val="2B216816"/>
    <w:rsid w:val="2B32504D"/>
    <w:rsid w:val="2B385FED"/>
    <w:rsid w:val="2B722695"/>
    <w:rsid w:val="2BA07B4F"/>
    <w:rsid w:val="2BA75675"/>
    <w:rsid w:val="2BA936A8"/>
    <w:rsid w:val="2BB97DA1"/>
    <w:rsid w:val="2BCF6EA8"/>
    <w:rsid w:val="2BFE3519"/>
    <w:rsid w:val="2C091798"/>
    <w:rsid w:val="2C315A5A"/>
    <w:rsid w:val="2C47726D"/>
    <w:rsid w:val="2C4B1C25"/>
    <w:rsid w:val="2C7F15DD"/>
    <w:rsid w:val="2C80122D"/>
    <w:rsid w:val="2CE360EB"/>
    <w:rsid w:val="2D1C0A1B"/>
    <w:rsid w:val="2D307504"/>
    <w:rsid w:val="2D36202D"/>
    <w:rsid w:val="2D3933D2"/>
    <w:rsid w:val="2D4C6DFF"/>
    <w:rsid w:val="2D604A79"/>
    <w:rsid w:val="2D852662"/>
    <w:rsid w:val="2D9D0321"/>
    <w:rsid w:val="2D9E56F5"/>
    <w:rsid w:val="2DFC5E79"/>
    <w:rsid w:val="2DFF3E76"/>
    <w:rsid w:val="2E0F7CEB"/>
    <w:rsid w:val="2E1C697C"/>
    <w:rsid w:val="2E3E227C"/>
    <w:rsid w:val="2E4A434A"/>
    <w:rsid w:val="2E667F96"/>
    <w:rsid w:val="2E8226AB"/>
    <w:rsid w:val="2EAA1125"/>
    <w:rsid w:val="2EC702A3"/>
    <w:rsid w:val="2EE66676"/>
    <w:rsid w:val="2EF12F4B"/>
    <w:rsid w:val="2EFE2DCF"/>
    <w:rsid w:val="2F0B7180"/>
    <w:rsid w:val="2F123F97"/>
    <w:rsid w:val="2F2B685C"/>
    <w:rsid w:val="2F2F168E"/>
    <w:rsid w:val="2F31401B"/>
    <w:rsid w:val="2F3F44CE"/>
    <w:rsid w:val="2F3F611E"/>
    <w:rsid w:val="2F921C7C"/>
    <w:rsid w:val="2FB3570D"/>
    <w:rsid w:val="2FB7198C"/>
    <w:rsid w:val="2FCB6302"/>
    <w:rsid w:val="2FD065E6"/>
    <w:rsid w:val="2FD96870"/>
    <w:rsid w:val="2FF1366D"/>
    <w:rsid w:val="30066CA6"/>
    <w:rsid w:val="300D7EF4"/>
    <w:rsid w:val="30346152"/>
    <w:rsid w:val="30580BC9"/>
    <w:rsid w:val="30D5180D"/>
    <w:rsid w:val="31135193"/>
    <w:rsid w:val="311E2ED7"/>
    <w:rsid w:val="315619EE"/>
    <w:rsid w:val="315C449C"/>
    <w:rsid w:val="31B82709"/>
    <w:rsid w:val="31D05482"/>
    <w:rsid w:val="32061C8D"/>
    <w:rsid w:val="32137867"/>
    <w:rsid w:val="321C4C9E"/>
    <w:rsid w:val="32365D80"/>
    <w:rsid w:val="323D21FF"/>
    <w:rsid w:val="32400B34"/>
    <w:rsid w:val="324028DB"/>
    <w:rsid w:val="324031B9"/>
    <w:rsid w:val="32477E4F"/>
    <w:rsid w:val="3288427A"/>
    <w:rsid w:val="329E6876"/>
    <w:rsid w:val="32B2106D"/>
    <w:rsid w:val="32BA7CAD"/>
    <w:rsid w:val="331D4B86"/>
    <w:rsid w:val="333015F2"/>
    <w:rsid w:val="334B6320"/>
    <w:rsid w:val="335A45CF"/>
    <w:rsid w:val="336770EC"/>
    <w:rsid w:val="33D934D4"/>
    <w:rsid w:val="33FE2F6A"/>
    <w:rsid w:val="3406128E"/>
    <w:rsid w:val="340E07E5"/>
    <w:rsid w:val="34235BF7"/>
    <w:rsid w:val="3433249B"/>
    <w:rsid w:val="34395B7A"/>
    <w:rsid w:val="347B725D"/>
    <w:rsid w:val="34917B95"/>
    <w:rsid w:val="351110D8"/>
    <w:rsid w:val="355665DC"/>
    <w:rsid w:val="35714D14"/>
    <w:rsid w:val="35792055"/>
    <w:rsid w:val="357A5B17"/>
    <w:rsid w:val="358C5FA8"/>
    <w:rsid w:val="35A52CA2"/>
    <w:rsid w:val="35C15DF1"/>
    <w:rsid w:val="35D20B8C"/>
    <w:rsid w:val="35DD54EF"/>
    <w:rsid w:val="35E67EFB"/>
    <w:rsid w:val="36074A7F"/>
    <w:rsid w:val="36260CAC"/>
    <w:rsid w:val="36793AE1"/>
    <w:rsid w:val="36923549"/>
    <w:rsid w:val="36AF6414"/>
    <w:rsid w:val="36B75FBF"/>
    <w:rsid w:val="36BB1053"/>
    <w:rsid w:val="36BD0C45"/>
    <w:rsid w:val="36DF427A"/>
    <w:rsid w:val="36E808DD"/>
    <w:rsid w:val="36FC2878"/>
    <w:rsid w:val="3706292C"/>
    <w:rsid w:val="372F5314"/>
    <w:rsid w:val="375830BF"/>
    <w:rsid w:val="37776E72"/>
    <w:rsid w:val="37855375"/>
    <w:rsid w:val="379C6950"/>
    <w:rsid w:val="37A01A08"/>
    <w:rsid w:val="37A56123"/>
    <w:rsid w:val="37B00F8F"/>
    <w:rsid w:val="37B020DF"/>
    <w:rsid w:val="37C544B4"/>
    <w:rsid w:val="37DD1E8B"/>
    <w:rsid w:val="37E00298"/>
    <w:rsid w:val="38106202"/>
    <w:rsid w:val="384D74F5"/>
    <w:rsid w:val="385E0909"/>
    <w:rsid w:val="38694C6C"/>
    <w:rsid w:val="38827E14"/>
    <w:rsid w:val="38945E1E"/>
    <w:rsid w:val="38B302F9"/>
    <w:rsid w:val="38BE495F"/>
    <w:rsid w:val="38D23EA9"/>
    <w:rsid w:val="38DD43EE"/>
    <w:rsid w:val="38F12CD3"/>
    <w:rsid w:val="38F94775"/>
    <w:rsid w:val="3904187D"/>
    <w:rsid w:val="39157524"/>
    <w:rsid w:val="3926441F"/>
    <w:rsid w:val="392971ED"/>
    <w:rsid w:val="39325651"/>
    <w:rsid w:val="39501A3D"/>
    <w:rsid w:val="3985390D"/>
    <w:rsid w:val="3998735C"/>
    <w:rsid w:val="3A0D0C9A"/>
    <w:rsid w:val="3A216ACA"/>
    <w:rsid w:val="3A480BE7"/>
    <w:rsid w:val="3A5F3922"/>
    <w:rsid w:val="3A872856"/>
    <w:rsid w:val="3ACC466F"/>
    <w:rsid w:val="3AF82ADD"/>
    <w:rsid w:val="3AFC66F3"/>
    <w:rsid w:val="3B082EDC"/>
    <w:rsid w:val="3B24475A"/>
    <w:rsid w:val="3B2B51FC"/>
    <w:rsid w:val="3B3763D1"/>
    <w:rsid w:val="3BA4032D"/>
    <w:rsid w:val="3BA51031"/>
    <w:rsid w:val="3BBF2F59"/>
    <w:rsid w:val="3BE016A3"/>
    <w:rsid w:val="3BEC6ED6"/>
    <w:rsid w:val="3C105D0D"/>
    <w:rsid w:val="3C202271"/>
    <w:rsid w:val="3C2F6E1E"/>
    <w:rsid w:val="3C4F64BA"/>
    <w:rsid w:val="3C8110C7"/>
    <w:rsid w:val="3C961564"/>
    <w:rsid w:val="3C9A2440"/>
    <w:rsid w:val="3CDA245A"/>
    <w:rsid w:val="3D1E06B7"/>
    <w:rsid w:val="3D435CAF"/>
    <w:rsid w:val="3D47429B"/>
    <w:rsid w:val="3D550F35"/>
    <w:rsid w:val="3D5D3538"/>
    <w:rsid w:val="3D633828"/>
    <w:rsid w:val="3D6508FD"/>
    <w:rsid w:val="3D7530EA"/>
    <w:rsid w:val="3DAD4BE3"/>
    <w:rsid w:val="3DCA0392"/>
    <w:rsid w:val="3E3676EC"/>
    <w:rsid w:val="3E4E5A56"/>
    <w:rsid w:val="3E6C263B"/>
    <w:rsid w:val="3E806C55"/>
    <w:rsid w:val="3E8410E6"/>
    <w:rsid w:val="3E8F453E"/>
    <w:rsid w:val="3E98755C"/>
    <w:rsid w:val="3EBD3659"/>
    <w:rsid w:val="3EC1343C"/>
    <w:rsid w:val="3ECD1941"/>
    <w:rsid w:val="3EDA0523"/>
    <w:rsid w:val="3F0A0720"/>
    <w:rsid w:val="3F47619E"/>
    <w:rsid w:val="3F8D5C86"/>
    <w:rsid w:val="3FA6375E"/>
    <w:rsid w:val="3FB90390"/>
    <w:rsid w:val="3FED50E8"/>
    <w:rsid w:val="401761CF"/>
    <w:rsid w:val="406A2270"/>
    <w:rsid w:val="407A6407"/>
    <w:rsid w:val="408F1B57"/>
    <w:rsid w:val="408F3A9A"/>
    <w:rsid w:val="41160F08"/>
    <w:rsid w:val="41693543"/>
    <w:rsid w:val="4188717C"/>
    <w:rsid w:val="41F827ED"/>
    <w:rsid w:val="4200449D"/>
    <w:rsid w:val="4224007C"/>
    <w:rsid w:val="423A3BCC"/>
    <w:rsid w:val="423C3B00"/>
    <w:rsid w:val="42493E2D"/>
    <w:rsid w:val="424E57D2"/>
    <w:rsid w:val="42B26C49"/>
    <w:rsid w:val="42F33775"/>
    <w:rsid w:val="42F45127"/>
    <w:rsid w:val="42F71E19"/>
    <w:rsid w:val="433A6FE6"/>
    <w:rsid w:val="43480868"/>
    <w:rsid w:val="4350713C"/>
    <w:rsid w:val="43547AF7"/>
    <w:rsid w:val="435B1653"/>
    <w:rsid w:val="436653E0"/>
    <w:rsid w:val="43911D66"/>
    <w:rsid w:val="43A77903"/>
    <w:rsid w:val="43AF64F0"/>
    <w:rsid w:val="43C4431A"/>
    <w:rsid w:val="43C769DA"/>
    <w:rsid w:val="441E5932"/>
    <w:rsid w:val="44545A19"/>
    <w:rsid w:val="448843F2"/>
    <w:rsid w:val="448B0BED"/>
    <w:rsid w:val="44B951CC"/>
    <w:rsid w:val="44BE090A"/>
    <w:rsid w:val="44C02167"/>
    <w:rsid w:val="44CD14E0"/>
    <w:rsid w:val="44F20B0B"/>
    <w:rsid w:val="45040EC9"/>
    <w:rsid w:val="450C2BD2"/>
    <w:rsid w:val="45252745"/>
    <w:rsid w:val="452E5F4C"/>
    <w:rsid w:val="453D0E64"/>
    <w:rsid w:val="45612018"/>
    <w:rsid w:val="457C0EB2"/>
    <w:rsid w:val="45892190"/>
    <w:rsid w:val="458936F8"/>
    <w:rsid w:val="458946E9"/>
    <w:rsid w:val="45A46DD1"/>
    <w:rsid w:val="45A47C0E"/>
    <w:rsid w:val="45B02934"/>
    <w:rsid w:val="45B666E9"/>
    <w:rsid w:val="45B9157C"/>
    <w:rsid w:val="45BB2A48"/>
    <w:rsid w:val="46206F5E"/>
    <w:rsid w:val="462F51FA"/>
    <w:rsid w:val="463C08C5"/>
    <w:rsid w:val="46471161"/>
    <w:rsid w:val="46577FD6"/>
    <w:rsid w:val="465A54A8"/>
    <w:rsid w:val="46794FBC"/>
    <w:rsid w:val="46B94F60"/>
    <w:rsid w:val="46D955A7"/>
    <w:rsid w:val="46F20F35"/>
    <w:rsid w:val="46F52FFC"/>
    <w:rsid w:val="46F94B12"/>
    <w:rsid w:val="47133957"/>
    <w:rsid w:val="474B4605"/>
    <w:rsid w:val="47664550"/>
    <w:rsid w:val="47750FF8"/>
    <w:rsid w:val="4777411D"/>
    <w:rsid w:val="477B242B"/>
    <w:rsid w:val="478A772D"/>
    <w:rsid w:val="47A07E0C"/>
    <w:rsid w:val="47B26989"/>
    <w:rsid w:val="48216D57"/>
    <w:rsid w:val="4839064D"/>
    <w:rsid w:val="485B6399"/>
    <w:rsid w:val="4870272E"/>
    <w:rsid w:val="489A1D6A"/>
    <w:rsid w:val="48AE5751"/>
    <w:rsid w:val="48D41330"/>
    <w:rsid w:val="49156525"/>
    <w:rsid w:val="49485601"/>
    <w:rsid w:val="494E24DA"/>
    <w:rsid w:val="495C3076"/>
    <w:rsid w:val="496020FD"/>
    <w:rsid w:val="496B397D"/>
    <w:rsid w:val="49B71401"/>
    <w:rsid w:val="49C378B5"/>
    <w:rsid w:val="49DC7715"/>
    <w:rsid w:val="4A023139"/>
    <w:rsid w:val="4A1B2199"/>
    <w:rsid w:val="4A74690C"/>
    <w:rsid w:val="4A7B576F"/>
    <w:rsid w:val="4AA235A8"/>
    <w:rsid w:val="4AD042EC"/>
    <w:rsid w:val="4AE00EDD"/>
    <w:rsid w:val="4AF561A9"/>
    <w:rsid w:val="4B13062E"/>
    <w:rsid w:val="4B364540"/>
    <w:rsid w:val="4B411C1E"/>
    <w:rsid w:val="4B7302E5"/>
    <w:rsid w:val="4B7C69D9"/>
    <w:rsid w:val="4B887838"/>
    <w:rsid w:val="4B8A1E15"/>
    <w:rsid w:val="4B962A13"/>
    <w:rsid w:val="4BC25CDD"/>
    <w:rsid w:val="4BDE0E30"/>
    <w:rsid w:val="4BE236B8"/>
    <w:rsid w:val="4C070947"/>
    <w:rsid w:val="4C0C0CB2"/>
    <w:rsid w:val="4C1249B7"/>
    <w:rsid w:val="4C19230C"/>
    <w:rsid w:val="4C4A0649"/>
    <w:rsid w:val="4C4C5CD2"/>
    <w:rsid w:val="4C621793"/>
    <w:rsid w:val="4C7E5ECA"/>
    <w:rsid w:val="4C876AA5"/>
    <w:rsid w:val="4CE3458F"/>
    <w:rsid w:val="4CF0270B"/>
    <w:rsid w:val="4D0253F7"/>
    <w:rsid w:val="4D0E00FB"/>
    <w:rsid w:val="4D0F2303"/>
    <w:rsid w:val="4D176606"/>
    <w:rsid w:val="4D252B46"/>
    <w:rsid w:val="4D980F24"/>
    <w:rsid w:val="4DEA3974"/>
    <w:rsid w:val="4DEC4FB0"/>
    <w:rsid w:val="4DFA4D99"/>
    <w:rsid w:val="4E075D8A"/>
    <w:rsid w:val="4E2F321F"/>
    <w:rsid w:val="4E3C1482"/>
    <w:rsid w:val="4E583B74"/>
    <w:rsid w:val="4E9C7749"/>
    <w:rsid w:val="4EA92CA0"/>
    <w:rsid w:val="4EC00FAD"/>
    <w:rsid w:val="4F037132"/>
    <w:rsid w:val="4F730B48"/>
    <w:rsid w:val="4F8E7315"/>
    <w:rsid w:val="4F9843DC"/>
    <w:rsid w:val="4FA66B96"/>
    <w:rsid w:val="4FA95011"/>
    <w:rsid w:val="4FC62A8C"/>
    <w:rsid w:val="4FC91822"/>
    <w:rsid w:val="4FE20F0D"/>
    <w:rsid w:val="4FE51552"/>
    <w:rsid w:val="50164245"/>
    <w:rsid w:val="50437BAC"/>
    <w:rsid w:val="504D1248"/>
    <w:rsid w:val="50504C4B"/>
    <w:rsid w:val="50663A4B"/>
    <w:rsid w:val="50770F38"/>
    <w:rsid w:val="50804832"/>
    <w:rsid w:val="5085278C"/>
    <w:rsid w:val="509102F3"/>
    <w:rsid w:val="509C6E7C"/>
    <w:rsid w:val="50C82A3C"/>
    <w:rsid w:val="50CD334D"/>
    <w:rsid w:val="50D8547B"/>
    <w:rsid w:val="511C66F3"/>
    <w:rsid w:val="512150F5"/>
    <w:rsid w:val="51313466"/>
    <w:rsid w:val="5162104E"/>
    <w:rsid w:val="516D0CB2"/>
    <w:rsid w:val="518F7B36"/>
    <w:rsid w:val="51933974"/>
    <w:rsid w:val="519F0CE2"/>
    <w:rsid w:val="51D65E1F"/>
    <w:rsid w:val="5208144E"/>
    <w:rsid w:val="522B30EE"/>
    <w:rsid w:val="525F19AC"/>
    <w:rsid w:val="5261159C"/>
    <w:rsid w:val="527C78E0"/>
    <w:rsid w:val="52805426"/>
    <w:rsid w:val="528167C6"/>
    <w:rsid w:val="52876FBC"/>
    <w:rsid w:val="52A77139"/>
    <w:rsid w:val="52CB3A69"/>
    <w:rsid w:val="52D92C7B"/>
    <w:rsid w:val="531F542D"/>
    <w:rsid w:val="53341368"/>
    <w:rsid w:val="535575FD"/>
    <w:rsid w:val="535D6F09"/>
    <w:rsid w:val="53A039CC"/>
    <w:rsid w:val="53A1505A"/>
    <w:rsid w:val="54063E08"/>
    <w:rsid w:val="540D521B"/>
    <w:rsid w:val="541B496C"/>
    <w:rsid w:val="5432700A"/>
    <w:rsid w:val="543437E8"/>
    <w:rsid w:val="544233C6"/>
    <w:rsid w:val="54481D11"/>
    <w:rsid w:val="54564B55"/>
    <w:rsid w:val="545F0A3C"/>
    <w:rsid w:val="5483138E"/>
    <w:rsid w:val="54BF0BE7"/>
    <w:rsid w:val="54CA3EAB"/>
    <w:rsid w:val="54EA002B"/>
    <w:rsid w:val="54F73313"/>
    <w:rsid w:val="54F80955"/>
    <w:rsid w:val="554B65F4"/>
    <w:rsid w:val="555170A7"/>
    <w:rsid w:val="55687DD6"/>
    <w:rsid w:val="55712F45"/>
    <w:rsid w:val="55847B72"/>
    <w:rsid w:val="5587536D"/>
    <w:rsid w:val="558F233D"/>
    <w:rsid w:val="559B174B"/>
    <w:rsid w:val="55CE0CF4"/>
    <w:rsid w:val="55F056A8"/>
    <w:rsid w:val="560F5B4E"/>
    <w:rsid w:val="56211F00"/>
    <w:rsid w:val="56267BEF"/>
    <w:rsid w:val="5669593C"/>
    <w:rsid w:val="566D372F"/>
    <w:rsid w:val="56817EEC"/>
    <w:rsid w:val="56823706"/>
    <w:rsid w:val="56B22A9C"/>
    <w:rsid w:val="56F736EE"/>
    <w:rsid w:val="57061BD9"/>
    <w:rsid w:val="571F3FCE"/>
    <w:rsid w:val="57AF3376"/>
    <w:rsid w:val="57B72A76"/>
    <w:rsid w:val="57C3426C"/>
    <w:rsid w:val="57CE1F93"/>
    <w:rsid w:val="57EA789A"/>
    <w:rsid w:val="587F062E"/>
    <w:rsid w:val="588743D1"/>
    <w:rsid w:val="5887701A"/>
    <w:rsid w:val="58A249E3"/>
    <w:rsid w:val="58D74943"/>
    <w:rsid w:val="590749D9"/>
    <w:rsid w:val="59292501"/>
    <w:rsid w:val="59637968"/>
    <w:rsid w:val="598B3970"/>
    <w:rsid w:val="59BF7F63"/>
    <w:rsid w:val="59C0439F"/>
    <w:rsid w:val="59F06734"/>
    <w:rsid w:val="59FF6155"/>
    <w:rsid w:val="5A1C4C04"/>
    <w:rsid w:val="5A783B24"/>
    <w:rsid w:val="5A847F18"/>
    <w:rsid w:val="5A9F06E6"/>
    <w:rsid w:val="5ABE2233"/>
    <w:rsid w:val="5AFC33FC"/>
    <w:rsid w:val="5B2E3871"/>
    <w:rsid w:val="5B5575DC"/>
    <w:rsid w:val="5B8B3750"/>
    <w:rsid w:val="5B9F5F4E"/>
    <w:rsid w:val="5BC13A0E"/>
    <w:rsid w:val="5BDF5D95"/>
    <w:rsid w:val="5BFB348A"/>
    <w:rsid w:val="5BFE7528"/>
    <w:rsid w:val="5C7018AE"/>
    <w:rsid w:val="5C834DA5"/>
    <w:rsid w:val="5C87693F"/>
    <w:rsid w:val="5C910C51"/>
    <w:rsid w:val="5CA24830"/>
    <w:rsid w:val="5CFB4A73"/>
    <w:rsid w:val="5D146300"/>
    <w:rsid w:val="5D1D6639"/>
    <w:rsid w:val="5D2E3013"/>
    <w:rsid w:val="5D336704"/>
    <w:rsid w:val="5D5229BB"/>
    <w:rsid w:val="5D7E4ED5"/>
    <w:rsid w:val="5D9D2D9D"/>
    <w:rsid w:val="5E2467F1"/>
    <w:rsid w:val="5E853B8C"/>
    <w:rsid w:val="5EC104AD"/>
    <w:rsid w:val="5EF46298"/>
    <w:rsid w:val="5EF53A38"/>
    <w:rsid w:val="5F1A2B43"/>
    <w:rsid w:val="5F684682"/>
    <w:rsid w:val="5F8C215D"/>
    <w:rsid w:val="5FA7725B"/>
    <w:rsid w:val="5FB837BB"/>
    <w:rsid w:val="5FBB57DE"/>
    <w:rsid w:val="5FD65E66"/>
    <w:rsid w:val="5FF52E15"/>
    <w:rsid w:val="602B4AC8"/>
    <w:rsid w:val="60440A11"/>
    <w:rsid w:val="60534379"/>
    <w:rsid w:val="60CC405A"/>
    <w:rsid w:val="60D61A91"/>
    <w:rsid w:val="60E02136"/>
    <w:rsid w:val="60E92B2F"/>
    <w:rsid w:val="6134063B"/>
    <w:rsid w:val="61832FCB"/>
    <w:rsid w:val="6197105C"/>
    <w:rsid w:val="61E215D8"/>
    <w:rsid w:val="621B3775"/>
    <w:rsid w:val="62351D80"/>
    <w:rsid w:val="62364782"/>
    <w:rsid w:val="626D22D8"/>
    <w:rsid w:val="628668D4"/>
    <w:rsid w:val="63036DD7"/>
    <w:rsid w:val="6328196E"/>
    <w:rsid w:val="633D24F5"/>
    <w:rsid w:val="636710BB"/>
    <w:rsid w:val="637F0918"/>
    <w:rsid w:val="638011C9"/>
    <w:rsid w:val="6394356A"/>
    <w:rsid w:val="63A62BD5"/>
    <w:rsid w:val="63AD358C"/>
    <w:rsid w:val="63C61B2C"/>
    <w:rsid w:val="63D40BE9"/>
    <w:rsid w:val="64102431"/>
    <w:rsid w:val="64440C12"/>
    <w:rsid w:val="646417BE"/>
    <w:rsid w:val="64795E76"/>
    <w:rsid w:val="64A5243A"/>
    <w:rsid w:val="64C50928"/>
    <w:rsid w:val="64F531DE"/>
    <w:rsid w:val="6523520A"/>
    <w:rsid w:val="65373578"/>
    <w:rsid w:val="653F759A"/>
    <w:rsid w:val="65B853B3"/>
    <w:rsid w:val="661A0A56"/>
    <w:rsid w:val="6667540E"/>
    <w:rsid w:val="66A26F68"/>
    <w:rsid w:val="66AD2D82"/>
    <w:rsid w:val="66C76E49"/>
    <w:rsid w:val="66E95B0F"/>
    <w:rsid w:val="66F85315"/>
    <w:rsid w:val="66F86615"/>
    <w:rsid w:val="671F124A"/>
    <w:rsid w:val="6744731B"/>
    <w:rsid w:val="6759663F"/>
    <w:rsid w:val="67736009"/>
    <w:rsid w:val="677A33C6"/>
    <w:rsid w:val="67A711D3"/>
    <w:rsid w:val="67B1650E"/>
    <w:rsid w:val="67D66E8B"/>
    <w:rsid w:val="68101E59"/>
    <w:rsid w:val="681F6961"/>
    <w:rsid w:val="682558E5"/>
    <w:rsid w:val="684F2A0F"/>
    <w:rsid w:val="68610A2F"/>
    <w:rsid w:val="68805514"/>
    <w:rsid w:val="68A97E89"/>
    <w:rsid w:val="68B25241"/>
    <w:rsid w:val="68B463F0"/>
    <w:rsid w:val="68ED2D68"/>
    <w:rsid w:val="68F311EA"/>
    <w:rsid w:val="69316E2F"/>
    <w:rsid w:val="693F055B"/>
    <w:rsid w:val="694E2071"/>
    <w:rsid w:val="694E793E"/>
    <w:rsid w:val="69660230"/>
    <w:rsid w:val="69766163"/>
    <w:rsid w:val="697A3B33"/>
    <w:rsid w:val="69832232"/>
    <w:rsid w:val="698E1178"/>
    <w:rsid w:val="69BC46B9"/>
    <w:rsid w:val="69BC4B0D"/>
    <w:rsid w:val="69D44760"/>
    <w:rsid w:val="69ED4472"/>
    <w:rsid w:val="69F34DA2"/>
    <w:rsid w:val="6A4423F7"/>
    <w:rsid w:val="6A4447BD"/>
    <w:rsid w:val="6A4754E2"/>
    <w:rsid w:val="6A520EC7"/>
    <w:rsid w:val="6A622930"/>
    <w:rsid w:val="6AC733BB"/>
    <w:rsid w:val="6AF87728"/>
    <w:rsid w:val="6AF87E20"/>
    <w:rsid w:val="6B322639"/>
    <w:rsid w:val="6B4667EF"/>
    <w:rsid w:val="6B6751E0"/>
    <w:rsid w:val="6B9D42BD"/>
    <w:rsid w:val="6BB430DC"/>
    <w:rsid w:val="6BC81F03"/>
    <w:rsid w:val="6BD44BDE"/>
    <w:rsid w:val="6BD74275"/>
    <w:rsid w:val="6C1329AA"/>
    <w:rsid w:val="6C457B42"/>
    <w:rsid w:val="6C636C38"/>
    <w:rsid w:val="6C67343F"/>
    <w:rsid w:val="6C7F6C8F"/>
    <w:rsid w:val="6C922340"/>
    <w:rsid w:val="6CD9218B"/>
    <w:rsid w:val="6CE62A29"/>
    <w:rsid w:val="6D076059"/>
    <w:rsid w:val="6D1A7611"/>
    <w:rsid w:val="6D59213A"/>
    <w:rsid w:val="6D8D7E99"/>
    <w:rsid w:val="6DB34098"/>
    <w:rsid w:val="6DB545B6"/>
    <w:rsid w:val="6DDE456C"/>
    <w:rsid w:val="6DE02FB4"/>
    <w:rsid w:val="6DF91576"/>
    <w:rsid w:val="6E022832"/>
    <w:rsid w:val="6E167BAA"/>
    <w:rsid w:val="6E514CED"/>
    <w:rsid w:val="6E8569BE"/>
    <w:rsid w:val="6E896EF1"/>
    <w:rsid w:val="6E90449B"/>
    <w:rsid w:val="6EAE375A"/>
    <w:rsid w:val="6EB563D5"/>
    <w:rsid w:val="6EC37717"/>
    <w:rsid w:val="6ED92677"/>
    <w:rsid w:val="6F225983"/>
    <w:rsid w:val="6F2E2769"/>
    <w:rsid w:val="6F4E4A91"/>
    <w:rsid w:val="6F542173"/>
    <w:rsid w:val="6F63386F"/>
    <w:rsid w:val="6F7C614A"/>
    <w:rsid w:val="6FC21A5C"/>
    <w:rsid w:val="6FC82EC0"/>
    <w:rsid w:val="6FCB5E97"/>
    <w:rsid w:val="6FFC5590"/>
    <w:rsid w:val="70121C1D"/>
    <w:rsid w:val="702C4925"/>
    <w:rsid w:val="7034326F"/>
    <w:rsid w:val="704D4176"/>
    <w:rsid w:val="704F6291"/>
    <w:rsid w:val="706D1DD0"/>
    <w:rsid w:val="70856B87"/>
    <w:rsid w:val="70D527EE"/>
    <w:rsid w:val="70DA08E5"/>
    <w:rsid w:val="70F328C4"/>
    <w:rsid w:val="71183D75"/>
    <w:rsid w:val="71376EA8"/>
    <w:rsid w:val="715B5300"/>
    <w:rsid w:val="716D24CA"/>
    <w:rsid w:val="71860847"/>
    <w:rsid w:val="71993A26"/>
    <w:rsid w:val="71996E86"/>
    <w:rsid w:val="71BF23AB"/>
    <w:rsid w:val="71CA0163"/>
    <w:rsid w:val="71D27F8A"/>
    <w:rsid w:val="71E73D3C"/>
    <w:rsid w:val="71F04582"/>
    <w:rsid w:val="72241386"/>
    <w:rsid w:val="72405B3F"/>
    <w:rsid w:val="72553024"/>
    <w:rsid w:val="72635FFF"/>
    <w:rsid w:val="72820C4B"/>
    <w:rsid w:val="72900B76"/>
    <w:rsid w:val="72B94FCF"/>
    <w:rsid w:val="72D601B3"/>
    <w:rsid w:val="73084A50"/>
    <w:rsid w:val="73122968"/>
    <w:rsid w:val="731F5D5E"/>
    <w:rsid w:val="73315CFA"/>
    <w:rsid w:val="7368762F"/>
    <w:rsid w:val="73820EF8"/>
    <w:rsid w:val="73900909"/>
    <w:rsid w:val="73986F61"/>
    <w:rsid w:val="73B14335"/>
    <w:rsid w:val="73C51AD5"/>
    <w:rsid w:val="73C57969"/>
    <w:rsid w:val="73CF3E37"/>
    <w:rsid w:val="73F710D1"/>
    <w:rsid w:val="741E793C"/>
    <w:rsid w:val="74216DC1"/>
    <w:rsid w:val="744461C8"/>
    <w:rsid w:val="745E3944"/>
    <w:rsid w:val="749041B2"/>
    <w:rsid w:val="74B16CA1"/>
    <w:rsid w:val="74D86289"/>
    <w:rsid w:val="74EB6458"/>
    <w:rsid w:val="751C481E"/>
    <w:rsid w:val="754119BD"/>
    <w:rsid w:val="754D560C"/>
    <w:rsid w:val="75583169"/>
    <w:rsid w:val="75751C2B"/>
    <w:rsid w:val="75AF20F3"/>
    <w:rsid w:val="760034CA"/>
    <w:rsid w:val="76042B02"/>
    <w:rsid w:val="76277742"/>
    <w:rsid w:val="7635099D"/>
    <w:rsid w:val="763B7AE8"/>
    <w:rsid w:val="77140088"/>
    <w:rsid w:val="773A4B45"/>
    <w:rsid w:val="77457A72"/>
    <w:rsid w:val="774D0E49"/>
    <w:rsid w:val="775D45BD"/>
    <w:rsid w:val="776D5856"/>
    <w:rsid w:val="77762421"/>
    <w:rsid w:val="77786D8D"/>
    <w:rsid w:val="7798250B"/>
    <w:rsid w:val="77B56B1F"/>
    <w:rsid w:val="77CA2D8D"/>
    <w:rsid w:val="780F09F4"/>
    <w:rsid w:val="781D2D14"/>
    <w:rsid w:val="785129BA"/>
    <w:rsid w:val="785B3419"/>
    <w:rsid w:val="785D4710"/>
    <w:rsid w:val="78897CBD"/>
    <w:rsid w:val="78A90480"/>
    <w:rsid w:val="79234C07"/>
    <w:rsid w:val="793F7CE2"/>
    <w:rsid w:val="794F4EEB"/>
    <w:rsid w:val="797D05F4"/>
    <w:rsid w:val="79805BAC"/>
    <w:rsid w:val="798B0686"/>
    <w:rsid w:val="79A33A0C"/>
    <w:rsid w:val="79CC7C8E"/>
    <w:rsid w:val="7A021D3B"/>
    <w:rsid w:val="7A0D26E4"/>
    <w:rsid w:val="7A184574"/>
    <w:rsid w:val="7A364017"/>
    <w:rsid w:val="7A8265E1"/>
    <w:rsid w:val="7A9444D2"/>
    <w:rsid w:val="7B030F01"/>
    <w:rsid w:val="7B0C0951"/>
    <w:rsid w:val="7B127743"/>
    <w:rsid w:val="7B1B2580"/>
    <w:rsid w:val="7B411AC6"/>
    <w:rsid w:val="7B686D42"/>
    <w:rsid w:val="7B7664AA"/>
    <w:rsid w:val="7B841746"/>
    <w:rsid w:val="7BCA4DE2"/>
    <w:rsid w:val="7BD6171F"/>
    <w:rsid w:val="7BEA0FE2"/>
    <w:rsid w:val="7C162EED"/>
    <w:rsid w:val="7C1662D1"/>
    <w:rsid w:val="7C323261"/>
    <w:rsid w:val="7C403514"/>
    <w:rsid w:val="7C624733"/>
    <w:rsid w:val="7C6C5AC7"/>
    <w:rsid w:val="7C8F6A43"/>
    <w:rsid w:val="7CC6544B"/>
    <w:rsid w:val="7CD647BE"/>
    <w:rsid w:val="7D0239FF"/>
    <w:rsid w:val="7D2B68BA"/>
    <w:rsid w:val="7D452C2A"/>
    <w:rsid w:val="7D5C76BD"/>
    <w:rsid w:val="7D5E40CD"/>
    <w:rsid w:val="7D6A6154"/>
    <w:rsid w:val="7D714829"/>
    <w:rsid w:val="7DCD56F2"/>
    <w:rsid w:val="7DEF3881"/>
    <w:rsid w:val="7E0974BC"/>
    <w:rsid w:val="7E1A1042"/>
    <w:rsid w:val="7E205834"/>
    <w:rsid w:val="7E250ACC"/>
    <w:rsid w:val="7E470B92"/>
    <w:rsid w:val="7E494CFF"/>
    <w:rsid w:val="7E531039"/>
    <w:rsid w:val="7E7512AF"/>
    <w:rsid w:val="7E974C28"/>
    <w:rsid w:val="7ED93E88"/>
    <w:rsid w:val="7F001CE7"/>
    <w:rsid w:val="7FC0331F"/>
    <w:rsid w:val="7FE47E50"/>
    <w:rsid w:val="7FEA62CC"/>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name="heading 2" w:locked="1"/>
    <w:lsdException w:qFormat="1" w:unhideWhenUsed="0" w:uiPriority="0" w:semiHidden="0" w:name="heading 3" w:locked="1"/>
    <w:lsdException w:qFormat="1"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0" w:name="index 1" w:locked="1"/>
    <w:lsdException w:uiPriority="0" w:name="index 2" w:locked="1"/>
    <w:lsdException w:uiPriority="0" w:name="index 3" w:locked="1"/>
    <w:lsdException w:uiPriority="0" w:name="index 4" w:locked="1"/>
    <w:lsdException w:uiPriority="0" w:name="index 5" w:locked="1"/>
    <w:lsdException w:uiPriority="0" w:name="index 6" w:locked="1"/>
    <w:lsdException w:uiPriority="0" w:name="index 7" w:locked="1"/>
    <w:lsdException w:uiPriority="0" w:name="index 8" w:locked="1"/>
    <w:lsdException w:uiPriority="0" w:name="index 9" w:locked="1"/>
    <w:lsdException w:qFormat="1" w:unhideWhenUsed="0" w:uiPriority="39" w:semiHidden="0" w:name="toc 1" w:locked="1"/>
    <w:lsdException w:qFormat="1" w:unhideWhenUsed="0" w:uiPriority="39" w:semiHidden="0" w:name="toc 2" w:locked="1"/>
    <w:lsdException w:uiPriority="0" w:name="toc 3" w:locked="1"/>
    <w:lsdException w:uiPriority="0" w:name="toc 4" w:locked="1"/>
    <w:lsdException w:uiPriority="0" w:name="toc 5" w:locked="1"/>
    <w:lsdException w:uiPriority="0" w:name="toc 6" w:locked="1"/>
    <w:lsdException w:uiPriority="0" w:name="toc 7" w:locked="1"/>
    <w:lsdException w:uiPriority="0" w:name="toc 8" w:locked="1"/>
    <w:lsdException w:uiPriority="0" w:name="toc 9" w:locked="1"/>
    <w:lsdException w:qFormat="1" w:unhideWhenUsed="0" w:uiPriority="0" w:semiHidden="0" w:name="Normal Indent" w:locked="1"/>
    <w:lsdException w:uiPriority="0" w:name="footnote text" w:locked="1"/>
    <w:lsdException w:qFormat="1" w:unhideWhenUsed="0" w:uiPriority="0" w:semiHidden="0" w:name="annotation text"/>
    <w:lsdException w:qFormat="1" w:unhideWhenUsed="0" w:uiPriority="0" w:semiHidden="0" w:name="header"/>
    <w:lsdException w:qFormat="1" w:unhideWhenUsed="0" w:uiPriority="99" w:semiHidden="0" w:name="footer"/>
    <w:lsdException w:uiPriority="0" w:name="index heading" w:locked="1"/>
    <w:lsdException w:qFormat="1" w:uiPriority="0" w:semiHidden="0" w:name="caption" w:locked="1"/>
    <w:lsdException w:uiPriority="0" w:name="table of figures" w:locked="1"/>
    <w:lsdException w:uiPriority="0" w:name="envelope address" w:locked="1"/>
    <w:lsdException w:uiPriority="0" w:name="envelope return" w:locked="1"/>
    <w:lsdException w:uiPriority="0" w:name="footnote reference" w:locked="1"/>
    <w:lsdException w:qFormat="1" w:unhideWhenUsed="0" w:uiPriority="0" w:semiHidden="0" w:name="annotation reference"/>
    <w:lsdException w:uiPriority="0" w:name="line number" w:locked="1"/>
    <w:lsdException w:qFormat="1" w:unhideWhenUsed="0" w:uiPriority="0" w:semiHidden="0" w:name="page number" w:locked="1"/>
    <w:lsdException w:qFormat="1" w:uiPriority="0" w:name="endnote reference" w:locked="1"/>
    <w:lsdException w:qFormat="1" w:uiPriority="0" w:name="endnote text" w:locked="1"/>
    <w:lsdException w:uiPriority="0" w:name="table of authorities" w:locked="1"/>
    <w:lsdException w:uiPriority="0" w:name="macro" w:locked="1"/>
    <w:lsdException w:uiPriority="0" w:name="toa heading" w:locked="1"/>
    <w:lsdException w:qFormat="1" w:unhideWhenUsed="0" w:uiPriority="0" w:semiHidden="0" w:name="List" w:locked="1"/>
    <w:lsdException w:uiPriority="0" w:name="List Bullet" w:locked="1"/>
    <w:lsdException w:uiPriority="0" w:name="List Number" w:locked="1"/>
    <w:lsdException w:uiPriority="0" w:name="List 2" w:locked="1"/>
    <w:lsdException w:uiPriority="0" w:name="List 3" w:locked="1"/>
    <w:lsdException w:uiPriority="0" w:name="List 4" w:locked="1"/>
    <w:lsdException w:uiPriority="0" w:name="List 5" w:locked="1"/>
    <w:lsdException w:uiPriority="0" w:name="List Bullet 2" w:locked="1"/>
    <w:lsdException w:uiPriority="0" w:name="List Bullet 3" w:locked="1"/>
    <w:lsdException w:uiPriority="0" w:name="List Bullet 4" w:locked="1"/>
    <w:lsdException w:uiPriority="0" w:name="List Bullet 5" w:locked="1"/>
    <w:lsdException w:uiPriority="0" w:name="List Number 2" w:locked="1"/>
    <w:lsdException w:uiPriority="0" w:name="List Number 3" w:locked="1"/>
    <w:lsdException w:uiPriority="0" w:name="List Number 4" w:locked="1"/>
    <w:lsdException w:uiPriority="0" w:name="List Number 5" w:locked="1"/>
    <w:lsdException w:qFormat="1" w:unhideWhenUsed="0" w:uiPriority="0" w:semiHidden="0" w:name="Title" w:locked="1"/>
    <w:lsdException w:uiPriority="0" w:name="Closing" w:locked="1"/>
    <w:lsdException w:uiPriority="0" w:name="Signature" w:locked="1"/>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ocked="1"/>
    <w:lsdException w:uiPriority="0" w:name="List Continue 2" w:locked="1"/>
    <w:lsdException w:uiPriority="0" w:name="List Continue 3" w:locked="1"/>
    <w:lsdException w:uiPriority="0" w:name="List Continue 4" w:locked="1"/>
    <w:lsdException w:uiPriority="0" w:name="List Continue 5" w:locked="1"/>
    <w:lsdException w:qFormat="1" w:unhideWhenUsed="0" w:uiPriority="0" w:semiHidden="0" w:name="Message Header" w:locked="1"/>
    <w:lsdException w:qFormat="1" w:unhideWhenUsed="0" w:uiPriority="0" w:semiHidden="0" w:name="Subtitle" w:locked="1"/>
    <w:lsdException w:uiPriority="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iPriority="0" w:name="Note Heading" w:locked="1"/>
    <w:lsdException w:uiPriority="0" w:name="Body Text 2" w:locked="1"/>
    <w:lsdException w:uiPriority="0" w:name="Body Text 3" w:locked="1"/>
    <w:lsdException w:uiPriority="0" w:name="Body Text Indent 2" w:locked="1"/>
    <w:lsdException w:qFormat="1" w:unhideWhenUsed="0" w:uiPriority="0" w:semiHidden="0" w:name="Body Text Indent 3" w:locked="1"/>
    <w:lsdException w:qFormat="1" w:unhideWhenUsed="0" w:uiPriority="0" w:semiHidden="0" w:name="Block Text" w:locked="1"/>
    <w:lsdException w:qFormat="1" w:uiPriority="99" w:semiHidden="0" w:name="Hyperlink" w:locked="1"/>
    <w:lsdException w:uiPriority="0" w:name="FollowedHyperlink" w:locked="1"/>
    <w:lsdException w:qFormat="1" w:unhideWhenUsed="0" w:uiPriority="22" w:semiHidden="0" w:name="Strong" w:locked="1"/>
    <w:lsdException w:qFormat="1" w:unhideWhenUsed="0" w:uiPriority="0" w:semiHidden="0" w:name="Emphasis" w:locked="1"/>
    <w:lsdException w:qFormat="1" w:unhideWhenUsed="0" w:uiPriority="0" w:semiHidden="0" w:name="Document Map" w:locked="1"/>
    <w:lsdException w:qFormat="1" w:uiPriority="0" w:semiHidden="0" w:name="Plain Text" w:locked="1"/>
    <w:lsdException w:uiPriority="0" w:name="E-mail Signature" w:locked="1"/>
    <w:lsdException w:qFormat="1" w:unhideWhenUsed="0" w:uiPriority="99" w:semiHidden="0" w:name="Normal (Web)"/>
    <w:lsdException w:uiPriority="0" w:name="HTML Acronym" w:locked="1"/>
    <w:lsdException w:uiPriority="0" w:name="HTML Address" w:locked="1"/>
    <w:lsdException w:uiPriority="0" w:name="HTML Cite" w:locked="1"/>
    <w:lsdException w:uiPriority="0" w:name="HTML Code" w:locked="1"/>
    <w:lsdException w:uiPriority="0" w:name="HTML Definition" w:locked="1"/>
    <w:lsdException w:uiPriority="0" w:name="HTML Keyboard" w:locked="1"/>
    <w:lsdException w:uiPriority="0" w:name="HTML Preformatted" w:locked="1"/>
    <w:lsdException w:uiPriority="0" w:name="HTML Sample" w:locked="1"/>
    <w:lsdException w:uiPriority="0" w:name="HTML Typewriter" w:locked="1"/>
    <w:lsdException w:uiPriority="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link w:val="103"/>
    <w:semiHidden/>
    <w:unhideWhenUsed/>
    <w:qFormat/>
    <w:locked/>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50"/>
    <w:qFormat/>
    <w:locked/>
    <w:uiPriority w:val="0"/>
    <w:pPr>
      <w:keepNext/>
      <w:keepLines/>
      <w:spacing w:before="260" w:after="260" w:line="416" w:lineRule="auto"/>
      <w:outlineLvl w:val="2"/>
    </w:pPr>
    <w:rPr>
      <w:b/>
      <w:bCs/>
      <w:sz w:val="32"/>
      <w:szCs w:val="32"/>
    </w:rPr>
  </w:style>
  <w:style w:type="paragraph" w:styleId="5">
    <w:name w:val="heading 4"/>
    <w:basedOn w:val="1"/>
    <w:next w:val="1"/>
    <w:unhideWhenUsed/>
    <w:qFormat/>
    <w:locked/>
    <w:uiPriority w:val="0"/>
    <w:pPr>
      <w:keepNext/>
      <w:keepLines/>
      <w:snapToGrid w:val="0"/>
      <w:spacing w:line="360" w:lineRule="auto"/>
      <w:jc w:val="left"/>
      <w:outlineLvl w:val="3"/>
    </w:pPr>
    <w:rPr>
      <w:rFonts w:ascii="Arial" w:hAnsi="Arial"/>
      <w:bCs/>
      <w:sz w:val="24"/>
    </w:rPr>
  </w:style>
  <w:style w:type="character" w:default="1" w:styleId="33">
    <w:name w:val="Default Paragraph Font"/>
    <w:semiHidden/>
    <w:unhideWhenUsed/>
    <w:qFormat/>
    <w:uiPriority w:val="1"/>
  </w:style>
  <w:style w:type="table" w:default="1" w:styleId="3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next w:val="7"/>
    <w:link w:val="72"/>
    <w:qFormat/>
    <w:locked/>
    <w:uiPriority w:val="0"/>
    <w:pPr>
      <w:widowControl/>
      <w:spacing w:line="240" w:lineRule="exact"/>
      <w:ind w:firstLine="420" w:firstLineChars="200"/>
      <w:jc w:val="left"/>
    </w:pPr>
    <w:rPr>
      <w:kern w:val="0"/>
      <w:sz w:val="20"/>
      <w:szCs w:val="20"/>
    </w:rPr>
  </w:style>
  <w:style w:type="paragraph" w:customStyle="1" w:styleId="7">
    <w:name w:val="正文首行缩进2个字 Char"/>
    <w:basedOn w:val="1"/>
    <w:qFormat/>
    <w:uiPriority w:val="0"/>
    <w:pPr>
      <w:ind w:firstLine="480" w:firstLineChars="200"/>
    </w:pPr>
    <w:rPr>
      <w:rFonts w:eastAsia="楷体"/>
      <w:sz w:val="24"/>
      <w:szCs w:val="24"/>
    </w:rPr>
  </w:style>
  <w:style w:type="paragraph" w:styleId="8">
    <w:name w:val="caption"/>
    <w:basedOn w:val="1"/>
    <w:next w:val="1"/>
    <w:unhideWhenUsed/>
    <w:qFormat/>
    <w:locked/>
    <w:uiPriority w:val="0"/>
    <w:pPr>
      <w:jc w:val="center"/>
    </w:pPr>
    <w:rPr>
      <w:rFonts w:ascii="Arial" w:hAnsi="Arial"/>
      <w:b/>
      <w:kern w:val="0"/>
      <w:szCs w:val="20"/>
    </w:rPr>
  </w:style>
  <w:style w:type="paragraph" w:styleId="9">
    <w:name w:val="Document Map"/>
    <w:basedOn w:val="1"/>
    <w:next w:val="10"/>
    <w:link w:val="60"/>
    <w:qFormat/>
    <w:locked/>
    <w:uiPriority w:val="0"/>
    <w:rPr>
      <w:rFonts w:ascii="宋体"/>
      <w:sz w:val="18"/>
      <w:szCs w:val="18"/>
    </w:rPr>
  </w:style>
  <w:style w:type="paragraph" w:customStyle="1" w:styleId="10">
    <w:name w:val="正文*"/>
    <w:basedOn w:val="1"/>
    <w:qFormat/>
    <w:uiPriority w:val="0"/>
    <w:pPr>
      <w:spacing w:line="360" w:lineRule="auto"/>
      <w:ind w:firstLine="480" w:firstLineChars="200"/>
    </w:pPr>
    <w:rPr>
      <w:rFonts w:eastAsia="宋体"/>
      <w:sz w:val="24"/>
    </w:rPr>
  </w:style>
  <w:style w:type="paragraph" w:styleId="11">
    <w:name w:val="annotation text"/>
    <w:basedOn w:val="1"/>
    <w:link w:val="48"/>
    <w:qFormat/>
    <w:uiPriority w:val="0"/>
    <w:pPr>
      <w:jc w:val="left"/>
    </w:pPr>
    <w:rPr>
      <w:kern w:val="0"/>
      <w:sz w:val="24"/>
      <w:szCs w:val="20"/>
    </w:rPr>
  </w:style>
  <w:style w:type="paragraph" w:styleId="12">
    <w:name w:val="Body Text"/>
    <w:basedOn w:val="1"/>
    <w:next w:val="1"/>
    <w:link w:val="47"/>
    <w:qFormat/>
    <w:uiPriority w:val="0"/>
    <w:pPr>
      <w:widowControl/>
      <w:snapToGrid w:val="0"/>
      <w:spacing w:before="60" w:after="160" w:line="259" w:lineRule="auto"/>
      <w:ind w:right="113"/>
    </w:pPr>
    <w:rPr>
      <w:kern w:val="0"/>
      <w:sz w:val="18"/>
      <w:szCs w:val="20"/>
    </w:rPr>
  </w:style>
  <w:style w:type="paragraph" w:styleId="13">
    <w:name w:val="Body Text Indent"/>
    <w:basedOn w:val="1"/>
    <w:link w:val="49"/>
    <w:qFormat/>
    <w:uiPriority w:val="0"/>
    <w:pPr>
      <w:spacing w:after="120"/>
      <w:ind w:left="420" w:leftChars="200"/>
    </w:pPr>
    <w:rPr>
      <w:kern w:val="0"/>
      <w:sz w:val="24"/>
      <w:szCs w:val="20"/>
    </w:rPr>
  </w:style>
  <w:style w:type="paragraph" w:styleId="14">
    <w:name w:val="Block Text"/>
    <w:basedOn w:val="1"/>
    <w:qFormat/>
    <w:locked/>
    <w:uiPriority w:val="0"/>
    <w:pPr>
      <w:adjustRightInd w:val="0"/>
      <w:snapToGrid w:val="0"/>
      <w:spacing w:line="490" w:lineRule="atLeast"/>
      <w:ind w:left="10" w:leftChars="5" w:right="-449" w:rightChars="-214" w:firstLine="560" w:firstLineChars="200"/>
    </w:pPr>
    <w:rPr>
      <w:color w:val="000000"/>
      <w:sz w:val="28"/>
    </w:rPr>
  </w:style>
  <w:style w:type="paragraph" w:styleId="15">
    <w:name w:val="Plain Text"/>
    <w:basedOn w:val="1"/>
    <w:unhideWhenUsed/>
    <w:qFormat/>
    <w:locked/>
    <w:uiPriority w:val="0"/>
    <w:pPr>
      <w:ind w:firstLine="0" w:firstLineChars="0"/>
    </w:pPr>
    <w:rPr>
      <w:rFonts w:ascii="宋体" w:hAnsi="Courier New" w:eastAsia="宋体" w:cs="Courier New"/>
      <w:sz w:val="21"/>
    </w:rPr>
  </w:style>
  <w:style w:type="paragraph" w:styleId="16">
    <w:name w:val="Date"/>
    <w:basedOn w:val="1"/>
    <w:next w:val="1"/>
    <w:link w:val="58"/>
    <w:qFormat/>
    <w:uiPriority w:val="0"/>
    <w:pPr>
      <w:ind w:left="100" w:leftChars="2500"/>
    </w:pPr>
    <w:rPr>
      <w:kern w:val="0"/>
      <w:sz w:val="24"/>
      <w:szCs w:val="20"/>
    </w:rPr>
  </w:style>
  <w:style w:type="paragraph" w:styleId="17">
    <w:name w:val="endnote text"/>
    <w:basedOn w:val="1"/>
    <w:link w:val="93"/>
    <w:semiHidden/>
    <w:unhideWhenUsed/>
    <w:qFormat/>
    <w:locked/>
    <w:uiPriority w:val="0"/>
    <w:pPr>
      <w:snapToGrid w:val="0"/>
      <w:jc w:val="left"/>
    </w:pPr>
  </w:style>
  <w:style w:type="paragraph" w:styleId="18">
    <w:name w:val="Balloon Text"/>
    <w:basedOn w:val="1"/>
    <w:link w:val="51"/>
    <w:semiHidden/>
    <w:qFormat/>
    <w:uiPriority w:val="0"/>
    <w:rPr>
      <w:kern w:val="0"/>
      <w:sz w:val="18"/>
      <w:szCs w:val="20"/>
    </w:rPr>
  </w:style>
  <w:style w:type="paragraph" w:styleId="19">
    <w:name w:val="footer"/>
    <w:basedOn w:val="1"/>
    <w:link w:val="62"/>
    <w:qFormat/>
    <w:uiPriority w:val="99"/>
    <w:pPr>
      <w:tabs>
        <w:tab w:val="center" w:pos="4153"/>
        <w:tab w:val="right" w:pos="8306"/>
      </w:tabs>
      <w:snapToGrid w:val="0"/>
      <w:jc w:val="left"/>
    </w:pPr>
    <w:rPr>
      <w:kern w:val="0"/>
      <w:sz w:val="18"/>
      <w:szCs w:val="20"/>
    </w:rPr>
  </w:style>
  <w:style w:type="paragraph" w:styleId="20">
    <w:name w:val="header"/>
    <w:basedOn w:val="1"/>
    <w:link w:val="46"/>
    <w:qFormat/>
    <w:uiPriority w:val="0"/>
    <w:pPr>
      <w:pBdr>
        <w:bottom w:val="single" w:color="auto" w:sz="6" w:space="1"/>
      </w:pBdr>
      <w:tabs>
        <w:tab w:val="center" w:pos="4153"/>
        <w:tab w:val="right" w:pos="8306"/>
      </w:tabs>
      <w:snapToGrid w:val="0"/>
      <w:jc w:val="center"/>
    </w:pPr>
    <w:rPr>
      <w:kern w:val="0"/>
      <w:sz w:val="18"/>
      <w:szCs w:val="20"/>
    </w:rPr>
  </w:style>
  <w:style w:type="paragraph" w:styleId="21">
    <w:name w:val="toc 1"/>
    <w:basedOn w:val="1"/>
    <w:next w:val="1"/>
    <w:qFormat/>
    <w:locked/>
    <w:uiPriority w:val="39"/>
  </w:style>
  <w:style w:type="paragraph" w:styleId="22">
    <w:name w:val="List"/>
    <w:basedOn w:val="1"/>
    <w:qFormat/>
    <w:locked/>
    <w:uiPriority w:val="0"/>
    <w:pPr>
      <w:jc w:val="center"/>
    </w:pPr>
    <w:rPr>
      <w:kern w:val="0"/>
      <w:szCs w:val="20"/>
    </w:rPr>
  </w:style>
  <w:style w:type="paragraph" w:styleId="23">
    <w:name w:val="Body Text Indent 3"/>
    <w:basedOn w:val="1"/>
    <w:link w:val="68"/>
    <w:qFormat/>
    <w:locked/>
    <w:uiPriority w:val="0"/>
    <w:pPr>
      <w:spacing w:after="120"/>
      <w:ind w:left="420" w:leftChars="200"/>
    </w:pPr>
    <w:rPr>
      <w:sz w:val="16"/>
      <w:szCs w:val="16"/>
    </w:rPr>
  </w:style>
  <w:style w:type="paragraph" w:styleId="24">
    <w:name w:val="toc 2"/>
    <w:basedOn w:val="1"/>
    <w:next w:val="1"/>
    <w:qFormat/>
    <w:locked/>
    <w:uiPriority w:val="39"/>
    <w:pPr>
      <w:spacing w:line="360" w:lineRule="auto"/>
      <w:ind w:firstLine="200" w:firstLineChars="200"/>
    </w:pPr>
    <w:rPr>
      <w:iCs/>
      <w:szCs w:val="20"/>
    </w:rPr>
  </w:style>
  <w:style w:type="paragraph" w:styleId="25">
    <w:name w:val="Message Header"/>
    <w:basedOn w:val="1"/>
    <w:qFormat/>
    <w:locked/>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sz w:val="24"/>
    </w:rPr>
  </w:style>
  <w:style w:type="paragraph" w:styleId="26">
    <w:name w:val="Normal (Web)"/>
    <w:basedOn w:val="1"/>
    <w:link w:val="54"/>
    <w:qFormat/>
    <w:uiPriority w:val="99"/>
    <w:pPr>
      <w:widowControl/>
      <w:spacing w:before="100" w:beforeAutospacing="1" w:after="100" w:afterAutospacing="1"/>
      <w:jc w:val="left"/>
    </w:pPr>
    <w:rPr>
      <w:rFonts w:ascii="宋体" w:hAnsi="宋体"/>
      <w:kern w:val="0"/>
      <w:sz w:val="24"/>
      <w:szCs w:val="20"/>
    </w:rPr>
  </w:style>
  <w:style w:type="paragraph" w:styleId="27">
    <w:name w:val="Title"/>
    <w:basedOn w:val="1"/>
    <w:next w:val="1"/>
    <w:qFormat/>
    <w:locked/>
    <w:uiPriority w:val="0"/>
    <w:pPr>
      <w:spacing w:before="240" w:after="60"/>
      <w:jc w:val="center"/>
      <w:outlineLvl w:val="0"/>
    </w:pPr>
    <w:rPr>
      <w:rFonts w:ascii="等线 Light" w:hAnsi="等线 Light"/>
      <w:b/>
      <w:bCs/>
      <w:sz w:val="32"/>
      <w:szCs w:val="32"/>
    </w:rPr>
  </w:style>
  <w:style w:type="paragraph" w:styleId="28">
    <w:name w:val="annotation subject"/>
    <w:basedOn w:val="11"/>
    <w:next w:val="11"/>
    <w:link w:val="52"/>
    <w:semiHidden/>
    <w:qFormat/>
    <w:uiPriority w:val="0"/>
    <w:rPr>
      <w:b/>
      <w:kern w:val="2"/>
    </w:rPr>
  </w:style>
  <w:style w:type="paragraph" w:styleId="29">
    <w:name w:val="Body Text First Indent"/>
    <w:basedOn w:val="1"/>
    <w:next w:val="1"/>
    <w:qFormat/>
    <w:locked/>
    <w:uiPriority w:val="0"/>
    <w:pPr>
      <w:spacing w:after="120" w:line="240" w:lineRule="auto"/>
      <w:ind w:firstLine="420" w:firstLineChars="100"/>
      <w:textAlignment w:val="auto"/>
    </w:pPr>
    <w:rPr>
      <w:rFonts w:eastAsia="宋体"/>
      <w:sz w:val="21"/>
    </w:rPr>
  </w:style>
  <w:style w:type="paragraph" w:styleId="30">
    <w:name w:val="Body Text First Indent 2"/>
    <w:basedOn w:val="13"/>
    <w:qFormat/>
    <w:locked/>
    <w:uiPriority w:val="0"/>
    <w:pPr>
      <w:tabs>
        <w:tab w:val="left" w:pos="210"/>
      </w:tabs>
      <w:spacing w:after="120" w:line="240" w:lineRule="auto"/>
      <w:ind w:left="420" w:leftChars="200" w:firstLineChars="200"/>
    </w:pPr>
    <w:rPr>
      <w:sz w:val="21"/>
    </w:rPr>
  </w:style>
  <w:style w:type="table" w:styleId="32">
    <w:name w:val="Table Grid"/>
    <w:basedOn w:val="31"/>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4">
    <w:name w:val="Strong"/>
    <w:basedOn w:val="33"/>
    <w:qFormat/>
    <w:locked/>
    <w:uiPriority w:val="22"/>
    <w:rPr>
      <w:b/>
      <w:bCs/>
    </w:rPr>
  </w:style>
  <w:style w:type="character" w:styleId="35">
    <w:name w:val="endnote reference"/>
    <w:basedOn w:val="33"/>
    <w:semiHidden/>
    <w:unhideWhenUsed/>
    <w:qFormat/>
    <w:locked/>
    <w:uiPriority w:val="0"/>
    <w:rPr>
      <w:vertAlign w:val="superscript"/>
    </w:rPr>
  </w:style>
  <w:style w:type="character" w:styleId="36">
    <w:name w:val="page number"/>
    <w:basedOn w:val="33"/>
    <w:qFormat/>
    <w:locked/>
    <w:uiPriority w:val="0"/>
  </w:style>
  <w:style w:type="character" w:styleId="37">
    <w:name w:val="Emphasis"/>
    <w:basedOn w:val="33"/>
    <w:qFormat/>
    <w:locked/>
    <w:uiPriority w:val="0"/>
    <w:rPr>
      <w:i/>
    </w:rPr>
  </w:style>
  <w:style w:type="character" w:styleId="38">
    <w:name w:val="Hyperlink"/>
    <w:basedOn w:val="33"/>
    <w:unhideWhenUsed/>
    <w:qFormat/>
    <w:locked/>
    <w:uiPriority w:val="99"/>
    <w:rPr>
      <w:color w:val="0000FF" w:themeColor="hyperlink"/>
      <w:u w:val="single"/>
      <w14:textFill>
        <w14:solidFill>
          <w14:schemeClr w14:val="hlink"/>
        </w14:solidFill>
      </w14:textFill>
    </w:rPr>
  </w:style>
  <w:style w:type="character" w:styleId="39">
    <w:name w:val="annotation reference"/>
    <w:basedOn w:val="33"/>
    <w:qFormat/>
    <w:uiPriority w:val="0"/>
    <w:rPr>
      <w:sz w:val="21"/>
    </w:rPr>
  </w:style>
  <w:style w:type="paragraph" w:customStyle="1" w:styleId="40">
    <w:name w:val="Normal (Web)1"/>
    <w:basedOn w:val="1"/>
    <w:next w:val="41"/>
    <w:qFormat/>
    <w:uiPriority w:val="0"/>
    <w:pPr>
      <w:widowControl/>
      <w:jc w:val="left"/>
    </w:pPr>
    <w:rPr>
      <w:rFonts w:ascii="宋体"/>
      <w:kern w:val="0"/>
      <w:sz w:val="24"/>
      <w:szCs w:val="21"/>
    </w:rPr>
  </w:style>
  <w:style w:type="paragraph" w:customStyle="1" w:styleId="41">
    <w:name w:val="Date1"/>
    <w:basedOn w:val="1"/>
    <w:next w:val="1"/>
    <w:qFormat/>
    <w:uiPriority w:val="0"/>
    <w:pPr>
      <w:ind w:left="2500" w:leftChars="2500"/>
    </w:pPr>
  </w:style>
  <w:style w:type="paragraph" w:customStyle="1" w:styleId="42">
    <w:name w:val="Default"/>
    <w:basedOn w:val="43"/>
    <w:next w:val="1"/>
    <w:qFormat/>
    <w:uiPriority w:val="0"/>
    <w:pPr>
      <w:widowControl w:val="0"/>
      <w:autoSpaceDE w:val="0"/>
      <w:autoSpaceDN w:val="0"/>
      <w:adjustRightInd w:val="0"/>
      <w:spacing w:line="240" w:lineRule="exact"/>
    </w:pPr>
    <w:rPr>
      <w:rFonts w:ascii="宋体" w:hAnsi="宋体"/>
      <w:color w:val="000000"/>
      <w:sz w:val="24"/>
    </w:rPr>
  </w:style>
  <w:style w:type="paragraph" w:customStyle="1" w:styleId="43">
    <w:name w:val="纯文本1"/>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44">
    <w:name w:val="表格内容"/>
    <w:basedOn w:val="45"/>
    <w:next w:val="1"/>
    <w:qFormat/>
    <w:uiPriority w:val="0"/>
    <w:pPr>
      <w:overflowPunct w:val="0"/>
    </w:pPr>
    <w:rPr>
      <w:rFonts w:ascii="Arial" w:hAnsi="Arial" w:eastAsia="宋体"/>
      <w:sz w:val="21"/>
      <w:szCs w:val="22"/>
    </w:rPr>
  </w:style>
  <w:style w:type="paragraph" w:customStyle="1" w:styleId="45">
    <w:name w:val="封皮-证书编号"/>
    <w:basedOn w:val="1"/>
    <w:qFormat/>
    <w:uiPriority w:val="0"/>
    <w:pPr>
      <w:jc w:val="center"/>
    </w:pPr>
    <w:rPr>
      <w:rFonts w:eastAsia="黑体"/>
      <w:sz w:val="28"/>
    </w:rPr>
  </w:style>
  <w:style w:type="character" w:customStyle="1" w:styleId="46">
    <w:name w:val="页眉 字符"/>
    <w:link w:val="20"/>
    <w:qFormat/>
    <w:locked/>
    <w:uiPriority w:val="0"/>
    <w:rPr>
      <w:sz w:val="18"/>
    </w:rPr>
  </w:style>
  <w:style w:type="character" w:customStyle="1" w:styleId="47">
    <w:name w:val="正文文本 字符"/>
    <w:link w:val="12"/>
    <w:qFormat/>
    <w:locked/>
    <w:uiPriority w:val="0"/>
    <w:rPr>
      <w:sz w:val="18"/>
    </w:rPr>
  </w:style>
  <w:style w:type="character" w:customStyle="1" w:styleId="48">
    <w:name w:val="批注文字 字符"/>
    <w:link w:val="11"/>
    <w:qFormat/>
    <w:locked/>
    <w:uiPriority w:val="99"/>
    <w:rPr>
      <w:rFonts w:ascii="Times New Roman" w:hAnsi="Times New Roman" w:eastAsia="宋体"/>
      <w:sz w:val="24"/>
    </w:rPr>
  </w:style>
  <w:style w:type="character" w:customStyle="1" w:styleId="49">
    <w:name w:val="正文文本缩进 字符"/>
    <w:link w:val="13"/>
    <w:semiHidden/>
    <w:qFormat/>
    <w:locked/>
    <w:uiPriority w:val="0"/>
    <w:rPr>
      <w:rFonts w:ascii="Times New Roman" w:hAnsi="Times New Roman" w:eastAsia="宋体"/>
      <w:sz w:val="24"/>
    </w:rPr>
  </w:style>
  <w:style w:type="character" w:customStyle="1" w:styleId="50">
    <w:name w:val="标题 3 字符"/>
    <w:basedOn w:val="33"/>
    <w:link w:val="4"/>
    <w:qFormat/>
    <w:uiPriority w:val="0"/>
    <w:rPr>
      <w:b/>
      <w:bCs/>
      <w:kern w:val="2"/>
      <w:sz w:val="32"/>
      <w:szCs w:val="32"/>
    </w:rPr>
  </w:style>
  <w:style w:type="character" w:customStyle="1" w:styleId="51">
    <w:name w:val="批注框文本 字符"/>
    <w:link w:val="18"/>
    <w:semiHidden/>
    <w:qFormat/>
    <w:locked/>
    <w:uiPriority w:val="0"/>
    <w:rPr>
      <w:rFonts w:ascii="Times New Roman" w:hAnsi="Times New Roman" w:eastAsia="宋体"/>
      <w:sz w:val="18"/>
    </w:rPr>
  </w:style>
  <w:style w:type="character" w:customStyle="1" w:styleId="52">
    <w:name w:val="批注主题 字符"/>
    <w:link w:val="28"/>
    <w:semiHidden/>
    <w:qFormat/>
    <w:locked/>
    <w:uiPriority w:val="0"/>
    <w:rPr>
      <w:rFonts w:ascii="Times New Roman" w:hAnsi="Times New Roman" w:eastAsia="宋体"/>
      <w:b/>
      <w:kern w:val="2"/>
      <w:sz w:val="24"/>
    </w:rPr>
  </w:style>
  <w:style w:type="character" w:customStyle="1" w:styleId="53">
    <w:name w:val="批注文字 字符1"/>
    <w:semiHidden/>
    <w:qFormat/>
    <w:uiPriority w:val="0"/>
    <w:rPr>
      <w:rFonts w:ascii="Times New Roman" w:hAnsi="Times New Roman" w:eastAsia="宋体"/>
      <w:sz w:val="24"/>
    </w:rPr>
  </w:style>
  <w:style w:type="character" w:customStyle="1" w:styleId="54">
    <w:name w:val="普通(网站) 字符"/>
    <w:link w:val="26"/>
    <w:qFormat/>
    <w:locked/>
    <w:uiPriority w:val="0"/>
    <w:rPr>
      <w:rFonts w:ascii="宋体" w:hAnsi="宋体" w:eastAsia="宋体"/>
      <w:sz w:val="24"/>
    </w:rPr>
  </w:style>
  <w:style w:type="character" w:customStyle="1" w:styleId="55">
    <w:name w:val="页脚 字符"/>
    <w:basedOn w:val="33"/>
    <w:qFormat/>
    <w:uiPriority w:val="99"/>
  </w:style>
  <w:style w:type="character" w:customStyle="1" w:styleId="56">
    <w:name w:val="表格 Char"/>
    <w:link w:val="57"/>
    <w:qFormat/>
    <w:locked/>
    <w:uiPriority w:val="0"/>
    <w:rPr>
      <w:rFonts w:ascii="宋体"/>
      <w:sz w:val="21"/>
    </w:rPr>
  </w:style>
  <w:style w:type="paragraph" w:customStyle="1" w:styleId="57">
    <w:name w:val="表格"/>
    <w:basedOn w:val="1"/>
    <w:next w:val="1"/>
    <w:link w:val="56"/>
    <w:qFormat/>
    <w:uiPriority w:val="0"/>
    <w:pPr>
      <w:adjustRightInd w:val="0"/>
      <w:snapToGrid w:val="0"/>
      <w:spacing w:beforeLines="10" w:afterLines="10" w:line="259" w:lineRule="auto"/>
      <w:jc w:val="center"/>
    </w:pPr>
    <w:rPr>
      <w:rFonts w:ascii="宋体"/>
      <w:kern w:val="0"/>
      <w:szCs w:val="20"/>
    </w:rPr>
  </w:style>
  <w:style w:type="character" w:customStyle="1" w:styleId="58">
    <w:name w:val="日期 字符1"/>
    <w:link w:val="16"/>
    <w:qFormat/>
    <w:locked/>
    <w:uiPriority w:val="0"/>
    <w:rPr>
      <w:rFonts w:ascii="Times New Roman" w:hAnsi="Times New Roman" w:eastAsia="宋体"/>
      <w:sz w:val="24"/>
    </w:rPr>
  </w:style>
  <w:style w:type="character" w:customStyle="1" w:styleId="59">
    <w:name w:val="日期 字符"/>
    <w:semiHidden/>
    <w:qFormat/>
    <w:uiPriority w:val="0"/>
    <w:rPr>
      <w:rFonts w:ascii="Times New Roman" w:hAnsi="Times New Roman" w:eastAsia="宋体"/>
      <w:sz w:val="24"/>
    </w:rPr>
  </w:style>
  <w:style w:type="character" w:customStyle="1" w:styleId="60">
    <w:name w:val="文档结构图 字符"/>
    <w:basedOn w:val="33"/>
    <w:link w:val="9"/>
    <w:qFormat/>
    <w:uiPriority w:val="0"/>
    <w:rPr>
      <w:rFonts w:ascii="宋体"/>
      <w:kern w:val="2"/>
      <w:sz w:val="18"/>
      <w:szCs w:val="18"/>
    </w:rPr>
  </w:style>
  <w:style w:type="character" w:customStyle="1" w:styleId="61">
    <w:name w:val="正文文本 字符1"/>
    <w:semiHidden/>
    <w:qFormat/>
    <w:uiPriority w:val="0"/>
    <w:rPr>
      <w:rFonts w:ascii="Times New Roman" w:hAnsi="Times New Roman" w:eastAsia="宋体"/>
      <w:sz w:val="24"/>
    </w:rPr>
  </w:style>
  <w:style w:type="character" w:customStyle="1" w:styleId="62">
    <w:name w:val="页脚 字符1"/>
    <w:link w:val="19"/>
    <w:qFormat/>
    <w:locked/>
    <w:uiPriority w:val="99"/>
    <w:rPr>
      <w:sz w:val="18"/>
    </w:rPr>
  </w:style>
  <w:style w:type="paragraph" w:customStyle="1" w:styleId="63">
    <w:name w:val="标题 段落4级"/>
    <w:qFormat/>
    <w:uiPriority w:val="0"/>
    <w:pPr>
      <w:spacing w:line="500" w:lineRule="exact"/>
      <w:outlineLvl w:val="3"/>
    </w:pPr>
    <w:rPr>
      <w:rFonts w:ascii="Times New Roman" w:hAnsi="Times New Roman" w:eastAsia="仿宋_GB2312" w:cs="Calibri"/>
      <w:b/>
      <w:kern w:val="2"/>
      <w:sz w:val="28"/>
      <w:szCs w:val="24"/>
      <w:lang w:val="en-US" w:eastAsia="zh-CN" w:bidi="ar-SA"/>
    </w:rPr>
  </w:style>
  <w:style w:type="paragraph" w:customStyle="1" w:styleId="64">
    <w:name w:val="Table Paragraph"/>
    <w:basedOn w:val="1"/>
    <w:qFormat/>
    <w:uiPriority w:val="1"/>
    <w:rPr>
      <w:rFonts w:ascii="宋体" w:hAnsi="宋体" w:cs="宋体"/>
      <w:szCs w:val="20"/>
      <w:lang w:val="zh-CN" w:bidi="zh-CN"/>
    </w:rPr>
  </w:style>
  <w:style w:type="paragraph" w:customStyle="1" w:styleId="65">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6">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67">
    <w:name w:val="Body Text 21"/>
    <w:basedOn w:val="1"/>
    <w:qFormat/>
    <w:uiPriority w:val="99"/>
    <w:pPr>
      <w:adjustRightInd w:val="0"/>
      <w:textAlignment w:val="baseline"/>
    </w:pPr>
    <w:rPr>
      <w:rFonts w:ascii="仿宋_GB2312" w:eastAsia="仿宋体"/>
      <w:sz w:val="24"/>
    </w:rPr>
  </w:style>
  <w:style w:type="character" w:customStyle="1" w:styleId="68">
    <w:name w:val="正文文本缩进 3 字符"/>
    <w:basedOn w:val="33"/>
    <w:link w:val="23"/>
    <w:qFormat/>
    <w:uiPriority w:val="0"/>
    <w:rPr>
      <w:kern w:val="2"/>
      <w:sz w:val="16"/>
      <w:szCs w:val="16"/>
    </w:rPr>
  </w:style>
  <w:style w:type="paragraph" w:customStyle="1" w:styleId="69">
    <w:name w:val="正文文本缩进1"/>
    <w:basedOn w:val="1"/>
    <w:qFormat/>
    <w:uiPriority w:val="0"/>
    <w:pPr>
      <w:widowControl/>
      <w:spacing w:line="360" w:lineRule="auto"/>
      <w:ind w:firstLine="560"/>
      <w:jc w:val="left"/>
    </w:pPr>
    <w:rPr>
      <w:rFonts w:ascii="仿宋_GB2312" w:hAnsi="宋体" w:eastAsia="仿宋_GB2312"/>
      <w:sz w:val="28"/>
    </w:rPr>
  </w:style>
  <w:style w:type="paragraph" w:customStyle="1" w:styleId="70">
    <w:name w:val="简单回函地址"/>
    <w:basedOn w:val="1"/>
    <w:qFormat/>
    <w:uiPriority w:val="0"/>
    <w:pPr>
      <w:widowControl/>
      <w:spacing w:line="240" w:lineRule="exact"/>
      <w:jc w:val="left"/>
    </w:pPr>
    <w:rPr>
      <w:kern w:val="0"/>
      <w:sz w:val="24"/>
      <w:szCs w:val="20"/>
    </w:rPr>
  </w:style>
  <w:style w:type="paragraph" w:customStyle="1" w:styleId="71">
    <w:name w:val="+列表1"/>
    <w:basedOn w:val="1"/>
    <w:qFormat/>
    <w:uiPriority w:val="0"/>
    <w:pPr>
      <w:widowControl/>
      <w:jc w:val="center"/>
    </w:pPr>
    <w:rPr>
      <w:kern w:val="0"/>
      <w:sz w:val="20"/>
      <w:lang w:eastAsia="en-US"/>
    </w:rPr>
  </w:style>
  <w:style w:type="character" w:customStyle="1" w:styleId="72">
    <w:name w:val="正文缩进 字符"/>
    <w:basedOn w:val="33"/>
    <w:link w:val="6"/>
    <w:qFormat/>
    <w:uiPriority w:val="0"/>
  </w:style>
  <w:style w:type="character" w:customStyle="1" w:styleId="73">
    <w:name w:val="Body text|2_"/>
    <w:basedOn w:val="33"/>
    <w:link w:val="74"/>
    <w:qFormat/>
    <w:uiPriority w:val="0"/>
    <w:rPr>
      <w:rFonts w:ascii="宋体" w:hAnsi="宋体" w:eastAsia="宋体" w:cs="宋体"/>
      <w:sz w:val="22"/>
      <w:szCs w:val="22"/>
      <w:lang w:val="zh-TW" w:eastAsia="zh-TW" w:bidi="zh-TW"/>
    </w:rPr>
  </w:style>
  <w:style w:type="paragraph" w:customStyle="1" w:styleId="74">
    <w:name w:val="Body text|2"/>
    <w:basedOn w:val="1"/>
    <w:link w:val="73"/>
    <w:qFormat/>
    <w:uiPriority w:val="0"/>
    <w:pPr>
      <w:spacing w:after="140"/>
      <w:jc w:val="left"/>
    </w:pPr>
    <w:rPr>
      <w:rFonts w:ascii="宋体" w:hAnsi="宋体" w:cs="宋体"/>
      <w:kern w:val="0"/>
      <w:sz w:val="22"/>
      <w:szCs w:val="22"/>
      <w:lang w:val="zh-TW" w:eastAsia="zh-TW" w:bidi="zh-TW"/>
    </w:rPr>
  </w:style>
  <w:style w:type="paragraph" w:customStyle="1" w:styleId="75">
    <w:name w:val="Body text|1"/>
    <w:basedOn w:val="1"/>
    <w:qFormat/>
    <w:uiPriority w:val="0"/>
    <w:rPr>
      <w:rFonts w:ascii="宋体" w:hAnsi="宋体" w:cs="宋体"/>
      <w:sz w:val="26"/>
      <w:szCs w:val="26"/>
      <w:lang w:val="zh-TW" w:eastAsia="zh-TW" w:bidi="zh-TW"/>
    </w:rPr>
  </w:style>
  <w:style w:type="paragraph" w:customStyle="1" w:styleId="76">
    <w:name w:val="Body text|4"/>
    <w:basedOn w:val="1"/>
    <w:qFormat/>
    <w:uiPriority w:val="0"/>
    <w:pPr>
      <w:spacing w:line="343" w:lineRule="auto"/>
      <w:ind w:firstLine="280"/>
    </w:pPr>
    <w:rPr>
      <w:rFonts w:ascii="宋体" w:hAnsi="宋体" w:cs="宋体"/>
      <w:sz w:val="30"/>
      <w:szCs w:val="30"/>
      <w:lang w:val="zh-TW" w:eastAsia="zh-TW" w:bidi="zh-TW"/>
    </w:rPr>
  </w:style>
  <w:style w:type="paragraph" w:customStyle="1" w:styleId="77">
    <w:name w:val="正文表标题"/>
    <w:next w:val="78"/>
    <w:qFormat/>
    <w:uiPriority w:val="0"/>
    <w:pPr>
      <w:numPr>
        <w:ilvl w:val="0"/>
        <w:numId w:val="1"/>
      </w:numPr>
      <w:spacing w:beforeLines="50" w:afterLines="50"/>
      <w:jc w:val="center"/>
    </w:pPr>
    <w:rPr>
      <w:rFonts w:ascii="黑体" w:hAnsi="Times New Roman" w:eastAsia="黑体" w:cs="Times New Roman"/>
      <w:sz w:val="21"/>
      <w:lang w:val="en-US" w:eastAsia="zh-CN" w:bidi="ar-SA"/>
    </w:rPr>
  </w:style>
  <w:style w:type="paragraph" w:customStyle="1" w:styleId="78">
    <w:name w:val="段"/>
    <w:qFormat/>
    <w:uiPriority w:val="0"/>
    <w:pPr>
      <w:tabs>
        <w:tab w:val="center" w:pos="4201"/>
        <w:tab w:val="right" w:leader="dot" w:pos="9298"/>
      </w:tabs>
      <w:autoSpaceDE w:val="0"/>
      <w:autoSpaceDN w:val="0"/>
      <w:ind w:firstLine="420" w:firstLineChars="200"/>
      <w:jc w:val="both"/>
    </w:pPr>
    <w:rPr>
      <w:rFonts w:ascii="宋体" w:hAnsi="Times New Roman" w:eastAsia="宋体" w:cs="Times New Roman"/>
      <w:sz w:val="21"/>
      <w:lang w:val="en-US" w:eastAsia="zh-CN" w:bidi="ar-SA"/>
    </w:rPr>
  </w:style>
  <w:style w:type="character" w:customStyle="1" w:styleId="79">
    <w:name w:val="font11"/>
    <w:basedOn w:val="33"/>
    <w:qFormat/>
    <w:uiPriority w:val="0"/>
    <w:rPr>
      <w:rFonts w:hint="default" w:ascii="Times New Roman" w:hAnsi="Times New Roman" w:cs="Times New Roman"/>
      <w:color w:val="FF0000"/>
      <w:sz w:val="18"/>
      <w:szCs w:val="18"/>
      <w:u w:val="none"/>
    </w:rPr>
  </w:style>
  <w:style w:type="character" w:customStyle="1" w:styleId="80">
    <w:name w:val="font31"/>
    <w:basedOn w:val="33"/>
    <w:qFormat/>
    <w:uiPriority w:val="0"/>
    <w:rPr>
      <w:rFonts w:hint="eastAsia" w:ascii="宋体" w:hAnsi="宋体" w:eastAsia="宋体" w:cs="宋体"/>
      <w:color w:val="FF0000"/>
      <w:sz w:val="18"/>
      <w:szCs w:val="18"/>
      <w:u w:val="none"/>
    </w:rPr>
  </w:style>
  <w:style w:type="paragraph" w:styleId="81">
    <w:name w:val="List Paragraph"/>
    <w:basedOn w:val="1"/>
    <w:qFormat/>
    <w:uiPriority w:val="1"/>
    <w:pPr>
      <w:spacing w:before="105"/>
      <w:ind w:left="538" w:hanging="421"/>
    </w:pPr>
    <w:rPr>
      <w:rFonts w:ascii="仿宋" w:hAnsi="仿宋" w:eastAsia="仿宋" w:cs="仿宋"/>
      <w:lang w:val="zh-CN" w:bidi="zh-CN"/>
    </w:rPr>
  </w:style>
  <w:style w:type="paragraph" w:customStyle="1" w:styleId="82">
    <w:name w:val="修订1"/>
    <w:hidden/>
    <w:unhideWhenUsed/>
    <w:qFormat/>
    <w:uiPriority w:val="99"/>
    <w:rPr>
      <w:rFonts w:ascii="Times New Roman" w:hAnsi="Times New Roman" w:eastAsia="宋体" w:cs="Times New Roman"/>
      <w:kern w:val="2"/>
      <w:sz w:val="21"/>
      <w:szCs w:val="24"/>
      <w:lang w:val="en-US" w:eastAsia="zh-CN" w:bidi="ar-SA"/>
    </w:rPr>
  </w:style>
  <w:style w:type="character" w:customStyle="1" w:styleId="83">
    <w:name w:val="font21"/>
    <w:basedOn w:val="33"/>
    <w:qFormat/>
    <w:uiPriority w:val="0"/>
    <w:rPr>
      <w:rFonts w:hint="default" w:ascii="Times New Roman" w:hAnsi="Times New Roman" w:cs="Times New Roman"/>
      <w:b/>
      <w:bCs/>
      <w:color w:val="FF0000"/>
      <w:sz w:val="18"/>
      <w:szCs w:val="18"/>
      <w:u w:val="none"/>
    </w:rPr>
  </w:style>
  <w:style w:type="character" w:customStyle="1" w:styleId="84">
    <w:name w:val="font81"/>
    <w:basedOn w:val="33"/>
    <w:qFormat/>
    <w:uiPriority w:val="0"/>
    <w:rPr>
      <w:rFonts w:hint="eastAsia" w:ascii="宋体" w:hAnsi="宋体" w:eastAsia="宋体" w:cs="宋体"/>
      <w:b/>
      <w:bCs/>
      <w:color w:val="FF0000"/>
      <w:sz w:val="18"/>
      <w:szCs w:val="18"/>
      <w:u w:val="none"/>
    </w:rPr>
  </w:style>
  <w:style w:type="character" w:customStyle="1" w:styleId="85">
    <w:name w:val="font91"/>
    <w:basedOn w:val="33"/>
    <w:qFormat/>
    <w:uiPriority w:val="0"/>
    <w:rPr>
      <w:rFonts w:hint="default" w:ascii="Times New Roman" w:hAnsi="Times New Roman" w:cs="Times New Roman"/>
      <w:b/>
      <w:bCs/>
      <w:color w:val="000000"/>
      <w:sz w:val="18"/>
      <w:szCs w:val="18"/>
      <w:u w:val="none"/>
    </w:rPr>
  </w:style>
  <w:style w:type="character" w:customStyle="1" w:styleId="86">
    <w:name w:val="font101"/>
    <w:basedOn w:val="33"/>
    <w:qFormat/>
    <w:uiPriority w:val="0"/>
    <w:rPr>
      <w:rFonts w:hint="default" w:ascii="Times New Roman" w:hAnsi="Times New Roman" w:cs="Times New Roman"/>
      <w:b/>
      <w:bCs/>
      <w:color w:val="000000"/>
      <w:sz w:val="18"/>
      <w:szCs w:val="18"/>
      <w:u w:val="none"/>
      <w:vertAlign w:val="superscript"/>
    </w:rPr>
  </w:style>
  <w:style w:type="character" w:customStyle="1" w:styleId="87">
    <w:name w:val="font112"/>
    <w:basedOn w:val="33"/>
    <w:qFormat/>
    <w:uiPriority w:val="0"/>
    <w:rPr>
      <w:rFonts w:hint="default" w:ascii="Times New Roman" w:hAnsi="Times New Roman" w:cs="Times New Roman"/>
      <w:b/>
      <w:bCs/>
      <w:color w:val="FF0000"/>
      <w:sz w:val="18"/>
      <w:szCs w:val="18"/>
      <w:u w:val="none"/>
      <w:vertAlign w:val="superscript"/>
    </w:rPr>
  </w:style>
  <w:style w:type="character" w:customStyle="1" w:styleId="88">
    <w:name w:val="font121"/>
    <w:basedOn w:val="33"/>
    <w:qFormat/>
    <w:uiPriority w:val="0"/>
    <w:rPr>
      <w:rFonts w:hint="default" w:ascii="Times New Roman" w:hAnsi="Times New Roman" w:cs="Times New Roman"/>
      <w:color w:val="000000"/>
      <w:sz w:val="18"/>
      <w:szCs w:val="18"/>
      <w:u w:val="none"/>
      <w:vertAlign w:val="subscript"/>
    </w:rPr>
  </w:style>
  <w:style w:type="character" w:customStyle="1" w:styleId="89">
    <w:name w:val="font41"/>
    <w:basedOn w:val="33"/>
    <w:qFormat/>
    <w:uiPriority w:val="0"/>
    <w:rPr>
      <w:rFonts w:hint="default" w:ascii="Times New Roman" w:hAnsi="Times New Roman" w:cs="Times New Roman"/>
      <w:color w:val="000000"/>
      <w:sz w:val="18"/>
      <w:szCs w:val="18"/>
      <w:u w:val="none"/>
    </w:rPr>
  </w:style>
  <w:style w:type="character" w:customStyle="1" w:styleId="90">
    <w:name w:val="font61"/>
    <w:basedOn w:val="33"/>
    <w:qFormat/>
    <w:uiPriority w:val="0"/>
    <w:rPr>
      <w:rFonts w:hint="default" w:ascii="Times New Roman" w:hAnsi="Times New Roman" w:cs="Times New Roman"/>
      <w:color w:val="FF0000"/>
      <w:sz w:val="18"/>
      <w:szCs w:val="18"/>
      <w:u w:val="none"/>
    </w:rPr>
  </w:style>
  <w:style w:type="character" w:customStyle="1" w:styleId="91">
    <w:name w:val="font71"/>
    <w:basedOn w:val="33"/>
    <w:qFormat/>
    <w:uiPriority w:val="0"/>
    <w:rPr>
      <w:rFonts w:hint="eastAsia" w:ascii="宋体" w:hAnsi="宋体" w:eastAsia="宋体" w:cs="宋体"/>
      <w:color w:val="FF0000"/>
      <w:sz w:val="18"/>
      <w:szCs w:val="18"/>
      <w:u w:val="none"/>
    </w:rPr>
  </w:style>
  <w:style w:type="character" w:customStyle="1" w:styleId="92">
    <w:name w:val="font51"/>
    <w:basedOn w:val="33"/>
    <w:qFormat/>
    <w:uiPriority w:val="0"/>
    <w:rPr>
      <w:rFonts w:hint="default" w:ascii="Times New Roman" w:hAnsi="Times New Roman" w:cs="Times New Roman"/>
      <w:color w:val="FF0000"/>
      <w:sz w:val="18"/>
      <w:szCs w:val="18"/>
      <w:u w:val="none"/>
      <w:vertAlign w:val="subscript"/>
    </w:rPr>
  </w:style>
  <w:style w:type="character" w:customStyle="1" w:styleId="93">
    <w:name w:val="尾注文本 字符"/>
    <w:basedOn w:val="33"/>
    <w:link w:val="17"/>
    <w:semiHidden/>
    <w:qFormat/>
    <w:uiPriority w:val="0"/>
    <w:rPr>
      <w:kern w:val="2"/>
      <w:sz w:val="21"/>
      <w:szCs w:val="24"/>
    </w:rPr>
  </w:style>
  <w:style w:type="character" w:customStyle="1" w:styleId="94">
    <w:name w:val="表格内文字 Char"/>
    <w:link w:val="95"/>
    <w:qFormat/>
    <w:locked/>
    <w:uiPriority w:val="0"/>
    <w:rPr>
      <w:rFonts w:ascii="Calibri" w:hAnsi="Calibri"/>
      <w:snapToGrid w:val="0"/>
    </w:rPr>
  </w:style>
  <w:style w:type="paragraph" w:customStyle="1" w:styleId="95">
    <w:name w:val="表格内文字"/>
    <w:basedOn w:val="1"/>
    <w:link w:val="94"/>
    <w:qFormat/>
    <w:uiPriority w:val="0"/>
    <w:pPr>
      <w:widowControl/>
      <w:kinsoku w:val="0"/>
      <w:wordWrap w:val="0"/>
      <w:overflowPunct w:val="0"/>
      <w:snapToGrid w:val="0"/>
      <w:jc w:val="center"/>
    </w:pPr>
    <w:rPr>
      <w:rFonts w:ascii="Calibri" w:hAnsi="Calibri"/>
      <w:snapToGrid w:val="0"/>
      <w:kern w:val="0"/>
      <w:sz w:val="20"/>
      <w:szCs w:val="20"/>
    </w:rPr>
  </w:style>
  <w:style w:type="character" w:customStyle="1" w:styleId="96">
    <w:name w:val="批注文字 Char1"/>
    <w:basedOn w:val="33"/>
    <w:qFormat/>
    <w:uiPriority w:val="99"/>
    <w:rPr>
      <w:rFonts w:ascii="Times New Roman" w:hAnsi="Times New Roman" w:eastAsia="宋体" w:cs="Times New Roman"/>
      <w:szCs w:val="24"/>
    </w:rPr>
  </w:style>
  <w:style w:type="paragraph" w:customStyle="1" w:styleId="97">
    <w:name w:val="修订2"/>
    <w:hidden/>
    <w:semiHidden/>
    <w:qFormat/>
    <w:uiPriority w:val="99"/>
    <w:rPr>
      <w:rFonts w:ascii="Times New Roman" w:hAnsi="Times New Roman" w:eastAsia="宋体" w:cs="Times New Roman"/>
      <w:kern w:val="2"/>
      <w:sz w:val="21"/>
      <w:szCs w:val="24"/>
      <w:lang w:val="en-US" w:eastAsia="zh-CN" w:bidi="ar-SA"/>
    </w:rPr>
  </w:style>
  <w:style w:type="paragraph" w:customStyle="1" w:styleId="98">
    <w:name w:val="修订3"/>
    <w:hidden/>
    <w:semiHidden/>
    <w:qFormat/>
    <w:uiPriority w:val="99"/>
    <w:rPr>
      <w:rFonts w:ascii="Times New Roman" w:hAnsi="Times New Roman" w:eastAsia="宋体" w:cs="Times New Roman"/>
      <w:kern w:val="2"/>
      <w:sz w:val="21"/>
      <w:szCs w:val="24"/>
      <w:lang w:val="en-US" w:eastAsia="zh-CN" w:bidi="ar-SA"/>
    </w:rPr>
  </w:style>
  <w:style w:type="paragraph" w:customStyle="1" w:styleId="99">
    <w:name w:val="修订4"/>
    <w:hidden/>
    <w:semiHidden/>
    <w:qFormat/>
    <w:uiPriority w:val="99"/>
    <w:rPr>
      <w:rFonts w:ascii="Times New Roman" w:hAnsi="Times New Roman" w:eastAsia="宋体" w:cs="Times New Roman"/>
      <w:kern w:val="2"/>
      <w:sz w:val="21"/>
      <w:szCs w:val="24"/>
      <w:lang w:val="en-US" w:eastAsia="zh-CN" w:bidi="ar-SA"/>
    </w:rPr>
  </w:style>
  <w:style w:type="paragraph" w:customStyle="1" w:styleId="100">
    <w:name w:val="修订5"/>
    <w:hidden/>
    <w:semiHidden/>
    <w:qFormat/>
    <w:uiPriority w:val="99"/>
    <w:rPr>
      <w:rFonts w:ascii="Times New Roman" w:hAnsi="Times New Roman" w:eastAsia="宋体" w:cs="Times New Roman"/>
      <w:kern w:val="2"/>
      <w:sz w:val="21"/>
      <w:szCs w:val="24"/>
      <w:lang w:val="en-US" w:eastAsia="zh-CN" w:bidi="ar-SA"/>
    </w:rPr>
  </w:style>
  <w:style w:type="paragraph" w:customStyle="1" w:styleId="101">
    <w:name w:val="正文1"/>
    <w:qFormat/>
    <w:uiPriority w:val="0"/>
    <w:pPr>
      <w:jc w:val="both"/>
    </w:pPr>
    <w:rPr>
      <w:rFonts w:ascii="Times New Roman" w:hAnsi="Times New Roman" w:eastAsia="宋体" w:cs="Times New Roman"/>
      <w:kern w:val="2"/>
      <w:sz w:val="21"/>
      <w:szCs w:val="21"/>
      <w:lang w:val="en-US" w:eastAsia="zh-CN" w:bidi="ar-SA"/>
    </w:rPr>
  </w:style>
  <w:style w:type="paragraph" w:customStyle="1" w:styleId="102">
    <w:name w:val="修订6"/>
    <w:hidden/>
    <w:semiHidden/>
    <w:qFormat/>
    <w:uiPriority w:val="99"/>
    <w:rPr>
      <w:rFonts w:ascii="Times New Roman" w:hAnsi="Times New Roman" w:eastAsia="宋体" w:cs="Times New Roman"/>
      <w:kern w:val="2"/>
      <w:sz w:val="21"/>
      <w:szCs w:val="24"/>
      <w:lang w:val="en-US" w:eastAsia="zh-CN" w:bidi="ar-SA"/>
    </w:rPr>
  </w:style>
  <w:style w:type="character" w:customStyle="1" w:styleId="103">
    <w:name w:val="标题 2 字符"/>
    <w:basedOn w:val="33"/>
    <w:link w:val="3"/>
    <w:semiHidden/>
    <w:qFormat/>
    <w:uiPriority w:val="0"/>
    <w:rPr>
      <w:rFonts w:asciiTheme="majorHAnsi" w:hAnsiTheme="majorHAnsi" w:eastAsiaTheme="majorEastAsia" w:cstheme="majorBidi"/>
      <w:b/>
      <w:bCs/>
      <w:kern w:val="2"/>
      <w:sz w:val="32"/>
      <w:szCs w:val="32"/>
    </w:rPr>
  </w:style>
  <w:style w:type="paragraph" w:customStyle="1" w:styleId="104">
    <w:name w:val="图头00"/>
    <w:basedOn w:val="1"/>
    <w:qFormat/>
    <w:uiPriority w:val="0"/>
    <w:pPr>
      <w:adjustRightInd w:val="0"/>
      <w:spacing w:line="360" w:lineRule="auto"/>
      <w:jc w:val="center"/>
      <w:textAlignment w:val="baseline"/>
    </w:pPr>
    <w:rPr>
      <w:rFonts w:ascii="宋体" w:eastAsia="黑体"/>
      <w:kern w:val="0"/>
      <w:sz w:val="24"/>
      <w:szCs w:val="20"/>
    </w:rPr>
  </w:style>
  <w:style w:type="paragraph" w:customStyle="1" w:styleId="105">
    <w:name w:val="表中文字"/>
    <w:basedOn w:val="1"/>
    <w:qFormat/>
    <w:uiPriority w:val="0"/>
    <w:pPr>
      <w:adjustRightInd w:val="0"/>
      <w:snapToGrid w:val="0"/>
      <w:jc w:val="center"/>
    </w:pPr>
    <w:rPr>
      <w:szCs w:val="22"/>
    </w:rPr>
  </w:style>
  <w:style w:type="paragraph" w:customStyle="1" w:styleId="106">
    <w:name w:val="表格里"/>
    <w:basedOn w:val="101"/>
    <w:next w:val="101"/>
    <w:qFormat/>
    <w:uiPriority w:val="0"/>
    <w:pPr>
      <w:spacing w:line="240" w:lineRule="auto"/>
      <w:ind w:firstLine="0" w:firstLineChars="0"/>
      <w:jc w:val="center"/>
    </w:pPr>
    <w:rPr>
      <w:rFonts w:ascii="Times New Roman" w:hAnsi="Times New Roman"/>
      <w:snapToGrid w:val="0"/>
    </w:rPr>
  </w:style>
  <w:style w:type="paragraph" w:customStyle="1" w:styleId="107">
    <w:name w:val="表文"/>
    <w:basedOn w:val="1"/>
    <w:qFormat/>
    <w:uiPriority w:val="0"/>
    <w:pPr>
      <w:tabs>
        <w:tab w:val="left" w:pos="1021"/>
      </w:tabs>
      <w:spacing w:line="360" w:lineRule="auto"/>
      <w:jc w:val="center"/>
    </w:pPr>
    <w:rPr>
      <w:kern w:val="0"/>
      <w:position w:val="-24"/>
      <w:szCs w:val="21"/>
    </w:rPr>
  </w:style>
  <w:style w:type="paragraph" w:customStyle="1" w:styleId="108">
    <w:name w:val="报告表正文"/>
    <w:basedOn w:val="109"/>
    <w:next w:val="1"/>
    <w:qFormat/>
    <w:uiPriority w:val="0"/>
    <w:pPr>
      <w:spacing w:line="360" w:lineRule="auto"/>
      <w:ind w:firstLine="420" w:firstLineChars="200"/>
      <w:jc w:val="both"/>
    </w:pPr>
    <w:rPr>
      <w:sz w:val="24"/>
      <w:szCs w:val="22"/>
      <w:lang w:val="zh-CN"/>
    </w:rPr>
  </w:style>
  <w:style w:type="paragraph" w:customStyle="1" w:styleId="109">
    <w:name w:val="CM4"/>
    <w:basedOn w:val="1"/>
    <w:next w:val="1"/>
    <w:qFormat/>
    <w:uiPriority w:val="0"/>
    <w:pPr>
      <w:keepNext/>
      <w:spacing w:line="520" w:lineRule="exact"/>
      <w:jc w:val="center"/>
    </w:pPr>
    <w:rPr>
      <w:b/>
      <w:kern w:val="0"/>
      <w:szCs w:val="21"/>
    </w:rPr>
  </w:style>
  <w:style w:type="paragraph" w:customStyle="1" w:styleId="110">
    <w:name w:val="【表中文字】"/>
    <w:basedOn w:val="111"/>
    <w:qFormat/>
    <w:uiPriority w:val="0"/>
    <w:pPr>
      <w:jc w:val="center"/>
    </w:pPr>
    <w:rPr>
      <w:kern w:val="0"/>
      <w:szCs w:val="20"/>
    </w:rPr>
  </w:style>
  <w:style w:type="paragraph" w:customStyle="1" w:styleId="111">
    <w:name w:val=".表1-1-1内容"/>
    <w:basedOn w:val="1"/>
    <w:qFormat/>
    <w:uiPriority w:val="0"/>
    <w:pPr>
      <w:spacing w:line="300" w:lineRule="exact"/>
      <w:jc w:val="center"/>
    </w:pPr>
    <w:rPr>
      <w:kern w:val="0"/>
      <w:sz w:val="21"/>
      <w:szCs w:val="21"/>
    </w:rPr>
  </w:style>
  <w:style w:type="paragraph" w:customStyle="1" w:styleId="112">
    <w:name w:val="【表头】"/>
    <w:basedOn w:val="113"/>
    <w:next w:val="1"/>
    <w:qFormat/>
    <w:uiPriority w:val="0"/>
    <w:pPr>
      <w:spacing w:line="460" w:lineRule="exact"/>
      <w:jc w:val="center"/>
    </w:pPr>
    <w:rPr>
      <w:b/>
      <w:kern w:val="0"/>
      <w:sz w:val="24"/>
      <w:szCs w:val="20"/>
    </w:rPr>
  </w:style>
  <w:style w:type="paragraph" w:customStyle="1" w:styleId="113">
    <w:name w:val="0"/>
    <w:basedOn w:val="1"/>
    <w:qFormat/>
    <w:uiPriority w:val="99"/>
    <w:pPr>
      <w:widowControl/>
      <w:snapToGrid w:val="0"/>
      <w:jc w:val="left"/>
    </w:pPr>
    <w:rPr>
      <w:rFonts w:ascii="宋体"/>
      <w:kern w:val="0"/>
      <w:sz w:val="20"/>
      <w:szCs w:val="20"/>
    </w:rPr>
  </w:style>
  <w:style w:type="paragraph" w:customStyle="1" w:styleId="114">
    <w:name w:val="表格文字"/>
    <w:basedOn w:val="115"/>
    <w:qFormat/>
    <w:uiPriority w:val="0"/>
    <w:pPr>
      <w:widowControl/>
    </w:pPr>
    <w:rPr>
      <w:rFonts w:ascii="宋体" w:hAnsi="宋体" w:cs="宋体"/>
      <w:color w:val="000000"/>
      <w:szCs w:val="21"/>
    </w:rPr>
  </w:style>
  <w:style w:type="paragraph" w:customStyle="1" w:styleId="115">
    <w:name w:val="表头"/>
    <w:basedOn w:val="22"/>
    <w:next w:val="116"/>
    <w:qFormat/>
    <w:uiPriority w:val="0"/>
    <w:pPr>
      <w:adjustRightInd w:val="0"/>
      <w:snapToGrid w:val="0"/>
      <w:spacing w:line="360" w:lineRule="auto"/>
    </w:pPr>
    <w:rPr>
      <w:rFonts w:eastAsia="黑体"/>
      <w:sz w:val="24"/>
      <w:szCs w:val="22"/>
    </w:rPr>
  </w:style>
  <w:style w:type="paragraph" w:customStyle="1" w:styleId="116">
    <w:name w:val="表1"/>
    <w:next w:val="1"/>
    <w:qFormat/>
    <w:uiPriority w:val="0"/>
    <w:pPr>
      <w:adjustRightInd w:val="0"/>
      <w:snapToGrid w:val="0"/>
      <w:jc w:val="center"/>
    </w:pPr>
    <w:rPr>
      <w:rFonts w:ascii="宋体" w:hAnsi="Times New Roman" w:eastAsia="宋体" w:cs="Times New Roman"/>
      <w:sz w:val="21"/>
      <w:lang w:val="en-US" w:eastAsia="zh-CN" w:bidi="ar-SA"/>
    </w:rPr>
  </w:style>
  <w:style w:type="paragraph" w:customStyle="1" w:styleId="117">
    <w:name w:val="首行缩进"/>
    <w:basedOn w:val="1"/>
    <w:qFormat/>
    <w:uiPriority w:val="0"/>
    <w:pPr>
      <w:ind w:firstLine="480" w:firstLineChars="200"/>
    </w:pPr>
    <w:rPr>
      <w:lang w:val="zh-CN"/>
    </w:rPr>
  </w:style>
  <w:style w:type="paragraph" w:customStyle="1" w:styleId="118">
    <w:name w:val="【正文】"/>
    <w:basedOn w:val="1"/>
    <w:next w:val="25"/>
    <w:qFormat/>
    <w:uiPriority w:val="0"/>
    <w:pPr>
      <w:spacing w:line="500" w:lineRule="exact"/>
      <w:ind w:firstLine="200" w:firstLineChars="200"/>
    </w:pPr>
    <w:rPr>
      <w:kern w:val="0"/>
      <w:sz w:val="24"/>
      <w:szCs w:val="20"/>
    </w:rPr>
  </w:style>
  <w:style w:type="paragraph" w:customStyle="1" w:styleId="119">
    <w:name w:val="正文00"/>
    <w:basedOn w:val="1"/>
    <w:next w:val="1"/>
    <w:qFormat/>
    <w:uiPriority w:val="0"/>
    <w:pPr>
      <w:spacing w:line="360" w:lineRule="auto"/>
      <w:ind w:firstLine="480" w:firstLineChars="200"/>
    </w:pPr>
    <w:rPr>
      <w:sz w:val="24"/>
    </w:rPr>
  </w:style>
  <w:style w:type="character" w:customStyle="1" w:styleId="120">
    <w:name w:val="font01"/>
    <w:basedOn w:val="33"/>
    <w:qFormat/>
    <w:uiPriority w:val="0"/>
    <w:rPr>
      <w:rFonts w:hint="default" w:ascii="Times New Roman" w:hAnsi="Times New Roman" w:cs="Times New Roman"/>
      <w:color w:val="000000"/>
      <w:sz w:val="21"/>
      <w:szCs w:val="21"/>
      <w:u w:val="none"/>
    </w:rPr>
  </w:style>
  <w:style w:type="paragraph" w:customStyle="1" w:styleId="121">
    <w:name w:val="正文格式"/>
    <w:basedOn w:val="1"/>
    <w:next w:val="1"/>
    <w:qFormat/>
    <w:uiPriority w:val="0"/>
    <w:pPr>
      <w:spacing w:line="360" w:lineRule="auto"/>
      <w:ind w:firstLine="544"/>
    </w:pPr>
    <w:rPr>
      <w:szCs w:val="20"/>
    </w:rPr>
  </w:style>
  <w:style w:type="paragraph" w:customStyle="1" w:styleId="122">
    <w:name w:val="样式 黑体 居中 行距: 1.5 倍行距"/>
    <w:basedOn w:val="1"/>
    <w:qFormat/>
    <w:uiPriority w:val="0"/>
    <w:pPr>
      <w:spacing w:line="360" w:lineRule="auto"/>
      <w:jc w:val="center"/>
    </w:pPr>
    <w:rPr>
      <w:rFonts w:ascii="黑体" w:hAnsi="黑体" w:eastAsia="黑体" w:cs="宋体"/>
    </w:rPr>
  </w:style>
  <w:style w:type="paragraph" w:customStyle="1" w:styleId="123">
    <w:name w:val="表中文字（工大）"/>
    <w:basedOn w:val="1"/>
    <w:qFormat/>
    <w:uiPriority w:val="0"/>
    <w:pPr>
      <w:spacing w:line="400" w:lineRule="exact"/>
      <w:jc w:val="center"/>
    </w:pPr>
    <w:rPr>
      <w:szCs w:val="20"/>
    </w:rPr>
  </w:style>
  <w:style w:type="paragraph" w:customStyle="1" w:styleId="124">
    <w:name w:val="正文_6"/>
    <w:qFormat/>
    <w:uiPriority w:val="0"/>
    <w:pPr>
      <w:widowControl w:val="0"/>
      <w:jc w:val="both"/>
    </w:pPr>
    <w:rPr>
      <w:rFonts w:ascii="Calibri" w:hAnsi="Calibri" w:eastAsia="宋体" w:cs="Times New Roman"/>
      <w:kern w:val="2"/>
      <w:sz w:val="21"/>
      <w:lang w:val="en-US" w:eastAsia="zh-CN" w:bidi="ar-SA"/>
    </w:rPr>
  </w:style>
  <w:style w:type="paragraph" w:customStyle="1" w:styleId="125">
    <w:name w:val="报告书正文"/>
    <w:basedOn w:val="1"/>
    <w:qFormat/>
    <w:uiPriority w:val="0"/>
    <w:pPr>
      <w:adjustRightInd w:val="0"/>
      <w:snapToGrid w:val="0"/>
      <w:spacing w:line="360" w:lineRule="auto"/>
      <w:ind w:firstLine="425"/>
      <w:textAlignment w:val="baseline"/>
    </w:pPr>
    <w:rPr>
      <w:rFonts w:ascii="Arial" w:hAnsi="Arial"/>
      <w:sz w:val="24"/>
    </w:rPr>
  </w:style>
  <w:style w:type="paragraph" w:customStyle="1" w:styleId="126">
    <w:name w:val="样式"/>
    <w:basedOn w:val="1"/>
    <w:next w:val="23"/>
    <w:qFormat/>
    <w:uiPriority w:val="0"/>
    <w:pPr>
      <w:tabs>
        <w:tab w:val="left" w:pos="6720"/>
      </w:tabs>
      <w:spacing w:line="360" w:lineRule="auto"/>
      <w:ind w:firstLine="480" w:firstLineChars="200"/>
    </w:pPr>
    <w:rPr>
      <w:rFonts w:ascii="楷体_GB2312" w:eastAsia="楷体_GB2312"/>
      <w:kern w:val="0"/>
      <w:sz w:val="24"/>
      <w:szCs w:val="20"/>
    </w:rPr>
  </w:style>
  <w:style w:type="paragraph" w:customStyle="1" w:styleId="127">
    <w:name w:val="a正文"/>
    <w:basedOn w:val="121"/>
    <w:qFormat/>
    <w:uiPriority w:val="0"/>
    <w:pPr>
      <w:spacing w:line="520" w:lineRule="exact"/>
      <w:ind w:firstLine="200"/>
    </w:pPr>
    <w:rPr>
      <w:sz w:val="24"/>
    </w:rPr>
  </w:style>
  <w:style w:type="paragraph" w:customStyle="1" w:styleId="128">
    <w:name w:val="11111"/>
    <w:basedOn w:val="1"/>
    <w:next w:val="1"/>
    <w:qFormat/>
    <w:uiPriority w:val="0"/>
    <w:pPr>
      <w:spacing w:line="360" w:lineRule="auto"/>
      <w:ind w:firstLine="200" w:firstLineChars="200"/>
    </w:pPr>
    <w:rPr>
      <w:rFonts w:hAnsi="宋体" w:cs="宋体"/>
    </w:rPr>
  </w:style>
  <w:style w:type="paragraph" w:customStyle="1" w:styleId="129">
    <w:name w:val="正文缩进1"/>
    <w:basedOn w:val="1"/>
    <w:qFormat/>
    <w:uiPriority w:val="0"/>
    <w:pPr>
      <w:ind w:firstLine="420"/>
    </w:pPr>
    <w:rPr>
      <w:sz w:val="28"/>
    </w:rPr>
  </w:style>
  <w:style w:type="paragraph" w:customStyle="1" w:styleId="130">
    <w:name w:val="C首行缩进正文"/>
    <w:basedOn w:val="118"/>
    <w:qFormat/>
    <w:uiPriority w:val="0"/>
    <w:pPr>
      <w:spacing w:line="360" w:lineRule="auto"/>
      <w:ind w:firstLine="200"/>
    </w:pPr>
    <w:rPr>
      <w:rFonts w:cs="宋体"/>
      <w:color w:val="000000"/>
      <w:spacing w:val="0"/>
      <w:sz w:val="21"/>
    </w:rPr>
  </w:style>
  <w:style w:type="paragraph" w:customStyle="1" w:styleId="131">
    <w:name w:val="L首行缩进正文"/>
    <w:basedOn w:val="118"/>
    <w:qFormat/>
    <w:uiPriority w:val="0"/>
    <w:pPr>
      <w:ind w:firstLine="480"/>
    </w:pPr>
    <w:rPr>
      <w:rFonts w:cs="Times New Roman"/>
      <w:color w:val="auto"/>
      <w:sz w:val="21"/>
      <w:szCs w:val="21"/>
    </w:rPr>
  </w:style>
  <w:style w:type="character" w:customStyle="1" w:styleId="132">
    <w:name w:val="【表中文字】 Char"/>
    <w:qFormat/>
    <w:uiPriority w:val="0"/>
    <w:rPr>
      <w:rFonts w:hint="default" w:ascii="Times New Roman" w:hAnsi="Times New Roman" w:cs="Times New Roman"/>
      <w:kern w:val="2"/>
      <w:sz w:val="21"/>
    </w:rPr>
  </w:style>
  <w:style w:type="paragraph" w:customStyle="1" w:styleId="133">
    <w:name w:val="正文（首行缩进两字） Char"/>
    <w:basedOn w:val="1"/>
    <w:qFormat/>
    <w:uiPriority w:val="0"/>
    <w:pPr>
      <w:widowControl/>
      <w:spacing w:line="360" w:lineRule="auto"/>
      <w:ind w:firstLine="420"/>
    </w:pPr>
    <w:rPr>
      <w:kern w:val="0"/>
      <w:sz w:val="24"/>
      <w:szCs w:val="20"/>
    </w:rPr>
  </w:style>
  <w:style w:type="paragraph" w:customStyle="1" w:styleId="134">
    <w:name w:val="居中表格内容"/>
    <w:basedOn w:val="1"/>
    <w:qFormat/>
    <w:uiPriority w:val="0"/>
    <w:pPr>
      <w:jc w:val="center"/>
    </w:pPr>
    <w:rPr>
      <w:rFonts w:ascii="Times New Roman" w:hAnsi="Times New Roman" w:eastAsia="宋体"/>
    </w:rPr>
  </w:style>
  <w:style w:type="paragraph" w:customStyle="1" w:styleId="135">
    <w:name w:val="图注"/>
    <w:basedOn w:val="1"/>
    <w:unhideWhenUsed/>
    <w:qFormat/>
    <w:uiPriority w:val="0"/>
    <w:pPr>
      <w:spacing w:beforeLines="0" w:afterLines="0"/>
      <w:jc w:val="center"/>
    </w:pPr>
    <w:rPr>
      <w:rFonts w:hint="default" w:ascii="Courier New" w:hAnsi="Courier New" w:eastAsia="黑体"/>
      <w:sz w:val="21"/>
      <w:szCs w:val="24"/>
    </w:rPr>
  </w:style>
  <w:style w:type="paragraph" w:customStyle="1" w:styleId="136">
    <w:name w:val="表格正文"/>
    <w:basedOn w:val="1"/>
    <w:qFormat/>
    <w:uiPriority w:val="0"/>
    <w:pPr>
      <w:spacing w:line="320" w:lineRule="exact"/>
      <w:jc w:val="center"/>
    </w:pPr>
    <w:rPr>
      <w:rFonts w:cs="宋体"/>
    </w:rPr>
  </w:style>
  <w:style w:type="paragraph" w:customStyle="1" w:styleId="137">
    <w:name w:val="填表样式"/>
    <w:basedOn w:val="1"/>
    <w:unhideWhenUsed/>
    <w:qFormat/>
    <w:uiPriority w:val="0"/>
    <w:pPr>
      <w:adjustRightInd w:val="0"/>
      <w:snapToGrid w:val="0"/>
      <w:spacing w:line="360" w:lineRule="auto"/>
      <w:ind w:firstLine="720" w:firstLineChars="200"/>
    </w:pPr>
    <w:rPr>
      <w:rFonts w:hint="default" w:ascii="Times New Roman" w:hAnsi="Times New Roman" w:eastAsia="宋体"/>
      <w:sz w:val="21"/>
      <w:szCs w:val="24"/>
    </w:rPr>
  </w:style>
  <w:style w:type="paragraph" w:customStyle="1" w:styleId="138">
    <w:name w:val="首行缩进表格正文"/>
    <w:basedOn w:val="1"/>
    <w:qFormat/>
    <w:uiPriority w:val="0"/>
    <w:pPr>
      <w:spacing w:line="360" w:lineRule="auto"/>
      <w:ind w:firstLine="720" w:firstLineChars="200"/>
      <w:jc w:val="left"/>
    </w:pPr>
    <w:rPr>
      <w:rFonts w:ascii="Times New Roman" w:hAnsi="Times New Roman" w:eastAsia="宋体"/>
      <w:sz w:val="21"/>
    </w:rPr>
  </w:style>
  <w:style w:type="paragraph" w:customStyle="1" w:styleId="139">
    <w:name w:val="正文4"/>
    <w:basedOn w:val="1"/>
    <w:qFormat/>
    <w:uiPriority w:val="0"/>
    <w:pPr>
      <w:adjustRightInd w:val="0"/>
      <w:spacing w:line="288" w:lineRule="atLeast"/>
      <w:ind w:firstLine="480"/>
      <w:jc w:val="left"/>
      <w:textAlignment w:val="baseline"/>
    </w:pPr>
    <w:rPr>
      <w:rFonts w:eastAsia="仿宋_GB2312"/>
      <w:kern w:val="0"/>
      <w:sz w:val="28"/>
    </w:rPr>
  </w:style>
  <w:style w:type="character" w:customStyle="1" w:styleId="140">
    <w:name w:val="【正文】 Char1"/>
    <w:qFormat/>
    <w:uiPriority w:val="0"/>
    <w:rPr>
      <w:rFonts w:ascii="Times New Roman" w:hAnsi="Times New Roman" w:eastAsia="宋体"/>
      <w:sz w:val="24"/>
      <w:vertAlign w:val="baseline"/>
    </w:rPr>
  </w:style>
  <w:style w:type="paragraph" w:customStyle="1" w:styleId="141">
    <w:name w:val="AAA首行缩进2字符正文"/>
    <w:basedOn w:val="142"/>
    <w:qFormat/>
    <w:uiPriority w:val="0"/>
    <w:pPr>
      <w:adjustRightInd w:val="0"/>
      <w:snapToGrid w:val="0"/>
      <w:spacing w:line="500" w:lineRule="exact"/>
    </w:pPr>
    <w:rPr>
      <w:rFonts w:eastAsia="仿宋"/>
      <w:sz w:val="24"/>
    </w:rPr>
  </w:style>
  <w:style w:type="paragraph" w:customStyle="1" w:styleId="142">
    <w:name w:val="首行缩进正文"/>
    <w:basedOn w:val="118"/>
    <w:qFormat/>
    <w:uiPriority w:val="0"/>
    <w:rPr>
      <w:sz w:val="21"/>
    </w:rPr>
  </w:style>
  <w:style w:type="paragraph" w:customStyle="1" w:styleId="143">
    <w:name w:val="表格内容1"/>
    <w:basedOn w:val="1"/>
    <w:qFormat/>
    <w:uiPriority w:val="0"/>
    <w:pPr>
      <w:spacing w:line="240" w:lineRule="atLeast"/>
      <w:ind w:firstLine="0" w:firstLineChars="0"/>
      <w:jc w:val="center"/>
    </w:pPr>
    <w:rPr>
      <w:kern w:val="0"/>
      <w:sz w:val="21"/>
    </w:rPr>
  </w:style>
  <w:style w:type="paragraph" w:customStyle="1" w:styleId="144">
    <w:name w:val="《正文》"/>
    <w:basedOn w:val="1"/>
    <w:qFormat/>
    <w:uiPriority w:val="0"/>
    <w:pPr>
      <w:spacing w:line="360" w:lineRule="auto"/>
      <w:ind w:firstLine="200" w:firstLineChars="200"/>
    </w:pPr>
    <w:rPr>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0" Type="http://schemas.openxmlformats.org/officeDocument/2006/relationships/fontTable" Target="fontTable.xml"/><Relationship Id="rId6" Type="http://schemas.openxmlformats.org/officeDocument/2006/relationships/footer" Target="footer4.xml"/><Relationship Id="rId59" Type="http://schemas.openxmlformats.org/officeDocument/2006/relationships/numbering" Target="numbering.xml"/><Relationship Id="rId58" Type="http://schemas.openxmlformats.org/officeDocument/2006/relationships/customXml" Target="../customXml/item1.xml"/><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jpeg"/><Relationship Id="rId54" Type="http://schemas.openxmlformats.org/officeDocument/2006/relationships/image" Target="media/image45.jpeg"/><Relationship Id="rId53" Type="http://schemas.openxmlformats.org/officeDocument/2006/relationships/image" Target="media/image44.jpeg"/><Relationship Id="rId52" Type="http://schemas.openxmlformats.org/officeDocument/2006/relationships/image" Target="media/image43.jpeg"/><Relationship Id="rId51" Type="http://schemas.openxmlformats.org/officeDocument/2006/relationships/image" Target="media/image42.jpeg"/><Relationship Id="rId50" Type="http://schemas.openxmlformats.org/officeDocument/2006/relationships/image" Target="media/image41.jpeg"/><Relationship Id="rId5" Type="http://schemas.openxmlformats.org/officeDocument/2006/relationships/footer" Target="footer3.xml"/><Relationship Id="rId49" Type="http://schemas.openxmlformats.org/officeDocument/2006/relationships/image" Target="media/image40.jpeg"/><Relationship Id="rId48" Type="http://schemas.openxmlformats.org/officeDocument/2006/relationships/image" Target="media/image39.jpeg"/><Relationship Id="rId47" Type="http://schemas.openxmlformats.org/officeDocument/2006/relationships/image" Target="media/image38.jpeg"/><Relationship Id="rId46" Type="http://schemas.openxmlformats.org/officeDocument/2006/relationships/image" Target="media/image37.jpeg"/><Relationship Id="rId45" Type="http://schemas.openxmlformats.org/officeDocument/2006/relationships/image" Target="media/image36.jpeg"/><Relationship Id="rId44" Type="http://schemas.openxmlformats.org/officeDocument/2006/relationships/image" Target="media/image35.jpeg"/><Relationship Id="rId43" Type="http://schemas.openxmlformats.org/officeDocument/2006/relationships/image" Target="media/image34.jpeg"/><Relationship Id="rId42" Type="http://schemas.openxmlformats.org/officeDocument/2006/relationships/image" Target="media/image33.jpeg"/><Relationship Id="rId41" Type="http://schemas.openxmlformats.org/officeDocument/2006/relationships/image" Target="media/image32.jpeg"/><Relationship Id="rId40" Type="http://schemas.openxmlformats.org/officeDocument/2006/relationships/image" Target="media/image31.jpeg"/><Relationship Id="rId4" Type="http://schemas.openxmlformats.org/officeDocument/2006/relationships/footer" Target="footer2.xml"/><Relationship Id="rId39" Type="http://schemas.openxmlformats.org/officeDocument/2006/relationships/image" Target="media/image30.jpeg"/><Relationship Id="rId38" Type="http://schemas.openxmlformats.org/officeDocument/2006/relationships/image" Target="media/image29.jpeg"/><Relationship Id="rId37" Type="http://schemas.openxmlformats.org/officeDocument/2006/relationships/image" Target="media/image28.jpeg"/><Relationship Id="rId36" Type="http://schemas.openxmlformats.org/officeDocument/2006/relationships/image" Target="media/image27.jpe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footer" Target="footer1.xml"/><Relationship Id="rId29" Type="http://schemas.openxmlformats.org/officeDocument/2006/relationships/image" Target="media/image20.jpe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wmf"/><Relationship Id="rId23" Type="http://schemas.openxmlformats.org/officeDocument/2006/relationships/image" Target="media/image14.wmf"/><Relationship Id="rId22" Type="http://schemas.openxmlformats.org/officeDocument/2006/relationships/image" Target="media/image13.wmf"/><Relationship Id="rId21" Type="http://schemas.openxmlformats.org/officeDocument/2006/relationships/oleObject" Target="embeddings/oleObject2.bin"/><Relationship Id="rId20" Type="http://schemas.openxmlformats.org/officeDocument/2006/relationships/image" Target="media/image12.wmf"/><Relationship Id="rId2" Type="http://schemas.openxmlformats.org/officeDocument/2006/relationships/settings" Target="settings.xml"/><Relationship Id="rId19" Type="http://schemas.openxmlformats.org/officeDocument/2006/relationships/image" Target="media/image11.wmf"/><Relationship Id="rId18" Type="http://schemas.openxmlformats.org/officeDocument/2006/relationships/oleObject" Target="embeddings/oleObject1.bin"/><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111</Pages>
  <Words>23475</Words>
  <Characters>25989</Characters>
  <Lines>360</Lines>
  <Paragraphs>101</Paragraphs>
  <TotalTime>95</TotalTime>
  <ScaleCrop>false</ScaleCrop>
  <LinksUpToDate>false</LinksUpToDate>
  <CharactersWithSpaces>26110</CharactersWithSpaces>
  <Application>WPS Office_12.1.0.18912_F1E327BC-269C-435d-A152-05C5408002CA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2022-01-06T12:44:00Z</dcterms:created>
  <dc:creator>lhj</dc:creator>
  <cp:lastModifiedBy>橘子</cp:lastModifiedBy>
  <cp:lastPrinted>2022-01-10T06:35:00Z</cp:lastPrinted>
  <dcterms:modified xsi:type="dcterms:W3CDTF">2024-11-28T02:04:30Z</dcterms:modified>
  <dc:title>附件2</dc:title>
  <cp:revision>84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2052-12.1.0.18912</vt:lpwstr>
  </property>
  <property fmtid="{D5CDD505-2E9C-101B-9397-08002B2CF9AE}" pid="3" name="ICV">
    <vt:lpwstr>33B72060BE344AF28633F35BDAB2C68C_13</vt:lpwstr>
  </property>
</Properties>
</file>