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鸡西市团山子水库饮用水水源保护区</w:t>
      </w:r>
    </w:p>
    <w:p>
      <w:pPr>
        <w:pStyle w:val="8"/>
        <w:keepNext w:val="0"/>
        <w:keepLines w:val="0"/>
        <w:pageBreakBefore w:val="0"/>
        <w:widowControl w:val="0"/>
        <w:suppressLineNumbers w:val="0"/>
        <w:suppressAutoHyphens/>
        <w:bidi w:val="0"/>
        <w:spacing w:line="640" w:lineRule="exact"/>
        <w:jc w:val="center"/>
        <w:rPr>
          <w:rFonts w:eastAsia="方正小标宋简体" w:cs="Times New Roman"/>
          <w:kern w:val="0"/>
          <w:sz w:val="44"/>
          <w:szCs w:val="44"/>
        </w:rPr>
      </w:pPr>
      <w:r>
        <w:rPr>
          <w:rFonts w:eastAsia="方正小标宋简体" w:cs="Times New Roman"/>
          <w:kern w:val="0"/>
          <w:sz w:val="44"/>
          <w:szCs w:val="44"/>
        </w:rPr>
        <w:t>调整方案</w:t>
      </w:r>
    </w:p>
    <w:p>
      <w:pPr>
        <w:spacing w:line="640" w:lineRule="exact"/>
        <w:jc w:val="center"/>
        <w:rPr>
          <w:rFonts w:eastAsia="楷体_GB2312" w:cs="Times New Roman"/>
          <w:sz w:val="32"/>
          <w:szCs w:val="32"/>
        </w:rPr>
      </w:pPr>
    </w:p>
    <w:p>
      <w:pPr>
        <w:spacing w:line="640" w:lineRule="exact"/>
        <w:ind w:firstLine="640" w:firstLineChars="200"/>
        <w:rPr>
          <w:rFonts w:eastAsia="仿宋_GB2312" w:cs="Times New Roman"/>
          <w:sz w:val="32"/>
          <w:szCs w:val="32"/>
        </w:rPr>
      </w:pPr>
      <w:r>
        <w:rPr>
          <w:rFonts w:eastAsia="仿宋_GB2312" w:cs="Times New Roman"/>
          <w:sz w:val="32"/>
          <w:szCs w:val="32"/>
        </w:rPr>
        <w:t>根据《</w:t>
      </w:r>
      <w:r>
        <w:rPr>
          <w:rFonts w:hint="eastAsia" w:eastAsia="仿宋_GB2312" w:cs="Times New Roman"/>
          <w:sz w:val="32"/>
          <w:szCs w:val="32"/>
          <w:lang w:eastAsia="zh-CN"/>
        </w:rPr>
        <w:t>黑龙江省生态环境厅处函</w:t>
      </w:r>
      <w:bookmarkStart w:id="0" w:name="_GoBack"/>
      <w:bookmarkEnd w:id="0"/>
      <w:r>
        <w:rPr>
          <w:rFonts w:eastAsia="仿宋_GB2312" w:cs="Times New Roman"/>
          <w:sz w:val="32"/>
          <w:szCs w:val="32"/>
        </w:rPr>
        <w:t>关于规范调整撤销新建水源保护区呈文及有关佐证材料报送要求的通知》，鸡西市生态环境局依据《饮用水水源保护区划分技术规范》（HJ338-2018）组织编制了《</w:t>
      </w:r>
      <w:r>
        <w:rPr>
          <w:rFonts w:ascii="Times New Roman" w:hAnsi="Times New Roman" w:eastAsia="仿宋_GB2312" w:cs="Times New Roman"/>
          <w:sz w:val="32"/>
          <w:szCs w:val="32"/>
          <w:lang w:val="en-US" w:eastAsia="zh-CN"/>
        </w:rPr>
        <w:t>鸡西市团山子水库饮用水水源保护区调整技术报告</w:t>
      </w:r>
      <w:r>
        <w:rPr>
          <w:rFonts w:eastAsia="仿宋_GB2312" w:cs="Times New Roman"/>
          <w:sz w:val="32"/>
          <w:szCs w:val="32"/>
        </w:rPr>
        <w:t>》，对团山子水库饮用水水源保护区范围进行了调整，并根据《黑龙江省重大行政决策程序暂行规定》</w:t>
      </w:r>
      <w:r>
        <w:rPr>
          <w:rFonts w:hint="eastAsia" w:eastAsia="仿宋_GB2312" w:cs="Times New Roman"/>
          <w:sz w:val="32"/>
          <w:szCs w:val="32"/>
          <w:lang w:eastAsia="zh-CN"/>
        </w:rPr>
        <w:t>（</w:t>
      </w:r>
      <w:r>
        <w:rPr>
          <w:rFonts w:hint="eastAsia" w:eastAsia="仿宋_GB2312" w:cs="Times New Roman"/>
          <w:sz w:val="32"/>
          <w:szCs w:val="32"/>
          <w:lang w:val="en-US" w:eastAsia="zh-CN"/>
        </w:rPr>
        <w:t>2021年省政府令第4号</w:t>
      </w:r>
      <w:r>
        <w:rPr>
          <w:rFonts w:hint="eastAsia" w:eastAsia="仿宋_GB2312" w:cs="Times New Roman"/>
          <w:sz w:val="32"/>
          <w:szCs w:val="32"/>
          <w:lang w:eastAsia="zh-CN"/>
        </w:rPr>
        <w:t>）</w:t>
      </w:r>
      <w:r>
        <w:rPr>
          <w:rFonts w:eastAsia="仿宋_GB2312" w:cs="Times New Roman"/>
          <w:sz w:val="32"/>
          <w:szCs w:val="32"/>
        </w:rPr>
        <w:t>要求</w:t>
      </w:r>
      <w:r>
        <w:rPr>
          <w:rFonts w:hint="eastAsia" w:eastAsia="仿宋_GB2312" w:cs="Times New Roman"/>
          <w:sz w:val="32"/>
          <w:szCs w:val="32"/>
          <w:lang w:eastAsia="zh-CN"/>
        </w:rPr>
        <w:t>履行相关程序。</w:t>
      </w:r>
    </w:p>
    <w:p>
      <w:pPr>
        <w:spacing w:line="6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一、原保护区划定和审批情况</w:t>
      </w:r>
    </w:p>
    <w:p>
      <w:pPr>
        <w:spacing w:line="640" w:lineRule="exact"/>
        <w:ind w:firstLine="640" w:firstLineChars="200"/>
        <w:rPr>
          <w:rFonts w:hint="default" w:eastAsia="仿宋_GB2312" w:cs="Times New Roman"/>
          <w:sz w:val="32"/>
          <w:szCs w:val="32"/>
          <w:lang w:val="en-US" w:eastAsia="zh-CN"/>
        </w:rPr>
      </w:pPr>
      <w:r>
        <w:rPr>
          <w:rFonts w:eastAsia="仿宋_GB2312" w:cs="Times New Roman"/>
          <w:sz w:val="32"/>
          <w:szCs w:val="32"/>
        </w:rPr>
        <w:t>团山子水库为我市地级地表水备用饮用水水源地。原水源保护区范围具体为：一级保护区范围面积10.2183平方公里。二级保护区范围面积43.2567平方公里。2011年8月，团山子水库完成保护区划分并获得黑龙江省人民政府批复。2014年9月，鸡西市团山</w:t>
      </w:r>
      <w:r>
        <w:rPr>
          <w:rFonts w:hint="eastAsia" w:eastAsia="仿宋_GB2312" w:cs="Times New Roman"/>
          <w:sz w:val="32"/>
          <w:szCs w:val="32"/>
          <w:lang w:eastAsia="zh-CN"/>
        </w:rPr>
        <w:t>子</w:t>
      </w:r>
      <w:r>
        <w:rPr>
          <w:rFonts w:eastAsia="仿宋_GB2312" w:cs="Times New Roman"/>
          <w:sz w:val="32"/>
          <w:szCs w:val="32"/>
        </w:rPr>
        <w:t>水库饮用水水源保护区范围进行调整并通过省政府批复。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黑体" w:cs="Times New Roman"/>
          <w:sz w:val="32"/>
          <w:szCs w:val="32"/>
        </w:rPr>
      </w:pPr>
      <w:r>
        <w:rPr>
          <w:rFonts w:ascii="黑体" w:hAnsi="黑体" w:eastAsia="黑体" w:cs="黑体"/>
          <w:sz w:val="32"/>
          <w:szCs w:val="32"/>
        </w:rPr>
        <w:t>二、</w:t>
      </w:r>
      <w:r>
        <w:rPr>
          <w:rFonts w:ascii="Times New Roman" w:hAnsi="Times New Roman" w:eastAsia="黑体" w:cs="Times New Roman"/>
          <w:sz w:val="32"/>
          <w:szCs w:val="32"/>
        </w:rPr>
        <w:t>本次调整后水源保护区范围</w:t>
      </w:r>
    </w:p>
    <w:p>
      <w:pPr>
        <w:pStyle w:val="12"/>
        <w:adjustRightInd w:val="0"/>
        <w:snapToGrid w:val="0"/>
        <w:spacing w:line="640" w:lineRule="exact"/>
        <w:rPr>
          <w:rFonts w:ascii="Times New Roman" w:hAnsi="Times New Roman" w:cs="Times New Roman"/>
          <w:color w:val="000000"/>
          <w:sz w:val="32"/>
          <w:szCs w:val="32"/>
        </w:rPr>
      </w:pPr>
      <w:r>
        <w:rPr>
          <w:rFonts w:hint="eastAsia" w:ascii="Times New Roman" w:hAnsi="Times New Roman" w:cs="Times New Roman"/>
          <w:color w:val="000000"/>
          <w:sz w:val="32"/>
          <w:szCs w:val="32"/>
          <w:lang w:eastAsia="zh-CN"/>
        </w:rPr>
        <w:t>（一）</w:t>
      </w:r>
      <w:r>
        <w:rPr>
          <w:rFonts w:ascii="Times New Roman" w:hAnsi="Times New Roman" w:cs="Times New Roman"/>
          <w:color w:val="000000"/>
          <w:sz w:val="32"/>
          <w:szCs w:val="32"/>
        </w:rPr>
        <w:t>一级保护区</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水域范围：为正常蓄水位228.70米对应高程下的全部水域，东西两侧不超过库区边界，南侧不超过水库大坝。面积4.830平方公里。</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陆域范围：水库东西两侧以260米等高线为界，南侧不超过水库大坝，北侧与一级水域边界齐平，东南侧不超过新鹤大高速辅路及大坝通往该辅路的乡级公路。面积3.344平方公里。</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一级保护区面积8.174平方公里。</w:t>
      </w:r>
    </w:p>
    <w:p>
      <w:pPr>
        <w:pStyle w:val="12"/>
        <w:adjustRightInd w:val="0"/>
        <w:snapToGrid w:val="0"/>
        <w:spacing w:line="640" w:lineRule="exact"/>
        <w:rPr>
          <w:rFonts w:ascii="Times New Roman" w:hAnsi="Times New Roman" w:cs="Times New Roman"/>
          <w:color w:val="000000"/>
          <w:sz w:val="32"/>
          <w:szCs w:val="32"/>
        </w:rPr>
      </w:pPr>
      <w:r>
        <w:rPr>
          <w:rFonts w:hint="eastAsia" w:ascii="Times New Roman" w:hAnsi="Times New Roman" w:cs="Times New Roman"/>
          <w:color w:val="000000"/>
          <w:sz w:val="32"/>
          <w:szCs w:val="32"/>
          <w:lang w:eastAsia="zh-CN"/>
        </w:rPr>
        <w:t>（二）</w:t>
      </w:r>
      <w:r>
        <w:rPr>
          <w:rFonts w:ascii="Times New Roman" w:hAnsi="Times New Roman" w:cs="Times New Roman"/>
          <w:color w:val="000000"/>
          <w:sz w:val="32"/>
          <w:szCs w:val="32"/>
        </w:rPr>
        <w:t>二级保护区</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水域范围：水库一级保护区外，沿滴道河及其支流卫东河上溯3公里的水域。面积0.059平方公里。</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陆域范围：水库周边山脊线以内（一级保护区以外）滴道河及其支流卫东河上溯3公里的汇水区域。面积44.325平方公里。</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二级保护区面积44.384平方公里。</w:t>
      </w:r>
    </w:p>
    <w:p>
      <w:pPr>
        <w:pStyle w:val="12"/>
        <w:adjustRightInd w:val="0"/>
        <w:snapToGrid w:val="0"/>
        <w:spacing w:line="640" w:lineRule="exact"/>
        <w:rPr>
          <w:rFonts w:ascii="Times New Roman" w:hAnsi="Times New Roman" w:cs="Times New Roman"/>
          <w:color w:val="000000"/>
          <w:sz w:val="32"/>
          <w:szCs w:val="32"/>
        </w:rPr>
      </w:pPr>
      <w:r>
        <w:rPr>
          <w:rFonts w:hint="eastAsia" w:ascii="Times New Roman" w:hAnsi="Times New Roman" w:cs="Times New Roman"/>
          <w:color w:val="000000"/>
          <w:sz w:val="32"/>
          <w:szCs w:val="32"/>
          <w:lang w:eastAsia="zh-CN"/>
        </w:rPr>
        <w:t>（三）</w:t>
      </w:r>
      <w:r>
        <w:rPr>
          <w:rFonts w:ascii="Times New Roman" w:hAnsi="Times New Roman" w:cs="Times New Roman"/>
          <w:color w:val="000000"/>
          <w:sz w:val="32"/>
          <w:szCs w:val="32"/>
        </w:rPr>
        <w:t>准保护区</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水域范围：水库二级保护区外，沿滴道河及其支流卫东河上溯2公里的水域。面积0.048平方公里。</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陆域范围：水库周边山脊线以内（二级保护区以外）滴道河及其支流卫东河上溯2公里的汇水区域，其中西北侧以G11为界。面积7.626平方公里。</w:t>
      </w:r>
    </w:p>
    <w:p>
      <w:pPr>
        <w:pStyle w:val="12"/>
        <w:adjustRightInd w:val="0"/>
        <w:snapToGrid w:val="0"/>
        <w:spacing w:line="640" w:lineRule="exact"/>
        <w:rPr>
          <w:rFonts w:ascii="Times New Roman" w:hAnsi="Times New Roman" w:cs="Times New Roman"/>
          <w:color w:val="000000"/>
          <w:sz w:val="32"/>
          <w:szCs w:val="32"/>
        </w:rPr>
      </w:pPr>
      <w:r>
        <w:rPr>
          <w:rFonts w:ascii="Times New Roman" w:hAnsi="Times New Roman" w:cs="Times New Roman"/>
          <w:color w:val="000000"/>
          <w:sz w:val="32"/>
          <w:szCs w:val="32"/>
        </w:rPr>
        <w:t>准保护区面积7.674平方公里。</w:t>
      </w:r>
    </w:p>
    <w:sectPr>
      <w:footerReference r:id="rId5" w:type="default"/>
      <w:pgSz w:w="11907" w:h="16839"/>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
  <w:rsids>
    <w:rsidRoot w:val="00000000"/>
    <w:rsid w:val="27EE1A45"/>
    <w:rsid w:val="3E5B0A0A"/>
    <w:rsid w:val="5BFB5D5C"/>
    <w:rsid w:val="6FFDA709"/>
    <w:rsid w:val="76FF2FD7"/>
    <w:rsid w:val="7D5FA22E"/>
    <w:rsid w:val="7F3D158C"/>
    <w:rsid w:val="7F6CBDA9"/>
    <w:rsid w:val="7F7EE579"/>
    <w:rsid w:val="A1F51BE6"/>
    <w:rsid w:val="AE3F08AC"/>
    <w:rsid w:val="B2F784AB"/>
    <w:rsid w:val="BA7B23C6"/>
    <w:rsid w:val="C8BE7A27"/>
    <w:rsid w:val="CF69197F"/>
    <w:rsid w:val="DBB73B03"/>
    <w:rsid w:val="DEF8C273"/>
    <w:rsid w:val="DFFF170F"/>
    <w:rsid w:val="F23F1D84"/>
    <w:rsid w:val="FE734873"/>
    <w:rsid w:val="FFFE5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Lucida Sans"/>
      <w:kern w:val="2"/>
      <w:sz w:val="21"/>
      <w:szCs w:val="21"/>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widowControl w:val="0"/>
      <w:spacing w:line="240" w:lineRule="auto"/>
      <w:jc w:val="both"/>
    </w:pPr>
    <w:rPr>
      <w:rFonts w:ascii="Times New Roman" w:hAnsi="Times New Roman" w:eastAsia="宋体" w:cs="Lucida Sans"/>
      <w:kern w:val="2"/>
      <w:sz w:val="21"/>
      <w:szCs w:val="21"/>
      <w:lang w:val="en-US" w:eastAsia="zh-CN" w:bidi="ar-SA"/>
    </w:rPr>
  </w:style>
  <w:style w:type="paragraph" w:styleId="9">
    <w:name w:val="Normal (Web)"/>
    <w:basedOn w:val="1"/>
    <w:qFormat/>
    <w:uiPriority w:val="0"/>
    <w:pPr>
      <w:widowControl w:val="0"/>
      <w:suppressAutoHyphens/>
      <w:bidi w:val="0"/>
      <w:spacing w:before="100" w:beforeAutospacing="1" w:after="100" w:afterAutospacing="1" w:line="240" w:lineRule="auto"/>
      <w:ind w:left="0" w:right="0"/>
      <w:jc w:val="left"/>
    </w:pPr>
    <w:rPr>
      <w:rFonts w:ascii="Calibri" w:hAnsi="Calibri" w:eastAsia="宋体" w:cs="Times New Roman"/>
      <w:color w:val="auto"/>
      <w:kern w:val="0"/>
      <w:sz w:val="24"/>
      <w:szCs w:val="24"/>
      <w:lang w:val="en-US" w:eastAsia="zh-CN" w:bidi="ar-SA"/>
    </w:rPr>
  </w:style>
  <w:style w:type="paragraph" w:styleId="12">
    <w:name w:val="List Paragraph"/>
    <w:basedOn w:val="1"/>
    <w:qFormat/>
    <w:uiPriority w:val="0"/>
    <w:pPr>
      <w:widowControl w:val="0"/>
      <w:spacing w:line="240" w:lineRule="auto"/>
      <w:ind w:firstLine="200" w:firstLineChars="200"/>
      <w:jc w:val="both"/>
    </w:pPr>
    <w:rPr>
      <w:rFonts w:ascii="Calibri" w:hAnsi="Calibri" w:eastAsia="仿宋_GB2312" w:cs="Arial"/>
      <w:kern w:val="2"/>
      <w:sz w:val="3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0</Words>
  <Characters>798</Characters>
  <Lines>0</Lines>
  <Paragraphs>39</Paragraphs>
  <TotalTime>0</TotalTime>
  <ScaleCrop>false</ScaleCrop>
  <LinksUpToDate>false</LinksUpToDate>
  <CharactersWithSpaces>1064</CharactersWithSpaces>
  <Application>WPS Office_11.8.2.9849_F1E327BC-269C-435d-A152-05C5408002CA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2025-03-09T21:07:00Z</dcterms:created>
  <dc:creator>greatwall</dc:creator>
  <cp:lastModifiedBy>greatwall</cp:lastModifiedBy>
  <cp:lastPrinted>2025-11-28T10:02:23Z</cp:lastPrinted>
  <dcterms:modified xsi:type="dcterms:W3CDTF">2025-11-28T10:04:07Z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